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21449D" w:rsidRPr="0094603B" w14:paraId="325D9170" w14:textId="77777777" w:rsidTr="00AD4882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1365343C" w14:textId="77777777" w:rsidR="0021449D" w:rsidRPr="00B24FC9" w:rsidRDefault="0021449D" w:rsidP="00AD4882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 xml:space="preserve">TEMPS </w:t>
            </w:r>
            <w:proofErr w:type="spellStart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>CLIMAT</w:t>
            </w:r>
            <w:proofErr w:type="spellEnd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>EAU</w:t>
            </w:r>
            <w:proofErr w:type="spellEnd"/>
          </w:p>
        </w:tc>
        <w:tc>
          <w:tcPr>
            <w:tcW w:w="6852" w:type="dxa"/>
            <w:vMerge w:val="restart"/>
          </w:tcPr>
          <w:p w14:paraId="2C91AE9A" w14:textId="77777777" w:rsidR="0021449D" w:rsidRPr="00CB5443" w:rsidRDefault="0021449D" w:rsidP="00AD48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B24FC9">
              <w:rPr>
                <w:noProof/>
                <w:color w:val="365F91" w:themeColor="accent1" w:themeShade="BF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1" layoutInCell="1" allowOverlap="1" wp14:anchorId="08D7FB82" wp14:editId="60D84EF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1" name="Picture 1" descr="A picture containing text, clipart, ceramic ware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ceramic ware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443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Organisation météorologique mondiale</w:t>
            </w:r>
          </w:p>
          <w:p w14:paraId="6BE40463" w14:textId="77777777" w:rsidR="0021449D" w:rsidRPr="00F90D7D" w:rsidRDefault="0021449D" w:rsidP="00AD48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</w:pP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COMMISSION DES SERVICES ET APPLICATIONS SE RAPPORTANT AU TEMPS, AU CLIMAT, À L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’</w:t>
            </w: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EAU ET À L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’</w:t>
            </w: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ENVIRONNEMENT</w:t>
            </w:r>
          </w:p>
          <w:p w14:paraId="25893DE1" w14:textId="77777777" w:rsidR="0021449D" w:rsidRPr="00C2588F" w:rsidRDefault="0021449D" w:rsidP="00AD48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C2588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t>Deuxième session</w:t>
            </w:r>
            <w:r w:rsidRPr="00C2588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br/>
            </w:r>
            <w:r w:rsidRPr="00C2588F">
              <w:rPr>
                <w:snapToGrid w:val="0"/>
                <w:color w:val="365F91" w:themeColor="accent1" w:themeShade="BF"/>
                <w:szCs w:val="22"/>
                <w:lang w:val="fr-FR"/>
              </w:rPr>
              <w:t>17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>-</w:t>
            </w:r>
            <w:r w:rsidRPr="00C2588F">
              <w:rPr>
                <w:snapToGrid w:val="0"/>
                <w:color w:val="365F91" w:themeColor="accent1" w:themeShade="BF"/>
                <w:szCs w:val="22"/>
                <w:lang w:val="fr-FR"/>
              </w:rPr>
              <w:t>21 octobre 2022, Genève</w:t>
            </w:r>
          </w:p>
        </w:tc>
        <w:tc>
          <w:tcPr>
            <w:tcW w:w="2962" w:type="dxa"/>
          </w:tcPr>
          <w:p w14:paraId="1D17BA94" w14:textId="2EB201C2" w:rsidR="0021449D" w:rsidRPr="00C20FF0" w:rsidRDefault="0021449D" w:rsidP="00AD488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proofErr w:type="spellStart"/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</w:t>
            </w:r>
            <w:proofErr w:type="spellEnd"/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-</w:t>
            </w:r>
            <w:r w:rsidRPr="00F3142A">
              <w:rPr>
                <w:rFonts w:cs="Tahoma"/>
                <w:b/>
                <w:bCs/>
                <w:color w:val="365F91" w:themeColor="accent1" w:themeShade="BF"/>
                <w:szCs w:val="22"/>
              </w:rPr>
              <w:t>2/</w:t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INF. </w:t>
            </w:r>
            <w:r w:rsidR="00686FD4">
              <w:rPr>
                <w:rFonts w:cs="Tahoma"/>
                <w:b/>
                <w:bCs/>
                <w:color w:val="365F91" w:themeColor="accent1" w:themeShade="BF"/>
                <w:szCs w:val="22"/>
              </w:rPr>
              <w:t>5.6(2)</w:t>
            </w:r>
          </w:p>
        </w:tc>
      </w:tr>
      <w:tr w:rsidR="0021449D" w:rsidRPr="00E827DB" w14:paraId="29A080B3" w14:textId="77777777" w:rsidTr="00AD4882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AA14F14" w14:textId="77777777" w:rsidR="0021449D" w:rsidRPr="00FA3986" w:rsidRDefault="0021449D" w:rsidP="00AD48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2963807E" w14:textId="77777777" w:rsidR="0021449D" w:rsidRPr="00FA3986" w:rsidRDefault="0021449D" w:rsidP="00AD48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69452D86" w14:textId="2BC7ABF1" w:rsidR="0021449D" w:rsidRPr="00FA7AB0" w:rsidRDefault="0021449D" w:rsidP="00AD4882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t>Présenté par:</w:t>
            </w:r>
            <w:r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</w:r>
            <w:r w:rsidR="00686FD4">
              <w:rPr>
                <w:rFonts w:cs="Tahoma"/>
                <w:color w:val="365F91" w:themeColor="accent1" w:themeShade="BF"/>
                <w:szCs w:val="22"/>
                <w:lang w:val="fr-FR"/>
              </w:rPr>
              <w:t>Président</w:t>
            </w:r>
            <w:r w:rsidR="00686FD4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  <w:t xml:space="preserve">de la </w:t>
            </w:r>
            <w:proofErr w:type="spellStart"/>
            <w:r w:rsidR="00686FD4">
              <w:rPr>
                <w:rFonts w:cs="Tahoma"/>
                <w:color w:val="365F91" w:themeColor="accent1" w:themeShade="BF"/>
                <w:szCs w:val="22"/>
                <w:lang w:val="fr-FR"/>
              </w:rPr>
              <w:t>SERCOM</w:t>
            </w:r>
            <w:proofErr w:type="spellEnd"/>
          </w:p>
          <w:p w14:paraId="1DF06006" w14:textId="4F2B48CF" w:rsidR="0021449D" w:rsidRPr="00F72073" w:rsidRDefault="00686FD4" w:rsidP="00AD4882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proofErr w:type="spellStart"/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12</w:t>
            </w:r>
            <w:r w:rsidR="0021449D" w:rsidRPr="00125B9B">
              <w:rPr>
                <w:rFonts w:cs="Tahoma"/>
                <w:color w:val="365F91" w:themeColor="accent1" w:themeShade="BF"/>
                <w:szCs w:val="22"/>
                <w:lang w:val="fr-FR"/>
              </w:rPr>
              <w:t>.I</w:t>
            </w:r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X</w:t>
            </w:r>
            <w:r w:rsidR="0021449D"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t>.2022</w:t>
            </w:r>
            <w:proofErr w:type="spellEnd"/>
          </w:p>
        </w:tc>
      </w:tr>
    </w:tbl>
    <w:p w14:paraId="0D76278D" w14:textId="77777777" w:rsidR="0021449D" w:rsidRPr="002F404D" w:rsidRDefault="0021449D" w:rsidP="0021449D">
      <w:pPr>
        <w:tabs>
          <w:tab w:val="clear" w:pos="1134"/>
        </w:tabs>
        <w:spacing w:before="360"/>
        <w:ind w:right="-142"/>
        <w:jc w:val="left"/>
        <w:rPr>
          <w:rFonts w:eastAsia="Times New Roman" w:cs="Verdana"/>
          <w:i/>
          <w:iCs/>
          <w:color w:val="FF0000"/>
          <w:lang w:val="fr-FR" w:eastAsia="zh-TW"/>
        </w:rPr>
      </w:pPr>
      <w:r w:rsidRPr="002F404D">
        <w:rPr>
          <w:rFonts w:eastAsia="Times New Roman" w:cs="Verdana"/>
          <w:i/>
          <w:color w:val="FF0000"/>
          <w:lang w:val="fr-FR"/>
        </w:rPr>
        <w:t>[Ce document a été traduit à titre indicatif à l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aide d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un système de traduction automatique associé à des mémoires de traduction. Si des efforts raisonnables ont été déployés par l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OMM pour améliorer la qualité de la traduction ainsi produite, aucune garantie, expresse ou implicite, n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est toutefois donnée quant à son exactitude, sa fiabilité ou sa précision. Les divergences ou différences ayant pu résulter de la traduction vers le français du contenu du document original ne créent aucune obligation et n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ont aucun effet juridique en termes de conformité, d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exécution ou à toute autre fin. Il se peut que certains contenus (tels que les images) n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aient pu être traduits en raison des limites techniques du système. En cas de doute sur l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 xml:space="preserve">exactitude des informations contenues dans la traduction, </w:t>
      </w:r>
      <w:proofErr w:type="spellStart"/>
      <w:r w:rsidRPr="002F404D">
        <w:rPr>
          <w:rFonts w:eastAsia="Times New Roman" w:cs="Verdana"/>
          <w:i/>
          <w:color w:val="FF0000"/>
          <w:lang w:val="fr-FR"/>
        </w:rPr>
        <w:t>veuillez vous</w:t>
      </w:r>
      <w:proofErr w:type="spellEnd"/>
      <w:r w:rsidRPr="002F404D">
        <w:rPr>
          <w:rFonts w:eastAsia="Times New Roman" w:cs="Verdana"/>
          <w:i/>
          <w:color w:val="FF0000"/>
          <w:lang w:val="fr-FR"/>
        </w:rPr>
        <w:t xml:space="preserve"> reporter à l</w:t>
      </w:r>
      <w:r>
        <w:rPr>
          <w:rFonts w:eastAsia="Times New Roman" w:cs="Verdana"/>
          <w:i/>
          <w:color w:val="FF0000"/>
          <w:lang w:val="fr-FR"/>
        </w:rPr>
        <w:t>’</w:t>
      </w:r>
      <w:r w:rsidRPr="002F404D">
        <w:rPr>
          <w:rFonts w:eastAsia="Times New Roman" w:cs="Verdana"/>
          <w:i/>
          <w:color w:val="FF0000"/>
          <w:lang w:val="fr-FR"/>
        </w:rPr>
        <w:t>original anglais qui constitue la version officielle du document].</w:t>
      </w:r>
    </w:p>
    <w:p w14:paraId="3B2CEC99" w14:textId="685F1B68" w:rsidR="00F02629" w:rsidRPr="004841AE" w:rsidRDefault="007E05F7" w:rsidP="004E4795">
      <w:pPr>
        <w:pStyle w:val="Heading2"/>
        <w:rPr>
          <w:lang w:val="fr-FR"/>
        </w:rPr>
      </w:pPr>
      <w:r>
        <w:rPr>
          <w:lang w:val="fr-FR"/>
        </w:rPr>
        <w:t>LISTE DES RÉSOLUTIONS, PUBLICATIONS, RAPPORTS ET SITES WEB ANTÉRIEURS RELATIFS AUX SERVICES DE L</w:t>
      </w:r>
      <w:r w:rsidR="004841AE">
        <w:rPr>
          <w:lang w:val="fr-FR"/>
        </w:rPr>
        <w:t>’</w:t>
      </w:r>
      <w:r>
        <w:rPr>
          <w:lang w:val="fr-FR"/>
        </w:rPr>
        <w:t>OMM CONCERNANT LES CONDITIONS MÉTÉOROLOGIQUES PROPICES AUX INCENDIES</w:t>
      </w:r>
    </w:p>
    <w:p w14:paraId="7A921EA1" w14:textId="77777777" w:rsidR="00263435" w:rsidRPr="004841AE" w:rsidRDefault="00F02629" w:rsidP="00FB36D5">
      <w:pPr>
        <w:pStyle w:val="Heading3"/>
        <w:spacing w:before="480" w:after="240"/>
        <w:rPr>
          <w:lang w:val="fr-FR"/>
        </w:rPr>
      </w:pPr>
      <w:r>
        <w:rPr>
          <w:lang w:val="fr-FR"/>
        </w:rPr>
        <w:t>Liste des résolutions antérieures relatives aux conditions météorologiques propices aux incendies</w:t>
      </w:r>
    </w:p>
    <w:p w14:paraId="52ADF65B" w14:textId="3CB93AC9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2" w:anchor="page=100" w:history="1">
        <w:r w:rsidR="004841AE" w:rsidRPr="004841AE">
          <w:rPr>
            <w:lang w:val="fr-FR"/>
          </w:rPr>
          <w:t>Résolution 13 (</w:t>
        </w:r>
        <w:proofErr w:type="spellStart"/>
        <w:r w:rsidR="004841AE" w:rsidRPr="004841AE">
          <w:rPr>
            <w:lang w:val="fr-FR"/>
          </w:rPr>
          <w:t>Cg-12</w:t>
        </w:r>
        <w:proofErr w:type="spellEnd"/>
        <w:r w:rsidR="004841AE" w:rsidRPr="004841AE">
          <w:rPr>
            <w:lang w:val="fr-FR"/>
          </w:rPr>
          <w:t>) – Programme de météorologie agricole, prie instamment tous les membres de solliciter des avis sur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 xml:space="preserve">utilisation la plus </w:t>
        </w:r>
        <w:proofErr w:type="spellStart"/>
        <w:r w:rsidR="004841AE" w:rsidRPr="004841AE">
          <w:rPr>
            <w:lang w:val="fr-FR"/>
          </w:rPr>
          <w:t>pratiquepossible</w:t>
        </w:r>
        <w:proofErr w:type="spellEnd"/>
        <w:r w:rsidR="004841AE" w:rsidRPr="004841AE">
          <w:rPr>
            <w:lang w:val="fr-FR"/>
          </w:rPr>
          <w:t xml:space="preserve"> des connaissances agrométéorologiques, en particulier pour la lutte contre les incendies de forêt. </w:t>
        </w:r>
      </w:hyperlink>
    </w:p>
    <w:p w14:paraId="46842E8D" w14:textId="12E3D9DC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3" w:anchor="page=85" w:history="1">
        <w:r w:rsidR="004841AE" w:rsidRPr="004841AE">
          <w:rPr>
            <w:lang w:val="fr-FR"/>
          </w:rPr>
          <w:t>Décision 14 (EC-68) – Projet de recherche sur la prévision des conditions météorologiques à fort impact, concernant notamment les feux incontrôlés, mettant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accent sur les impératifs liés à la lutte contre les incendies et la prévision des risques d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incendie.</w:t>
        </w:r>
      </w:hyperlink>
    </w:p>
    <w:p w14:paraId="4A0DE5F7" w14:textId="11DA7F7F" w:rsidR="00E07AB3" w:rsidRPr="006172E1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4" w:anchor="page=69" w:history="1">
        <w:r w:rsidR="004841AE" w:rsidRPr="006172E1">
          <w:rPr>
            <w:lang w:val="fr-FR"/>
          </w:rPr>
          <w:t>Recommandation 4 (</w:t>
        </w:r>
        <w:proofErr w:type="spellStart"/>
        <w:r w:rsidR="004841AE" w:rsidRPr="006172E1">
          <w:rPr>
            <w:lang w:val="fr-FR"/>
          </w:rPr>
          <w:t>CMAg</w:t>
        </w:r>
        <w:proofErr w:type="spellEnd"/>
        <w:r w:rsidR="004841AE" w:rsidRPr="006172E1">
          <w:rPr>
            <w:lang w:val="fr-FR"/>
          </w:rPr>
          <w:t>-14) – Enseignement et formation professionnelle en météorologie agricole</w:t>
        </w:r>
      </w:hyperlink>
    </w:p>
    <w:p w14:paraId="22F120C5" w14:textId="165FFC31" w:rsidR="00E07AB3" w:rsidRPr="006172E1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5" w:anchor="page=39" w:history="1">
        <w:r w:rsidR="004841AE" w:rsidRPr="006172E1">
          <w:rPr>
            <w:lang w:val="fr-FR"/>
          </w:rPr>
          <w:t>Résolution 12 (</w:t>
        </w:r>
        <w:proofErr w:type="spellStart"/>
        <w:r w:rsidR="004841AE" w:rsidRPr="006172E1">
          <w:rPr>
            <w:lang w:val="fr-FR"/>
          </w:rPr>
          <w:t>CMAg</w:t>
        </w:r>
        <w:proofErr w:type="spellEnd"/>
        <w:r w:rsidR="004841AE" w:rsidRPr="006172E1">
          <w:rPr>
            <w:lang w:val="fr-FR"/>
          </w:rPr>
          <w:t>-12) – Rapporteurs pour l’incidence de l’information et des avis agrométéorologiques sur les aspects opérationnels de la planification forestière, l’accent étant mis sur l’</w:t>
        </w:r>
        <w:r w:rsidR="004841AE" w:rsidRPr="006172E1">
          <w:rPr>
            <w:u w:val="single"/>
            <w:lang w:val="fr-FR"/>
          </w:rPr>
          <w:t>écologie des feux de friches</w:t>
        </w:r>
        <w:r w:rsidR="004841AE" w:rsidRPr="006172E1">
          <w:rPr>
            <w:lang w:val="fr-FR"/>
          </w:rPr>
          <w:t xml:space="preserve"> et notamment sur le recours aux feux contrôlés, la prévention des incendies incontrôlés et la </w:t>
        </w:r>
        <w:r w:rsidR="004841AE" w:rsidRPr="006172E1">
          <w:rPr>
            <w:u w:val="single"/>
            <w:lang w:val="fr-FR"/>
          </w:rPr>
          <w:t>lutte contre ces phénomènes</w:t>
        </w:r>
        <w:r w:rsidR="004841AE" w:rsidRPr="006172E1">
          <w:rPr>
            <w:lang w:val="fr-FR"/>
          </w:rPr>
          <w:t xml:space="preserve"> dans les forêts et les terres de parcours</w:t>
        </w:r>
      </w:hyperlink>
    </w:p>
    <w:p w14:paraId="119F4EBE" w14:textId="67EBE58E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6" w:anchor="page=33" w:history="1">
        <w:r w:rsidR="004841AE" w:rsidRPr="004841AE">
          <w:rPr>
            <w:lang w:val="fr-FR"/>
          </w:rPr>
          <w:t>Résolution 4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-11) – Rapporteurs pour la confirmation des besoins en information agrométéorologique pour un aménagement et une exploitation de la forêt</w:t>
        </w:r>
      </w:hyperlink>
    </w:p>
    <w:p w14:paraId="38980D92" w14:textId="516F6366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7" w:anchor="page=39" w:history="1">
        <w:r w:rsidR="004841AE" w:rsidRPr="004841AE">
          <w:rPr>
            <w:lang w:val="fr-FR"/>
          </w:rPr>
          <w:t>Résolution 14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 xml:space="preserve">-11) – Groupe de travail sur la météorologie agricole et les phénomènes extrêmes </w:t>
        </w:r>
      </w:hyperlink>
    </w:p>
    <w:p w14:paraId="02F8C9B0" w14:textId="31B20399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8" w:anchor="page=34" w:history="1">
        <w:r w:rsidR="004841AE" w:rsidRPr="004841AE">
          <w:rPr>
            <w:lang w:val="fr-FR"/>
          </w:rPr>
          <w:t>Résolution 6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-10) – Rapporteurs pour la définition de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information agrométéorologique requise pour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aménagement et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exploitation de la forêt dans les régions arides et semi-arides</w:t>
        </w:r>
      </w:hyperlink>
    </w:p>
    <w:p w14:paraId="402B918B" w14:textId="30241E3E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19" w:anchor="page=34/" w:history="1">
        <w:r w:rsidR="004841AE" w:rsidRPr="004841AE">
          <w:rPr>
            <w:lang w:val="fr-FR"/>
          </w:rPr>
          <w:t>Résolution 7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-10) – Rapporteurs pour la définition de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information agrométéorologique requise pour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aménagement et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exploitation de la forêt dans les régions tropicales humides</w:t>
        </w:r>
      </w:hyperlink>
    </w:p>
    <w:p w14:paraId="2E4F87BD" w14:textId="556A83B2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0" w:anchor="page=35" w:history="1">
        <w:r w:rsidR="004841AE" w:rsidRPr="004841AE">
          <w:rPr>
            <w:lang w:val="fr-FR"/>
          </w:rPr>
          <w:t>Résolution 8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-10) – Rapporteurs pour la définition de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information agrométéorologique requise pour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aménagement et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exploitation de la forêt dans les régions tempérées</w:t>
        </w:r>
      </w:hyperlink>
    </w:p>
    <w:p w14:paraId="60406C1D" w14:textId="68B15959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1" w:anchor="page=40" w:history="1">
        <w:r w:rsidR="004841AE" w:rsidRPr="004841AE">
          <w:rPr>
            <w:lang w:val="fr-FR"/>
          </w:rPr>
          <w:t>Résolution 16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-10) – Groupe de travail des phénomènes agrométéorologiques extrêmes</w:t>
        </w:r>
      </w:hyperlink>
    </w:p>
    <w:p w14:paraId="3470468A" w14:textId="04D2E34D" w:rsidR="00E07AB3" w:rsidRPr="009F09BA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2" w:anchor="page=77" w:history="1">
        <w:r w:rsidR="004841AE" w:rsidRPr="009F09BA">
          <w:rPr>
            <w:lang w:val="fr-FR"/>
          </w:rPr>
          <w:t xml:space="preserve">Résolution </w:t>
        </w:r>
        <w:r w:rsidR="004E6A5B" w:rsidRPr="009F09BA">
          <w:rPr>
            <w:lang w:val="fr-FR"/>
          </w:rPr>
          <w:t>20</w:t>
        </w:r>
        <w:r w:rsidR="004841AE" w:rsidRPr="009F09BA">
          <w:rPr>
            <w:lang w:val="fr-FR"/>
          </w:rPr>
          <w:t xml:space="preserve"> (</w:t>
        </w:r>
        <w:proofErr w:type="spellStart"/>
        <w:r w:rsidR="004841AE" w:rsidRPr="009F09BA">
          <w:rPr>
            <w:lang w:val="fr-FR"/>
          </w:rPr>
          <w:t>CMAg</w:t>
        </w:r>
        <w:proofErr w:type="spellEnd"/>
        <w:r w:rsidR="004841AE" w:rsidRPr="009F09BA">
          <w:rPr>
            <w:lang w:val="fr-FR"/>
          </w:rPr>
          <w:t>-9) – Rapporteur pour les applications opérationnelles en sylviculture</w:t>
        </w:r>
      </w:hyperlink>
    </w:p>
    <w:p w14:paraId="384819C3" w14:textId="4810A004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3" w:anchor="page=81" w:history="1">
        <w:r w:rsidR="004841AE" w:rsidRPr="004841AE">
          <w:rPr>
            <w:lang w:val="fr-FR"/>
          </w:rPr>
          <w:t>Recommandation 4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 xml:space="preserve">-8) – Application de la météorologie à la lutte contre </w:t>
        </w:r>
        <w:r w:rsidR="004841AE" w:rsidRPr="009F09BA">
          <w:rPr>
            <w:u w:val="single"/>
            <w:lang w:val="fr-FR"/>
          </w:rPr>
          <w:t>les feux de forêt, de brousse et d’herbages</w:t>
        </w:r>
      </w:hyperlink>
    </w:p>
    <w:p w14:paraId="48F2BDFB" w14:textId="0763AD5C" w:rsidR="00E07AB3" w:rsidRPr="006078BD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4" w:anchor="page=58" w:history="1">
        <w:r w:rsidR="004841AE" w:rsidRPr="006078BD">
          <w:rPr>
            <w:lang w:val="fr-FR"/>
          </w:rPr>
          <w:t>Résolution 14 (</w:t>
        </w:r>
        <w:proofErr w:type="spellStart"/>
        <w:r w:rsidR="004841AE" w:rsidRPr="006078BD">
          <w:rPr>
            <w:lang w:val="fr-FR"/>
          </w:rPr>
          <w:t>CMAg</w:t>
        </w:r>
        <w:proofErr w:type="spellEnd"/>
        <w:r w:rsidR="004841AE" w:rsidRPr="006078BD">
          <w:rPr>
            <w:lang w:val="fr-FR"/>
          </w:rPr>
          <w:t xml:space="preserve">-7) – Rapporteur pour les </w:t>
        </w:r>
        <w:r w:rsidR="004841AE" w:rsidRPr="006078BD">
          <w:rPr>
            <w:u w:val="single"/>
            <w:lang w:val="fr-FR"/>
          </w:rPr>
          <w:t>incendies sur des terres non cultivées</w:t>
        </w:r>
        <w:r w:rsidR="004841AE" w:rsidRPr="006078BD">
          <w:rPr>
            <w:lang w:val="fr-FR"/>
          </w:rPr>
          <w:t>, particulièrement dans les régions tropicales</w:t>
        </w:r>
      </w:hyperlink>
    </w:p>
    <w:p w14:paraId="776ECBE5" w14:textId="5BFB0A27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5" w:anchor="page=44" w:history="1">
        <w:r w:rsidR="004841AE" w:rsidRPr="004841AE">
          <w:rPr>
            <w:lang w:val="fr-FR"/>
          </w:rPr>
          <w:t>Recommandation 7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 xml:space="preserve">-3) – Observations agrométéorologiques courantes dans les régions forestières </w:t>
        </w:r>
      </w:hyperlink>
    </w:p>
    <w:p w14:paraId="061AFC71" w14:textId="29CFEF32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6" w:anchor="page=36" w:history="1">
        <w:r w:rsidR="004841AE" w:rsidRPr="004841AE">
          <w:rPr>
            <w:lang w:val="fr-FR"/>
          </w:rPr>
          <w:t>Résolution 8 (</w:t>
        </w:r>
        <w:proofErr w:type="spellStart"/>
        <w:r w:rsidR="004841AE" w:rsidRPr="004841AE">
          <w:rPr>
            <w:lang w:val="fr-FR"/>
          </w:rPr>
          <w:t>CMAg</w:t>
        </w:r>
        <w:proofErr w:type="spellEnd"/>
        <w:r w:rsidR="004841AE" w:rsidRPr="004841AE">
          <w:rPr>
            <w:lang w:val="fr-FR"/>
          </w:rPr>
          <w:t>-2) – Groupe de travail des prévisions pour les services de protection des forêts contre l</w:t>
        </w:r>
        <w:r w:rsidR="004841AE">
          <w:rPr>
            <w:lang w:val="fr-FR"/>
          </w:rPr>
          <w:t>’</w:t>
        </w:r>
        <w:r w:rsidR="004841AE" w:rsidRPr="004841AE">
          <w:rPr>
            <w:lang w:val="fr-FR"/>
          </w:rPr>
          <w:t>incendie</w:t>
        </w:r>
      </w:hyperlink>
    </w:p>
    <w:p w14:paraId="177A33B7" w14:textId="6C4B33BB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7" w:anchor="page=68" w:history="1">
        <w:r w:rsidR="004841AE" w:rsidRPr="004841AE">
          <w:rPr>
            <w:lang w:val="fr-FR"/>
          </w:rPr>
          <w:t xml:space="preserve">Résolution 8 (AR I-12) – Rapporteurs pour la météorologie agricole </w:t>
        </w:r>
      </w:hyperlink>
    </w:p>
    <w:p w14:paraId="23FFF3C3" w14:textId="09342CA0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8" w:anchor="page=57" w:history="1">
        <w:r w:rsidR="004841AE" w:rsidRPr="004841AE">
          <w:rPr>
            <w:lang w:val="fr-FR"/>
          </w:rPr>
          <w:t>Résolution 11 (AR V-12) – Rapporteurs pour la météorologie agricole</w:t>
        </w:r>
      </w:hyperlink>
    </w:p>
    <w:p w14:paraId="39A17D22" w14:textId="31A09E10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29" w:anchor="page=78" w:history="1">
        <w:r w:rsidR="004841AE" w:rsidRPr="004841AE">
          <w:rPr>
            <w:lang w:val="fr-FR"/>
          </w:rPr>
          <w:t>Résolution 12 (AR I-11) – Groupe de travail de météorologie agricole</w:t>
        </w:r>
      </w:hyperlink>
    </w:p>
    <w:p w14:paraId="55B9028F" w14:textId="79DC9E88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30" w:anchor="page=62" w:history="1">
        <w:r w:rsidR="004841AE" w:rsidRPr="004841AE">
          <w:rPr>
            <w:lang w:val="fr-FR"/>
          </w:rPr>
          <w:t xml:space="preserve">Résolution 9 (AR </w:t>
        </w:r>
        <w:proofErr w:type="spellStart"/>
        <w:r w:rsidR="004841AE" w:rsidRPr="004841AE">
          <w:rPr>
            <w:lang w:val="fr-FR"/>
          </w:rPr>
          <w:t>VI-11</w:t>
        </w:r>
        <w:proofErr w:type="spellEnd"/>
        <w:r w:rsidR="004841AE" w:rsidRPr="004841AE">
          <w:rPr>
            <w:lang w:val="fr-FR"/>
          </w:rPr>
          <w:t>) – Groupe de travail de météorologie agricole</w:t>
        </w:r>
      </w:hyperlink>
    </w:p>
    <w:p w14:paraId="7201F2BE" w14:textId="1FBAB5A1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31" w:anchor="page=56" w:history="1">
        <w:r w:rsidR="004841AE" w:rsidRPr="004841AE">
          <w:rPr>
            <w:lang w:val="fr-FR"/>
          </w:rPr>
          <w:t xml:space="preserve">Résolution 12 (AR </w:t>
        </w:r>
        <w:proofErr w:type="spellStart"/>
        <w:r w:rsidR="004841AE" w:rsidRPr="004841AE">
          <w:rPr>
            <w:lang w:val="fr-FR"/>
          </w:rPr>
          <w:t>VI-10</w:t>
        </w:r>
        <w:proofErr w:type="spellEnd"/>
        <w:r w:rsidR="004841AE" w:rsidRPr="004841AE">
          <w:rPr>
            <w:lang w:val="fr-FR"/>
          </w:rPr>
          <w:t>) – Groupe de travail de météorologie agricole</w:t>
        </w:r>
      </w:hyperlink>
    </w:p>
    <w:p w14:paraId="1FC0F71A" w14:textId="58D69C75" w:rsidR="00E07AB3" w:rsidRPr="004841AE" w:rsidRDefault="002900E8" w:rsidP="00FB36D5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fr-FR"/>
        </w:rPr>
      </w:pPr>
      <w:hyperlink r:id="rId32" w:anchor="page=110" w:history="1">
        <w:r w:rsidR="004841AE" w:rsidRPr="004841AE">
          <w:rPr>
            <w:lang w:val="fr-FR"/>
          </w:rPr>
          <w:t xml:space="preserve">Résolution 18 (RA </w:t>
        </w:r>
        <w:proofErr w:type="spellStart"/>
        <w:r w:rsidR="004841AE" w:rsidRPr="004841AE">
          <w:rPr>
            <w:lang w:val="fr-FR"/>
          </w:rPr>
          <w:t>V-9</w:t>
        </w:r>
        <w:proofErr w:type="spellEnd"/>
        <w:r w:rsidR="004841AE" w:rsidRPr="004841AE">
          <w:rPr>
            <w:lang w:val="fr-FR"/>
          </w:rPr>
          <w:t>) – Rapporteurs pour la météorologie agricole</w:t>
        </w:r>
      </w:hyperlink>
    </w:p>
    <w:p w14:paraId="48D4623B" w14:textId="77777777" w:rsidR="00C65DF5" w:rsidRPr="00FB3A3F" w:rsidRDefault="00C65DF5" w:rsidP="00FB3A3F">
      <w:pPr>
        <w:pStyle w:val="Heading3"/>
        <w:spacing w:before="480" w:after="240"/>
      </w:pPr>
      <w:r>
        <w:rPr>
          <w:lang w:val="fr-FR"/>
        </w:rPr>
        <w:t>Liste des publications</w:t>
      </w:r>
    </w:p>
    <w:p w14:paraId="16C95DB5" w14:textId="2B81E2FC" w:rsidR="0076324A" w:rsidRPr="005E310C" w:rsidRDefault="0076324A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fr-FR"/>
        </w:rPr>
      </w:pPr>
      <w:proofErr w:type="spellStart"/>
      <w:r w:rsidRPr="005E310C">
        <w:rPr>
          <w:rFonts w:ascii="Verdana" w:hAnsi="Verdana"/>
          <w:sz w:val="20"/>
          <w:szCs w:val="20"/>
          <w:lang w:val="fr-FR"/>
        </w:rPr>
        <w:t>CMAg</w:t>
      </w:r>
      <w:proofErr w:type="spellEnd"/>
      <w:r w:rsidRPr="005E310C">
        <w:rPr>
          <w:rFonts w:ascii="Verdana" w:hAnsi="Verdana"/>
          <w:sz w:val="20"/>
          <w:szCs w:val="20"/>
          <w:lang w:val="fr-FR"/>
        </w:rPr>
        <w:t>-17 (2018) Manuel sur l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évaluation des risques d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incendie (projet)</w:t>
      </w:r>
    </w:p>
    <w:p w14:paraId="555715F0" w14:textId="28BE385D" w:rsidR="00C65DF5" w:rsidRPr="005E310C" w:rsidRDefault="00C65DF5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fr-FR"/>
        </w:rPr>
      </w:pPr>
      <w:proofErr w:type="spellStart"/>
      <w:r w:rsidRPr="005E310C">
        <w:rPr>
          <w:rFonts w:ascii="Verdana" w:hAnsi="Verdana"/>
          <w:sz w:val="20"/>
          <w:szCs w:val="20"/>
          <w:lang w:val="fr-FR"/>
        </w:rPr>
        <w:t>VAG</w:t>
      </w:r>
      <w:proofErr w:type="spellEnd"/>
      <w:r w:rsidRPr="005E310C">
        <w:rPr>
          <w:rFonts w:ascii="Verdana" w:hAnsi="Verdana"/>
          <w:sz w:val="20"/>
          <w:szCs w:val="20"/>
          <w:lang w:val="fr-FR"/>
        </w:rPr>
        <w:t xml:space="preserve"> (2018) </w:t>
      </w:r>
      <w:proofErr w:type="spellStart"/>
      <w:r w:rsidRPr="005E310C">
        <w:rPr>
          <w:rFonts w:ascii="Verdana" w:hAnsi="Verdana"/>
          <w:i/>
          <w:iCs/>
          <w:sz w:val="20"/>
          <w:szCs w:val="20"/>
          <w:lang w:val="fr-FR"/>
        </w:rPr>
        <w:t>Vegetation</w:t>
      </w:r>
      <w:proofErr w:type="spellEnd"/>
      <w:r w:rsidRPr="005E310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Pr="005E310C">
        <w:rPr>
          <w:rFonts w:ascii="Verdana" w:hAnsi="Verdana"/>
          <w:i/>
          <w:iCs/>
          <w:sz w:val="20"/>
          <w:szCs w:val="20"/>
          <w:lang w:val="fr-FR"/>
        </w:rPr>
        <w:t>Fire</w:t>
      </w:r>
      <w:proofErr w:type="spellEnd"/>
      <w:r w:rsidRPr="005E310C">
        <w:rPr>
          <w:rFonts w:ascii="Verdana" w:hAnsi="Verdana"/>
          <w:i/>
          <w:iCs/>
          <w:sz w:val="20"/>
          <w:szCs w:val="20"/>
          <w:lang w:val="fr-FR"/>
        </w:rPr>
        <w:t xml:space="preserve"> and Smoke Pollution Warning and Advisory System (</w:t>
      </w:r>
      <w:proofErr w:type="spellStart"/>
      <w:r w:rsidRPr="005E310C">
        <w:rPr>
          <w:rFonts w:ascii="Verdana" w:hAnsi="Verdana"/>
          <w:i/>
          <w:iCs/>
          <w:sz w:val="20"/>
          <w:szCs w:val="20"/>
          <w:lang w:val="fr-FR"/>
        </w:rPr>
        <w:t>VFSP</w:t>
      </w:r>
      <w:r w:rsidR="00E1038B">
        <w:rPr>
          <w:rFonts w:ascii="Verdana" w:hAnsi="Verdana"/>
          <w:i/>
          <w:iCs/>
          <w:sz w:val="20"/>
          <w:szCs w:val="20"/>
          <w:lang w:val="fr-FR"/>
        </w:rPr>
        <w:noBreakHyphen/>
      </w:r>
      <w:r w:rsidRPr="005E310C">
        <w:rPr>
          <w:rFonts w:ascii="Verdana" w:hAnsi="Verdana"/>
          <w:i/>
          <w:iCs/>
          <w:sz w:val="20"/>
          <w:szCs w:val="20"/>
          <w:lang w:val="fr-FR"/>
        </w:rPr>
        <w:t>WAS</w:t>
      </w:r>
      <w:proofErr w:type="spellEnd"/>
      <w:r w:rsidRPr="005E310C">
        <w:rPr>
          <w:rFonts w:ascii="Verdana" w:hAnsi="Verdana"/>
          <w:i/>
          <w:iCs/>
          <w:sz w:val="20"/>
          <w:szCs w:val="20"/>
          <w:lang w:val="fr-FR"/>
        </w:rPr>
        <w:t xml:space="preserve">): Concept Note and Expert </w:t>
      </w:r>
      <w:proofErr w:type="spellStart"/>
      <w:r w:rsidRPr="005E310C">
        <w:rPr>
          <w:rFonts w:ascii="Verdana" w:hAnsi="Verdana"/>
          <w:i/>
          <w:iCs/>
          <w:sz w:val="20"/>
          <w:szCs w:val="20"/>
          <w:lang w:val="fr-FR"/>
        </w:rPr>
        <w:t>Recommendations</w:t>
      </w:r>
      <w:proofErr w:type="spellEnd"/>
      <w:r w:rsidRPr="005E310C">
        <w:rPr>
          <w:rFonts w:ascii="Verdana" w:hAnsi="Verdana"/>
          <w:sz w:val="20"/>
          <w:szCs w:val="20"/>
          <w:lang w:val="fr-FR"/>
        </w:rPr>
        <w:t xml:space="preserve"> (Système d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avis et d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 xml:space="preserve">alerte concernant la pollution par la fumée et les incendies de végétation: Document de réflexion et recommandations des experts) (Rapport de la VAG N° 235) </w:t>
      </w:r>
    </w:p>
    <w:p w14:paraId="3242E19F" w14:textId="04545A6A" w:rsidR="00C65DF5" w:rsidRPr="005E310C" w:rsidRDefault="00C65DF5" w:rsidP="00FB3A3F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fr-FR"/>
        </w:rPr>
      </w:pPr>
      <w:r w:rsidRPr="005E310C">
        <w:rPr>
          <w:rFonts w:ascii="Verdana" w:hAnsi="Verdana"/>
          <w:sz w:val="20"/>
          <w:szCs w:val="20"/>
          <w:lang w:val="fr-FR"/>
        </w:rPr>
        <w:t xml:space="preserve">CR VI-14 (2012) </w:t>
      </w:r>
      <w:r w:rsidRPr="00BF36C9">
        <w:rPr>
          <w:rFonts w:ascii="Verdana" w:hAnsi="Verdana"/>
          <w:i/>
          <w:iCs/>
          <w:sz w:val="20"/>
          <w:szCs w:val="20"/>
          <w:lang w:val="fr-FR"/>
        </w:rPr>
        <w:t>Principes directeurs relatifs aux systèmes de prévision d</w:t>
      </w:r>
      <w:r w:rsidR="004841AE" w:rsidRPr="00BF36C9">
        <w:rPr>
          <w:rFonts w:ascii="Verdana" w:hAnsi="Verdana"/>
          <w:i/>
          <w:iCs/>
          <w:sz w:val="20"/>
          <w:szCs w:val="20"/>
          <w:lang w:val="fr-FR"/>
        </w:rPr>
        <w:t>’</w:t>
      </w:r>
      <w:r w:rsidRPr="00BF36C9">
        <w:rPr>
          <w:rFonts w:ascii="Verdana" w:hAnsi="Verdana"/>
          <w:i/>
          <w:iCs/>
          <w:sz w:val="20"/>
          <w:szCs w:val="20"/>
          <w:lang w:val="fr-FR"/>
        </w:rPr>
        <w:t>ensemble et à la prévision d</w:t>
      </w:r>
      <w:r w:rsidR="004841AE" w:rsidRPr="00BF36C9">
        <w:rPr>
          <w:rFonts w:ascii="Verdana" w:hAnsi="Verdana"/>
          <w:i/>
          <w:iCs/>
          <w:sz w:val="20"/>
          <w:szCs w:val="20"/>
          <w:lang w:val="fr-FR"/>
        </w:rPr>
        <w:t>’</w:t>
      </w:r>
      <w:r w:rsidRPr="00BF36C9">
        <w:rPr>
          <w:rFonts w:ascii="Verdana" w:hAnsi="Verdana"/>
          <w:i/>
          <w:iCs/>
          <w:sz w:val="20"/>
          <w:szCs w:val="20"/>
          <w:lang w:val="fr-FR"/>
        </w:rPr>
        <w:t>ensemble</w:t>
      </w:r>
      <w:r w:rsidRPr="005E310C">
        <w:rPr>
          <w:rFonts w:ascii="Verdana" w:hAnsi="Verdana"/>
          <w:sz w:val="20"/>
          <w:szCs w:val="20"/>
          <w:lang w:val="fr-FR"/>
        </w:rPr>
        <w:t xml:space="preserve"> (OMM-N° 1091) </w:t>
      </w:r>
    </w:p>
    <w:p w14:paraId="4AD657CB" w14:textId="77777777" w:rsidR="00C65DF5" w:rsidRPr="005E310C" w:rsidRDefault="00C65DF5" w:rsidP="00FB3A3F">
      <w:pPr>
        <w:pStyle w:val="Heading3"/>
        <w:spacing w:before="480" w:after="240"/>
      </w:pPr>
      <w:r w:rsidRPr="005E310C">
        <w:rPr>
          <w:lang w:val="fr-FR"/>
        </w:rPr>
        <w:t>Liste des rapports</w:t>
      </w:r>
    </w:p>
    <w:p w14:paraId="1BF2E815" w14:textId="06BE1072" w:rsidR="00C65DF5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lang w:val="fr-FR"/>
        </w:rPr>
      </w:pPr>
      <w:r w:rsidRPr="005E310C">
        <w:rPr>
          <w:lang w:val="fr-FR"/>
        </w:rPr>
        <w:t xml:space="preserve">CR II-15 (2012) </w:t>
      </w:r>
      <w:r w:rsidRPr="005E310C">
        <w:rPr>
          <w:i/>
          <w:iCs/>
          <w:lang w:val="fr-FR"/>
        </w:rPr>
        <w:t>Plan for the implementation of the GAW Aerosol Lidar Observation Network GALION</w:t>
      </w:r>
      <w:r w:rsidRPr="005E310C">
        <w:rPr>
          <w:lang w:val="fr-FR"/>
        </w:rPr>
        <w:t xml:space="preserve"> (Rapport VAG n° 178) (Plan de mise en œuvre du réseau d</w:t>
      </w:r>
      <w:r w:rsidR="004841AE" w:rsidRPr="005E310C">
        <w:rPr>
          <w:lang w:val="fr-FR"/>
        </w:rPr>
        <w:t>’</w:t>
      </w:r>
      <w:r w:rsidRPr="005E310C">
        <w:rPr>
          <w:lang w:val="fr-FR"/>
        </w:rPr>
        <w:t xml:space="preserve">observation lidar des aérosols GALION relevant de la VAG) (2007) </w:t>
      </w:r>
    </w:p>
    <w:p w14:paraId="50BE1F3B" w14:textId="1A588BF7" w:rsidR="00C65DF5" w:rsidRPr="005E310C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fr-FR"/>
        </w:rPr>
      </w:pPr>
      <w:r w:rsidRPr="005E310C">
        <w:rPr>
          <w:rFonts w:ascii="Verdana" w:hAnsi="Verdana"/>
          <w:sz w:val="20"/>
          <w:szCs w:val="20"/>
          <w:lang w:val="fr-FR"/>
        </w:rPr>
        <w:lastRenderedPageBreak/>
        <w:t>Atelier international sur les progrès des systèmes météorologiques opérationnels relatifs à l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évaluation des risques d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incendie (2008)</w:t>
      </w:r>
    </w:p>
    <w:p w14:paraId="0ED222CF" w14:textId="224CAB97" w:rsidR="00C65DF5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>CMAg-13 (2003) Incendie dans les forêts, les terres d</w:t>
      </w:r>
      <w:r w:rsidR="004841AE" w:rsidRPr="005E310C">
        <w:rPr>
          <w:lang w:val="fr-FR"/>
        </w:rPr>
        <w:t>’</w:t>
      </w:r>
      <w:r w:rsidRPr="005E310C">
        <w:rPr>
          <w:lang w:val="fr-FR"/>
        </w:rPr>
        <w:t>élevage et les systèmes agricoles</w:t>
      </w:r>
    </w:p>
    <w:p w14:paraId="2E8E240F" w14:textId="545C6417" w:rsidR="00C65DF5" w:rsidRPr="005E310C" w:rsidRDefault="00DD5E73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i/>
          <w:iCs/>
          <w:lang w:val="fr-FR"/>
        </w:rPr>
      </w:pPr>
      <w:r w:rsidRPr="005E310C">
        <w:rPr>
          <w:lang w:val="fr-FR"/>
        </w:rPr>
        <w:t xml:space="preserve">(Rapport N° 99 du Programme de météorologie agricole) </w:t>
      </w:r>
      <w:r w:rsidRPr="005E310C">
        <w:rPr>
          <w:i/>
          <w:iCs/>
          <w:lang w:val="fr-FR"/>
        </w:rPr>
        <w:t>Fire in Forests, Rangelands and Agricultural Systems</w:t>
      </w:r>
      <w:r w:rsidRPr="005E310C">
        <w:rPr>
          <w:lang w:val="fr-FR"/>
        </w:rPr>
        <w:t xml:space="preserve"> (AgMP Report, No. 99) (Incendie dans les forêts, les terres d</w:t>
      </w:r>
      <w:r w:rsidR="004841AE" w:rsidRPr="005E310C">
        <w:rPr>
          <w:lang w:val="fr-FR"/>
        </w:rPr>
        <w:t>’</w:t>
      </w:r>
      <w:r w:rsidRPr="005E310C">
        <w:rPr>
          <w:lang w:val="fr-FR"/>
        </w:rPr>
        <w:t>élevage et les systèmes agricoles)</w:t>
      </w:r>
    </w:p>
    <w:p w14:paraId="1E0A2A85" w14:textId="39FE8904" w:rsidR="00C65DF5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 xml:space="preserve">CMAg-13 (2003) </w:t>
      </w:r>
      <w:r w:rsidRPr="005E310C">
        <w:rPr>
          <w:i/>
          <w:iCs/>
          <w:lang w:val="fr-FR"/>
        </w:rPr>
        <w:t>Guide to Agricultural Meteorological Practice (2010 Edition)</w:t>
      </w:r>
      <w:r w:rsidRPr="005E310C">
        <w:rPr>
          <w:lang w:val="fr-FR"/>
        </w:rPr>
        <w:t xml:space="preserve"> </w:t>
      </w:r>
      <w:r w:rsidRPr="005E310C">
        <w:rPr>
          <w:b/>
          <w:bCs/>
          <w:lang w:val="fr-FR"/>
        </w:rPr>
        <w:t>(</w:t>
      </w:r>
      <w:r w:rsidRPr="005E310C">
        <w:rPr>
          <w:lang w:val="fr-FR"/>
        </w:rPr>
        <w:t>Guide des pratiques de météorologie agricole, édition 2010) (WMO</w:t>
      </w:r>
      <w:r w:rsidRPr="005E310C">
        <w:rPr>
          <w:lang w:val="fr-FR"/>
        </w:rPr>
        <w:noBreakHyphen/>
        <w:t>No. 134)</w:t>
      </w:r>
    </w:p>
    <w:p w14:paraId="070DE658" w14:textId="77777777" w:rsidR="00C65DF5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 xml:space="preserve">AR III-13 (2002) Directives de santé pour les incendies de végétation </w:t>
      </w:r>
    </w:p>
    <w:p w14:paraId="3B4A7005" w14:textId="6C750F81" w:rsidR="0076324A" w:rsidRPr="005E310C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fr-FR"/>
        </w:rPr>
      </w:pPr>
      <w:r w:rsidRPr="005E310C">
        <w:rPr>
          <w:rFonts w:ascii="Verdana" w:hAnsi="Verdana"/>
          <w:sz w:val="20"/>
          <w:szCs w:val="20"/>
          <w:lang w:val="fr-FR"/>
        </w:rPr>
        <w:t>AR V-13 (2002) Surveillance et évaluation des feux de friche et de forêts, ainsi que de fumées et brumes sèches dans les pays de l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ASEAN</w:t>
      </w:r>
    </w:p>
    <w:p w14:paraId="07DCED76" w14:textId="026BBF59" w:rsidR="000752BB" w:rsidRPr="005E310C" w:rsidRDefault="00C65DF5" w:rsidP="00FB3A3F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fr-FR"/>
        </w:rPr>
      </w:pPr>
      <w:r w:rsidRPr="005E310C">
        <w:rPr>
          <w:rFonts w:ascii="Verdana" w:hAnsi="Verdana"/>
          <w:sz w:val="20"/>
          <w:szCs w:val="20"/>
          <w:lang w:val="fr-FR"/>
        </w:rPr>
        <w:t xml:space="preserve">CSB-12 (2001) </w:t>
      </w:r>
      <w:r w:rsidRPr="005E310C">
        <w:rPr>
          <w:rFonts w:ascii="Verdana" w:hAnsi="Verdana"/>
          <w:i/>
          <w:iCs/>
          <w:sz w:val="20"/>
          <w:szCs w:val="20"/>
          <w:lang w:val="fr-FR"/>
        </w:rPr>
        <w:t>Documentation on RSMC support for Environmental Emergency Response: targeted for meteorologists at NHMSs</w:t>
      </w:r>
      <w:r w:rsidRPr="005E310C">
        <w:rPr>
          <w:rFonts w:ascii="Verdana" w:hAnsi="Verdana"/>
          <w:sz w:val="20"/>
          <w:szCs w:val="20"/>
          <w:lang w:val="fr-FR"/>
        </w:rPr>
        <w:t xml:space="preserve"> – WMO-TD No. 778, 1997 (Documentation sur le soutien du CMRS aux interventions en cas d</w:t>
      </w:r>
      <w:r w:rsidR="004841AE" w:rsidRPr="005E310C">
        <w:rPr>
          <w:rFonts w:ascii="Verdana" w:hAnsi="Verdana"/>
          <w:sz w:val="20"/>
          <w:szCs w:val="20"/>
          <w:lang w:val="fr-FR"/>
        </w:rPr>
        <w:t>’</w:t>
      </w:r>
      <w:r w:rsidRPr="005E310C">
        <w:rPr>
          <w:rFonts w:ascii="Verdana" w:hAnsi="Verdana"/>
          <w:sz w:val="20"/>
          <w:szCs w:val="20"/>
          <w:lang w:val="fr-FR"/>
        </w:rPr>
        <w:t>urgence environnementale destinée aux météorologues des SMHN)</w:t>
      </w:r>
    </w:p>
    <w:p w14:paraId="150FCEC3" w14:textId="77777777" w:rsidR="0076324A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lang w:val="fr-FR"/>
        </w:rPr>
      </w:pPr>
      <w:r w:rsidRPr="005E310C">
        <w:rPr>
          <w:lang w:val="fr-FR"/>
        </w:rPr>
        <w:t xml:space="preserve">AR V-12 (1998) – Radiomètre perfectionné à très haute résolution (AVHRR) </w:t>
      </w:r>
    </w:p>
    <w:p w14:paraId="1A7BBC53" w14:textId="77777777" w:rsidR="00C65DF5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 xml:space="preserve">CMAg-11 (1997) Phénomènes agrométéorologiques extrêmes (Rapport CMAg n° 73) </w:t>
      </w:r>
    </w:p>
    <w:p w14:paraId="17F47972" w14:textId="77777777" w:rsidR="0076324A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proofErr w:type="spellStart"/>
      <w:r w:rsidRPr="005E310C">
        <w:rPr>
          <w:lang w:val="fr-FR"/>
        </w:rPr>
        <w:t>CMAg</w:t>
      </w:r>
      <w:proofErr w:type="spellEnd"/>
      <w:r w:rsidRPr="005E310C">
        <w:rPr>
          <w:lang w:val="fr-FR"/>
        </w:rPr>
        <w:t xml:space="preserve">-N° 10 (1982) Feux de friche, particulièrement dans les régions tropicales </w:t>
      </w:r>
    </w:p>
    <w:p w14:paraId="18E3D439" w14:textId="52A6EDF3" w:rsidR="00C65DF5" w:rsidRPr="005E310C" w:rsidRDefault="005B0C03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fr-FR"/>
        </w:rPr>
      </w:pPr>
      <w:r w:rsidRPr="005E310C">
        <w:rPr>
          <w:lang w:val="en-AU"/>
        </w:rPr>
        <w:t xml:space="preserve">Rapport </w:t>
      </w:r>
      <w:proofErr w:type="spellStart"/>
      <w:r w:rsidRPr="005E310C">
        <w:rPr>
          <w:lang w:val="en-AU"/>
        </w:rPr>
        <w:t>spécial</w:t>
      </w:r>
      <w:proofErr w:type="spellEnd"/>
      <w:r w:rsidRPr="005E310C">
        <w:rPr>
          <w:lang w:val="en-AU"/>
        </w:rPr>
        <w:t xml:space="preserve"> sur </w:t>
      </w:r>
      <w:proofErr w:type="spellStart"/>
      <w:r w:rsidRPr="005E310C">
        <w:rPr>
          <w:lang w:val="en-AU"/>
        </w:rPr>
        <w:t>l</w:t>
      </w:r>
      <w:r w:rsidR="004841AE" w:rsidRPr="005E310C">
        <w:rPr>
          <w:lang w:val="en-AU"/>
        </w:rPr>
        <w:t>’</w:t>
      </w:r>
      <w:r w:rsidRPr="005E310C">
        <w:rPr>
          <w:lang w:val="en-AU"/>
        </w:rPr>
        <w:t>environnement</w:t>
      </w:r>
      <w:proofErr w:type="spellEnd"/>
      <w:r w:rsidRPr="005E310C">
        <w:rPr>
          <w:lang w:val="en-AU"/>
        </w:rPr>
        <w:t xml:space="preserve"> n° 11 (1978) </w:t>
      </w:r>
      <w:r w:rsidRPr="005E310C">
        <w:rPr>
          <w:i/>
          <w:iCs/>
          <w:lang w:val="en-AU"/>
        </w:rPr>
        <w:t>Systems for evaluating and predicting the effects of weather and climate in wildland fires</w:t>
      </w:r>
      <w:r w:rsidRPr="005E310C">
        <w:rPr>
          <w:lang w:val="en-AU"/>
        </w:rPr>
        <w:t xml:space="preserve"> (WMO-No. </w:t>
      </w:r>
      <w:r w:rsidRPr="005E310C">
        <w:rPr>
          <w:lang w:val="fr-FR"/>
        </w:rPr>
        <w:t>496) (Systèmes d</w:t>
      </w:r>
      <w:r w:rsidR="004841AE" w:rsidRPr="005E310C">
        <w:rPr>
          <w:lang w:val="fr-FR"/>
        </w:rPr>
        <w:t>’</w:t>
      </w:r>
      <w:r w:rsidRPr="005E310C">
        <w:rPr>
          <w:lang w:val="fr-FR"/>
        </w:rPr>
        <w:t xml:space="preserve">évaluation et de prévision des effets des conditions météorologiques et du climat sur les feux de friche) </w:t>
      </w:r>
    </w:p>
    <w:p w14:paraId="77513EF5" w14:textId="56EC75B7" w:rsidR="0076324A" w:rsidRPr="005E310C" w:rsidRDefault="00C65DF5" w:rsidP="00FB3A3F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b/>
          <w:bCs/>
          <w:lang w:val="fr-FR"/>
        </w:rPr>
      </w:pPr>
      <w:proofErr w:type="spellStart"/>
      <w:r w:rsidRPr="00D67445">
        <w:rPr>
          <w:lang w:val="en-US"/>
        </w:rPr>
        <w:t>CMAg</w:t>
      </w:r>
      <w:proofErr w:type="spellEnd"/>
      <w:r w:rsidRPr="00D67445">
        <w:rPr>
          <w:lang w:val="en-US"/>
        </w:rPr>
        <w:t xml:space="preserve">-3 (1961) </w:t>
      </w:r>
      <w:r w:rsidRPr="00D67445">
        <w:rPr>
          <w:i/>
          <w:iCs/>
          <w:lang w:val="en-US"/>
        </w:rPr>
        <w:t xml:space="preserve">Forecasting for Forest Fire Services </w:t>
      </w:r>
      <w:r w:rsidRPr="00D67445">
        <w:rPr>
          <w:lang w:val="en-US"/>
        </w:rPr>
        <w:t>(WMO</w:t>
      </w:r>
      <w:r w:rsidR="00E8206E" w:rsidRPr="00D67445">
        <w:rPr>
          <w:lang w:val="en-US"/>
        </w:rPr>
        <w:t>-</w:t>
      </w:r>
      <w:r w:rsidRPr="00D67445">
        <w:rPr>
          <w:lang w:val="en-US"/>
        </w:rPr>
        <w:t xml:space="preserve">No. </w:t>
      </w:r>
      <w:r w:rsidRPr="005E310C">
        <w:rPr>
          <w:lang w:val="fr-FR"/>
        </w:rPr>
        <w:t xml:space="preserve">110) (Prévision pour les services de lutte contre les incendies de forêt) 48) </w:t>
      </w:r>
    </w:p>
    <w:p w14:paraId="48BB6D8D" w14:textId="77777777" w:rsidR="00AC48CA" w:rsidRPr="005E310C" w:rsidRDefault="00AC48CA" w:rsidP="00FB3A3F">
      <w:pPr>
        <w:pStyle w:val="Heading3"/>
        <w:spacing w:before="480" w:after="240"/>
        <w:rPr>
          <w:b w:val="0"/>
          <w:bCs w:val="0"/>
        </w:rPr>
      </w:pPr>
      <w:r w:rsidRPr="005E310C">
        <w:rPr>
          <w:lang w:val="fr-FR"/>
        </w:rPr>
        <w:t xml:space="preserve">Liste de sites Web notables </w:t>
      </w:r>
    </w:p>
    <w:p w14:paraId="48B44A0A" w14:textId="30EEC66F" w:rsidR="00AC48CA" w:rsidRPr="005E310C" w:rsidRDefault="002900E8" w:rsidP="00FB3A3F">
      <w:pPr>
        <w:pStyle w:val="CommentText"/>
        <w:numPr>
          <w:ilvl w:val="0"/>
          <w:numId w:val="5"/>
        </w:numPr>
        <w:tabs>
          <w:tab w:val="clear" w:pos="1134"/>
        </w:tabs>
        <w:spacing w:before="240" w:after="240"/>
        <w:ind w:left="567" w:hanging="567"/>
        <w:jc w:val="left"/>
        <w:rPr>
          <w:rStyle w:val="Hyperlink"/>
          <w:rFonts w:eastAsia="Malgun Gothic"/>
          <w:lang w:val="fr-FR"/>
        </w:rPr>
      </w:pPr>
      <w:hyperlink r:id="rId33" w:history="1">
        <w:r w:rsidR="00FB36D5" w:rsidRPr="005E310C">
          <w:rPr>
            <w:lang w:val="fr-FR"/>
          </w:rPr>
          <w:t>Système mondial d</w:t>
        </w:r>
        <w:r w:rsidR="004841AE" w:rsidRPr="005E310C">
          <w:rPr>
            <w:lang w:val="fr-FR"/>
          </w:rPr>
          <w:t>’</w:t>
        </w:r>
        <w:r w:rsidR="00FB36D5" w:rsidRPr="005E310C">
          <w:rPr>
            <w:lang w:val="fr-FR"/>
          </w:rPr>
          <w:t>alerte précoce aux incendies</w:t>
        </w:r>
      </w:hyperlink>
    </w:p>
    <w:p w14:paraId="47893BFF" w14:textId="1938F85A" w:rsidR="00AC48CA" w:rsidRPr="005E310C" w:rsidRDefault="00AC48CA" w:rsidP="00FB3A3F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>Système d</w:t>
      </w:r>
      <w:r w:rsidR="004841AE" w:rsidRPr="005E310C">
        <w:rPr>
          <w:lang w:val="fr-FR"/>
        </w:rPr>
        <w:t>’</w:t>
      </w:r>
      <w:r w:rsidRPr="005E310C">
        <w:rPr>
          <w:lang w:val="fr-FR"/>
        </w:rPr>
        <w:t xml:space="preserve">alerte précoce formulé dans le cadre du Groupe de travail </w:t>
      </w:r>
      <w:proofErr w:type="spellStart"/>
      <w:r w:rsidRPr="005E310C">
        <w:rPr>
          <w:lang w:val="fr-FR"/>
        </w:rPr>
        <w:t>interinstitutions</w:t>
      </w:r>
      <w:proofErr w:type="spellEnd"/>
      <w:r w:rsidRPr="005E310C">
        <w:rPr>
          <w:lang w:val="fr-FR"/>
        </w:rPr>
        <w:t xml:space="preserve"> pour les feux de forêt</w:t>
      </w:r>
      <w:r w:rsidR="00D67445">
        <w:rPr>
          <w:lang w:val="fr-FR"/>
        </w:rPr>
        <w:br/>
      </w:r>
      <w:hyperlink r:id="rId34" w:history="1">
        <w:r w:rsidR="00D67445" w:rsidRPr="00E62EDE">
          <w:rPr>
            <w:rStyle w:val="Hyperlink"/>
            <w:lang w:val="fr-FR"/>
          </w:rPr>
          <w:t>https://www.unisdr.org/2005/task-force/tf-working-groups4-eng.htm</w:t>
        </w:r>
      </w:hyperlink>
      <w:r w:rsidR="00D67445">
        <w:rPr>
          <w:lang w:val="fr-FR"/>
        </w:rPr>
        <w:t xml:space="preserve"> </w:t>
      </w:r>
    </w:p>
    <w:p w14:paraId="76CF81B8" w14:textId="5E8F7EBB" w:rsidR="00AC48CA" w:rsidRPr="005E310C" w:rsidRDefault="00AC48CA" w:rsidP="00FB3A3F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val="fr-FR"/>
        </w:rPr>
      </w:pPr>
      <w:r w:rsidRPr="005E310C">
        <w:rPr>
          <w:lang w:val="fr-FR"/>
        </w:rPr>
        <w:t xml:space="preserve">Présidé par le Centre mondial de surveillance des incendies </w:t>
      </w:r>
    </w:p>
    <w:p w14:paraId="6D8FC0FA" w14:textId="660C10D4" w:rsidR="00FB36D5" w:rsidRPr="003C276D" w:rsidRDefault="00AC48CA" w:rsidP="00357785">
      <w:pPr>
        <w:pStyle w:val="CommentText"/>
        <w:numPr>
          <w:ilvl w:val="0"/>
          <w:numId w:val="5"/>
        </w:numPr>
        <w:tabs>
          <w:tab w:val="clear" w:pos="1134"/>
        </w:tabs>
        <w:spacing w:before="240" w:after="240"/>
        <w:ind w:left="567" w:hanging="567"/>
        <w:jc w:val="left"/>
        <w:rPr>
          <w:rStyle w:val="Hyperlink"/>
          <w:color w:val="auto"/>
          <w:lang w:val="fr-FR"/>
        </w:rPr>
      </w:pPr>
      <w:r w:rsidRPr="003C276D">
        <w:rPr>
          <w:lang w:val="fr-FR"/>
        </w:rPr>
        <w:t xml:space="preserve">Service de gestion des urgences </w:t>
      </w:r>
      <w:proofErr w:type="spellStart"/>
      <w:r w:rsidRPr="003C276D">
        <w:rPr>
          <w:lang w:val="fr-FR"/>
        </w:rPr>
        <w:t>Copernicus</w:t>
      </w:r>
      <w:proofErr w:type="spellEnd"/>
      <w:r w:rsidR="003C276D" w:rsidRPr="003C276D">
        <w:rPr>
          <w:lang w:val="fr-FR"/>
        </w:rPr>
        <w:br/>
      </w:r>
      <w:hyperlink r:id="rId35" w:history="1">
        <w:r w:rsidR="00D67445" w:rsidRPr="003C276D">
          <w:rPr>
            <w:rStyle w:val="Hyperlink"/>
            <w:lang w:val="fr-FR"/>
          </w:rPr>
          <w:t>http://</w:t>
        </w:r>
        <w:proofErr w:type="spellStart"/>
        <w:r w:rsidR="00D67445" w:rsidRPr="003C276D">
          <w:rPr>
            <w:rStyle w:val="Hyperlink"/>
            <w:lang w:val="fr-FR"/>
          </w:rPr>
          <w:t>effis.jrc.ec.europa.eu</w:t>
        </w:r>
        <w:proofErr w:type="spellEnd"/>
        <w:r w:rsidR="00D67445" w:rsidRPr="003C276D">
          <w:rPr>
            <w:rStyle w:val="Hyperlink"/>
            <w:lang w:val="fr-FR"/>
          </w:rPr>
          <w:t>/</w:t>
        </w:r>
      </w:hyperlink>
    </w:p>
    <w:p w14:paraId="61516B6D" w14:textId="17A2954F" w:rsidR="00FB36D5" w:rsidRPr="00FB3A3F" w:rsidRDefault="00FB36D5" w:rsidP="00FB36D5">
      <w:pPr>
        <w:pStyle w:val="CommentText"/>
        <w:tabs>
          <w:tab w:val="clear" w:pos="1134"/>
        </w:tabs>
        <w:spacing w:before="240" w:after="240"/>
        <w:jc w:val="center"/>
        <w:rPr>
          <w:rFonts w:eastAsia="Malgun Gothic"/>
        </w:rPr>
      </w:pPr>
      <w:r>
        <w:rPr>
          <w:lang w:val="fr-FR"/>
        </w:rPr>
        <w:t>________________</w:t>
      </w:r>
    </w:p>
    <w:sectPr w:rsidR="00FB36D5" w:rsidRPr="00FB3A3F" w:rsidSect="0020095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18F3" w14:textId="77777777" w:rsidR="003E1FED" w:rsidRDefault="003E1FED">
      <w:r>
        <w:separator/>
      </w:r>
    </w:p>
    <w:p w14:paraId="1E07FD51" w14:textId="77777777" w:rsidR="003E1FED" w:rsidRDefault="003E1FED"/>
    <w:p w14:paraId="338DDA81" w14:textId="77777777" w:rsidR="003E1FED" w:rsidRDefault="003E1FED"/>
  </w:endnote>
  <w:endnote w:type="continuationSeparator" w:id="0">
    <w:p w14:paraId="12CB9B6F" w14:textId="77777777" w:rsidR="003E1FED" w:rsidRDefault="003E1FED">
      <w:r>
        <w:continuationSeparator/>
      </w:r>
    </w:p>
    <w:p w14:paraId="2816AB19" w14:textId="77777777" w:rsidR="003E1FED" w:rsidRDefault="003E1FED"/>
    <w:p w14:paraId="08AE9349" w14:textId="77777777" w:rsidR="003E1FED" w:rsidRDefault="003E1FED"/>
  </w:endnote>
  <w:endnote w:type="continuationNotice" w:id="1">
    <w:p w14:paraId="555FECA3" w14:textId="77777777" w:rsidR="003E1FED" w:rsidRDefault="003E1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3401" w14:textId="77777777" w:rsidR="002900E8" w:rsidRDefault="0029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E8BF" w14:textId="77777777" w:rsidR="002900E8" w:rsidRDefault="0029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AB2" w14:textId="77777777" w:rsidR="002900E8" w:rsidRDefault="00290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6838" w14:textId="77777777" w:rsidR="003E1FED" w:rsidRDefault="003E1FED">
      <w:r>
        <w:separator/>
      </w:r>
    </w:p>
  </w:footnote>
  <w:footnote w:type="continuationSeparator" w:id="0">
    <w:p w14:paraId="226BD5DF" w14:textId="77777777" w:rsidR="003E1FED" w:rsidRDefault="003E1FED">
      <w:r>
        <w:continuationSeparator/>
      </w:r>
    </w:p>
    <w:p w14:paraId="1DF8882E" w14:textId="77777777" w:rsidR="003E1FED" w:rsidRDefault="003E1FED"/>
    <w:p w14:paraId="628D2114" w14:textId="77777777" w:rsidR="003E1FED" w:rsidRDefault="003E1FED"/>
  </w:footnote>
  <w:footnote w:type="continuationNotice" w:id="1">
    <w:p w14:paraId="7E3CB88F" w14:textId="77777777" w:rsidR="003E1FED" w:rsidRDefault="003E1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06EE" w14:textId="77777777" w:rsidR="0030201E" w:rsidRDefault="002900E8">
    <w:pPr>
      <w:pStyle w:val="Header"/>
    </w:pPr>
    <w:r>
      <w:rPr>
        <w:noProof/>
      </w:rPr>
      <w:pict w14:anchorId="55DF12CA">
        <v:shapetype id="_x0000_m103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9E0B8CE">
        <v:shape id="_x0000_s1025" type="#_x0000_m1036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593FBD3D" w14:textId="77777777" w:rsidR="008F744C" w:rsidRDefault="008F744C"/>
  <w:p w14:paraId="7D4BB2D6" w14:textId="77777777" w:rsidR="0030201E" w:rsidRDefault="002900E8">
    <w:pPr>
      <w:pStyle w:val="Header"/>
    </w:pPr>
    <w:r>
      <w:rPr>
        <w:noProof/>
      </w:rPr>
      <w:pict w14:anchorId="6D1EA67A">
        <v:shapetype id="_x0000_m103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BE588E3">
        <v:shape id="_x0000_s1027" type="#_x0000_m1035" style="position:absolute;left:0;text-align:left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5C18A83D" w14:textId="77777777" w:rsidR="008F744C" w:rsidRDefault="008F744C"/>
  <w:p w14:paraId="38FB0699" w14:textId="77777777" w:rsidR="0030201E" w:rsidRDefault="002900E8">
    <w:pPr>
      <w:pStyle w:val="Header"/>
    </w:pPr>
    <w:r>
      <w:rPr>
        <w:noProof/>
      </w:rPr>
      <w:pict w14:anchorId="3FC13BF7">
        <v:shapetype id="_x0000_m103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32641DA">
        <v:shape id="_x0000_s1029" type="#_x0000_m1034" style="position:absolute;left:0;text-align:left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9200" w14:textId="078638A7" w:rsidR="00A432CD" w:rsidRPr="002900E8" w:rsidRDefault="009A2C8C" w:rsidP="00B72444">
    <w:pPr>
      <w:pStyle w:val="Header"/>
      <w:rPr>
        <w:sz w:val="18"/>
        <w:szCs w:val="18"/>
      </w:rPr>
    </w:pPr>
    <w:r w:rsidRPr="002900E8">
      <w:rPr>
        <w:sz w:val="18"/>
        <w:szCs w:val="18"/>
      </w:rPr>
      <w:t>SERCOM-2/INF. 5.6(2)</w:t>
    </w:r>
    <w:r w:rsidR="00A432CD" w:rsidRPr="002900E8">
      <w:rPr>
        <w:sz w:val="18"/>
        <w:szCs w:val="18"/>
      </w:rPr>
      <w:t xml:space="preserve">, p. </w:t>
    </w:r>
    <w:r w:rsidR="00A432CD" w:rsidRPr="002900E8">
      <w:rPr>
        <w:rStyle w:val="PageNumber"/>
        <w:sz w:val="18"/>
        <w:szCs w:val="18"/>
      </w:rPr>
      <w:fldChar w:fldCharType="begin"/>
    </w:r>
    <w:r w:rsidR="00A432CD" w:rsidRPr="002900E8">
      <w:rPr>
        <w:rStyle w:val="PageNumber"/>
        <w:sz w:val="18"/>
        <w:szCs w:val="18"/>
      </w:rPr>
      <w:instrText xml:space="preserve"> PAGE </w:instrText>
    </w:r>
    <w:r w:rsidR="00A432CD" w:rsidRPr="002900E8">
      <w:rPr>
        <w:rStyle w:val="PageNumber"/>
        <w:sz w:val="18"/>
        <w:szCs w:val="18"/>
      </w:rPr>
      <w:fldChar w:fldCharType="separate"/>
    </w:r>
    <w:r w:rsidR="00A432CD" w:rsidRPr="002900E8">
      <w:rPr>
        <w:rStyle w:val="PageNumber"/>
        <w:noProof/>
        <w:sz w:val="18"/>
        <w:szCs w:val="18"/>
      </w:rPr>
      <w:t>6</w:t>
    </w:r>
    <w:r w:rsidR="00A432CD" w:rsidRPr="002900E8">
      <w:rPr>
        <w:rStyle w:val="PageNumber"/>
        <w:sz w:val="18"/>
        <w:szCs w:val="18"/>
      </w:rPr>
      <w:fldChar w:fldCharType="end"/>
    </w:r>
    <w:r w:rsidR="002900E8" w:rsidRPr="002900E8">
      <w:rPr>
        <w:sz w:val="18"/>
        <w:szCs w:val="18"/>
      </w:rPr>
      <w:pict w14:anchorId="1DB94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656192;visibility:hidden;mso-position-horizontal-relative:text;mso-position-vertical-relative:text">
          <v:path gradientshapeok="f"/>
          <o:lock v:ext="edit" selection="t"/>
        </v:shape>
      </w:pict>
    </w:r>
    <w:r w:rsidR="002900E8" w:rsidRPr="002900E8">
      <w:rPr>
        <w:sz w:val="18"/>
        <w:szCs w:val="18"/>
      </w:rPr>
      <w:pict w14:anchorId="1E76DD54">
        <v:shape id="_x0000_s1032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EFA7" w14:textId="589B8CEF" w:rsidR="0030201E" w:rsidRDefault="002900E8" w:rsidP="00FB36D5">
    <w:pPr>
      <w:pStyle w:val="Header"/>
      <w:spacing w:after="0"/>
    </w:pPr>
    <w:r>
      <w:pict w14:anchorId="47750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0;width:50pt;height:50pt;z-index:251658240;visibility:hidden">
          <v:path gradientshapeok="f"/>
          <o:lock v:ext="edit" selection="t"/>
        </v:shape>
      </w:pict>
    </w:r>
    <w:r>
      <w:pict w14:anchorId="235A2E4A">
        <v:shape id="_x0000_s1030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45"/>
    <w:multiLevelType w:val="hybridMultilevel"/>
    <w:tmpl w:val="5290AE88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AAF5278"/>
    <w:multiLevelType w:val="hybridMultilevel"/>
    <w:tmpl w:val="1206E17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BDE"/>
    <w:multiLevelType w:val="multilevel"/>
    <w:tmpl w:val="044E74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3" w15:restartNumberingAfterBreak="0">
    <w:nsid w:val="29333107"/>
    <w:multiLevelType w:val="hybridMultilevel"/>
    <w:tmpl w:val="93B4FC7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1D39"/>
    <w:multiLevelType w:val="hybridMultilevel"/>
    <w:tmpl w:val="7D209EFE"/>
    <w:lvl w:ilvl="0" w:tplc="E19CA0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F02"/>
    <w:multiLevelType w:val="hybridMultilevel"/>
    <w:tmpl w:val="7A50C2E4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39798D"/>
    <w:multiLevelType w:val="hybridMultilevel"/>
    <w:tmpl w:val="25AC7E40"/>
    <w:lvl w:ilvl="0" w:tplc="C1F2DB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4563"/>
    <w:multiLevelType w:val="hybridMultilevel"/>
    <w:tmpl w:val="D580490E"/>
    <w:lvl w:ilvl="0" w:tplc="28E647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C60"/>
    <w:multiLevelType w:val="hybridMultilevel"/>
    <w:tmpl w:val="BCD275D6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04D05B3"/>
    <w:multiLevelType w:val="hybridMultilevel"/>
    <w:tmpl w:val="D774025E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40150950">
    <w:abstractNumId w:val="4"/>
  </w:num>
  <w:num w:numId="2" w16cid:durableId="360859627">
    <w:abstractNumId w:val="7"/>
  </w:num>
  <w:num w:numId="3" w16cid:durableId="1798185711">
    <w:abstractNumId w:val="1"/>
  </w:num>
  <w:num w:numId="4" w16cid:durableId="1116950813">
    <w:abstractNumId w:val="6"/>
  </w:num>
  <w:num w:numId="5" w16cid:durableId="606739743">
    <w:abstractNumId w:val="3"/>
  </w:num>
  <w:num w:numId="6" w16cid:durableId="299842445">
    <w:abstractNumId w:val="8"/>
  </w:num>
  <w:num w:numId="7" w16cid:durableId="958688287">
    <w:abstractNumId w:val="0"/>
  </w:num>
  <w:num w:numId="8" w16cid:durableId="669799039">
    <w:abstractNumId w:val="9"/>
  </w:num>
  <w:num w:numId="9" w16cid:durableId="995492007">
    <w:abstractNumId w:val="5"/>
  </w:num>
  <w:num w:numId="10" w16cid:durableId="170559364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C"/>
    <w:rsid w:val="000051A3"/>
    <w:rsid w:val="00005301"/>
    <w:rsid w:val="00006181"/>
    <w:rsid w:val="000133EE"/>
    <w:rsid w:val="000206A8"/>
    <w:rsid w:val="00027205"/>
    <w:rsid w:val="0003137A"/>
    <w:rsid w:val="000315C4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65EC9"/>
    <w:rsid w:val="00072F17"/>
    <w:rsid w:val="000731AA"/>
    <w:rsid w:val="000752BB"/>
    <w:rsid w:val="000806D8"/>
    <w:rsid w:val="00082C80"/>
    <w:rsid w:val="00083847"/>
    <w:rsid w:val="00083C36"/>
    <w:rsid w:val="00084D58"/>
    <w:rsid w:val="00092CAE"/>
    <w:rsid w:val="00093440"/>
    <w:rsid w:val="00095E48"/>
    <w:rsid w:val="000A4F1C"/>
    <w:rsid w:val="000A69BF"/>
    <w:rsid w:val="000C225A"/>
    <w:rsid w:val="000C58F7"/>
    <w:rsid w:val="000C6781"/>
    <w:rsid w:val="000D0753"/>
    <w:rsid w:val="000E6849"/>
    <w:rsid w:val="000F099E"/>
    <w:rsid w:val="000F4E77"/>
    <w:rsid w:val="000F5E49"/>
    <w:rsid w:val="000F7A87"/>
    <w:rsid w:val="00102EAE"/>
    <w:rsid w:val="001047DC"/>
    <w:rsid w:val="00105D2E"/>
    <w:rsid w:val="00105EFF"/>
    <w:rsid w:val="00111BFD"/>
    <w:rsid w:val="0011498B"/>
    <w:rsid w:val="00120147"/>
    <w:rsid w:val="00123140"/>
    <w:rsid w:val="00123D94"/>
    <w:rsid w:val="00130BBC"/>
    <w:rsid w:val="00133AB7"/>
    <w:rsid w:val="00133D13"/>
    <w:rsid w:val="00150DBD"/>
    <w:rsid w:val="00156F9B"/>
    <w:rsid w:val="00163BA3"/>
    <w:rsid w:val="00166B31"/>
    <w:rsid w:val="00167D54"/>
    <w:rsid w:val="0017270D"/>
    <w:rsid w:val="00176AB5"/>
    <w:rsid w:val="00180771"/>
    <w:rsid w:val="00190854"/>
    <w:rsid w:val="001915E2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2AC"/>
    <w:rsid w:val="001D3CFB"/>
    <w:rsid w:val="001D559B"/>
    <w:rsid w:val="001D6302"/>
    <w:rsid w:val="001E2C22"/>
    <w:rsid w:val="001E740C"/>
    <w:rsid w:val="001E7DD0"/>
    <w:rsid w:val="001F1BDA"/>
    <w:rsid w:val="001F5940"/>
    <w:rsid w:val="0020095E"/>
    <w:rsid w:val="00210BFE"/>
    <w:rsid w:val="00210D30"/>
    <w:rsid w:val="0021449D"/>
    <w:rsid w:val="002204FD"/>
    <w:rsid w:val="00221020"/>
    <w:rsid w:val="00227029"/>
    <w:rsid w:val="002308B5"/>
    <w:rsid w:val="00233C0B"/>
    <w:rsid w:val="00234A34"/>
    <w:rsid w:val="0025255D"/>
    <w:rsid w:val="00255EE3"/>
    <w:rsid w:val="00256B3D"/>
    <w:rsid w:val="00263435"/>
    <w:rsid w:val="0026743C"/>
    <w:rsid w:val="00270480"/>
    <w:rsid w:val="00276F45"/>
    <w:rsid w:val="002779AF"/>
    <w:rsid w:val="002823D8"/>
    <w:rsid w:val="0028527E"/>
    <w:rsid w:val="0028531A"/>
    <w:rsid w:val="00285446"/>
    <w:rsid w:val="00290082"/>
    <w:rsid w:val="002900E8"/>
    <w:rsid w:val="00292D79"/>
    <w:rsid w:val="00295593"/>
    <w:rsid w:val="002A2F6C"/>
    <w:rsid w:val="002A354F"/>
    <w:rsid w:val="002A35BC"/>
    <w:rsid w:val="002A386C"/>
    <w:rsid w:val="002B09DF"/>
    <w:rsid w:val="002B540D"/>
    <w:rsid w:val="002B7A7E"/>
    <w:rsid w:val="002C30BC"/>
    <w:rsid w:val="002C561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07E2"/>
    <w:rsid w:val="00301881"/>
    <w:rsid w:val="00301E8C"/>
    <w:rsid w:val="0030201E"/>
    <w:rsid w:val="00307DDD"/>
    <w:rsid w:val="003143C9"/>
    <w:rsid w:val="003146E9"/>
    <w:rsid w:val="00314D5D"/>
    <w:rsid w:val="00315AE4"/>
    <w:rsid w:val="00320009"/>
    <w:rsid w:val="0032424A"/>
    <w:rsid w:val="003245D3"/>
    <w:rsid w:val="0033018D"/>
    <w:rsid w:val="00330AA3"/>
    <w:rsid w:val="00331584"/>
    <w:rsid w:val="00331964"/>
    <w:rsid w:val="00334987"/>
    <w:rsid w:val="00340C69"/>
    <w:rsid w:val="00342E34"/>
    <w:rsid w:val="003454AF"/>
    <w:rsid w:val="00352927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0580"/>
    <w:rsid w:val="003A7016"/>
    <w:rsid w:val="003B0C08"/>
    <w:rsid w:val="003B142B"/>
    <w:rsid w:val="003C17A5"/>
    <w:rsid w:val="003C1843"/>
    <w:rsid w:val="003C276D"/>
    <w:rsid w:val="003D1552"/>
    <w:rsid w:val="003D1600"/>
    <w:rsid w:val="003E1FED"/>
    <w:rsid w:val="003E381F"/>
    <w:rsid w:val="003E4046"/>
    <w:rsid w:val="003E7BA3"/>
    <w:rsid w:val="003F003A"/>
    <w:rsid w:val="003F125B"/>
    <w:rsid w:val="003F7B3F"/>
    <w:rsid w:val="0040310F"/>
    <w:rsid w:val="0040486C"/>
    <w:rsid w:val="004058AD"/>
    <w:rsid w:val="0041078D"/>
    <w:rsid w:val="00416F97"/>
    <w:rsid w:val="00425173"/>
    <w:rsid w:val="00425C78"/>
    <w:rsid w:val="0043039B"/>
    <w:rsid w:val="00436197"/>
    <w:rsid w:val="004408FE"/>
    <w:rsid w:val="004423FE"/>
    <w:rsid w:val="00445C35"/>
    <w:rsid w:val="004540EB"/>
    <w:rsid w:val="00454B41"/>
    <w:rsid w:val="0045663A"/>
    <w:rsid w:val="0046344E"/>
    <w:rsid w:val="004667E7"/>
    <w:rsid w:val="004672CF"/>
    <w:rsid w:val="00470DEF"/>
    <w:rsid w:val="00475797"/>
    <w:rsid w:val="00476D0A"/>
    <w:rsid w:val="004841AE"/>
    <w:rsid w:val="00491024"/>
    <w:rsid w:val="0049253B"/>
    <w:rsid w:val="00494F39"/>
    <w:rsid w:val="004A140B"/>
    <w:rsid w:val="004A4B47"/>
    <w:rsid w:val="004B0EC9"/>
    <w:rsid w:val="004B7BAA"/>
    <w:rsid w:val="004C2DF7"/>
    <w:rsid w:val="004C4E0B"/>
    <w:rsid w:val="004D497E"/>
    <w:rsid w:val="004E4795"/>
    <w:rsid w:val="004E4809"/>
    <w:rsid w:val="004E4CC3"/>
    <w:rsid w:val="004E5985"/>
    <w:rsid w:val="004E6352"/>
    <w:rsid w:val="004E6460"/>
    <w:rsid w:val="004E6A5B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6328C"/>
    <w:rsid w:val="0056646F"/>
    <w:rsid w:val="00571AE1"/>
    <w:rsid w:val="00581B28"/>
    <w:rsid w:val="005859C2"/>
    <w:rsid w:val="00592267"/>
    <w:rsid w:val="0059421F"/>
    <w:rsid w:val="00595911"/>
    <w:rsid w:val="00597909"/>
    <w:rsid w:val="005A136D"/>
    <w:rsid w:val="005A2589"/>
    <w:rsid w:val="005B0AE2"/>
    <w:rsid w:val="005B0C03"/>
    <w:rsid w:val="005B1F2C"/>
    <w:rsid w:val="005B5F3C"/>
    <w:rsid w:val="005B7D2F"/>
    <w:rsid w:val="005C2DDA"/>
    <w:rsid w:val="005C416A"/>
    <w:rsid w:val="005C41F2"/>
    <w:rsid w:val="005D03D9"/>
    <w:rsid w:val="005D1EE8"/>
    <w:rsid w:val="005D56AE"/>
    <w:rsid w:val="005D666D"/>
    <w:rsid w:val="005E310C"/>
    <w:rsid w:val="005E3A59"/>
    <w:rsid w:val="00600A0D"/>
    <w:rsid w:val="00604802"/>
    <w:rsid w:val="006078BD"/>
    <w:rsid w:val="00615AB0"/>
    <w:rsid w:val="00616247"/>
    <w:rsid w:val="006172E1"/>
    <w:rsid w:val="0061778C"/>
    <w:rsid w:val="00636B90"/>
    <w:rsid w:val="0064738B"/>
    <w:rsid w:val="006508EA"/>
    <w:rsid w:val="00667E86"/>
    <w:rsid w:val="0068392D"/>
    <w:rsid w:val="00686FD4"/>
    <w:rsid w:val="00697DB5"/>
    <w:rsid w:val="006A1B33"/>
    <w:rsid w:val="006A41AA"/>
    <w:rsid w:val="006A492A"/>
    <w:rsid w:val="006B5C72"/>
    <w:rsid w:val="006B7C5A"/>
    <w:rsid w:val="006C289D"/>
    <w:rsid w:val="006D0310"/>
    <w:rsid w:val="006D2009"/>
    <w:rsid w:val="006D5576"/>
    <w:rsid w:val="006E1C67"/>
    <w:rsid w:val="006E5870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5D9E"/>
    <w:rsid w:val="00745A09"/>
    <w:rsid w:val="00746ED6"/>
    <w:rsid w:val="00751507"/>
    <w:rsid w:val="00751EAF"/>
    <w:rsid w:val="00754CF7"/>
    <w:rsid w:val="00757B0D"/>
    <w:rsid w:val="00760666"/>
    <w:rsid w:val="00761320"/>
    <w:rsid w:val="0076324A"/>
    <w:rsid w:val="007651B1"/>
    <w:rsid w:val="00767CE1"/>
    <w:rsid w:val="00771A68"/>
    <w:rsid w:val="007744D2"/>
    <w:rsid w:val="007772BF"/>
    <w:rsid w:val="007776C4"/>
    <w:rsid w:val="00786136"/>
    <w:rsid w:val="00787CD6"/>
    <w:rsid w:val="00795031"/>
    <w:rsid w:val="007B05CF"/>
    <w:rsid w:val="007B2A93"/>
    <w:rsid w:val="007C212A"/>
    <w:rsid w:val="007C22CA"/>
    <w:rsid w:val="007C52C3"/>
    <w:rsid w:val="007D5B3C"/>
    <w:rsid w:val="007E05F7"/>
    <w:rsid w:val="007E7D21"/>
    <w:rsid w:val="007E7DBD"/>
    <w:rsid w:val="007F482F"/>
    <w:rsid w:val="007F5B11"/>
    <w:rsid w:val="007F7C94"/>
    <w:rsid w:val="0080398D"/>
    <w:rsid w:val="00805174"/>
    <w:rsid w:val="00806385"/>
    <w:rsid w:val="00807CC5"/>
    <w:rsid w:val="00807ED7"/>
    <w:rsid w:val="00814CC6"/>
    <w:rsid w:val="008158B9"/>
    <w:rsid w:val="00826D53"/>
    <w:rsid w:val="008273AA"/>
    <w:rsid w:val="00831751"/>
    <w:rsid w:val="00833369"/>
    <w:rsid w:val="00835B42"/>
    <w:rsid w:val="00842A4E"/>
    <w:rsid w:val="00843E9D"/>
    <w:rsid w:val="00847D99"/>
    <w:rsid w:val="0085038E"/>
    <w:rsid w:val="0085230A"/>
    <w:rsid w:val="00855757"/>
    <w:rsid w:val="00860B9A"/>
    <w:rsid w:val="00861D40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55D8"/>
    <w:rsid w:val="008A7313"/>
    <w:rsid w:val="008A7D91"/>
    <w:rsid w:val="008B0B2B"/>
    <w:rsid w:val="008B7FC7"/>
    <w:rsid w:val="008C4337"/>
    <w:rsid w:val="008C4F06"/>
    <w:rsid w:val="008C730D"/>
    <w:rsid w:val="008D0C90"/>
    <w:rsid w:val="008E1E4A"/>
    <w:rsid w:val="008F0615"/>
    <w:rsid w:val="008F103E"/>
    <w:rsid w:val="008F1FDB"/>
    <w:rsid w:val="008F36FB"/>
    <w:rsid w:val="008F744C"/>
    <w:rsid w:val="00902EA9"/>
    <w:rsid w:val="0090427F"/>
    <w:rsid w:val="00920506"/>
    <w:rsid w:val="00931DEB"/>
    <w:rsid w:val="00933957"/>
    <w:rsid w:val="009356FA"/>
    <w:rsid w:val="00940B6D"/>
    <w:rsid w:val="009435A6"/>
    <w:rsid w:val="0094603B"/>
    <w:rsid w:val="009504A1"/>
    <w:rsid w:val="00950605"/>
    <w:rsid w:val="00952233"/>
    <w:rsid w:val="00954D66"/>
    <w:rsid w:val="00963F8F"/>
    <w:rsid w:val="00972B9E"/>
    <w:rsid w:val="00973C62"/>
    <w:rsid w:val="00975A5B"/>
    <w:rsid w:val="00975D76"/>
    <w:rsid w:val="00982E51"/>
    <w:rsid w:val="009874B9"/>
    <w:rsid w:val="00993581"/>
    <w:rsid w:val="0099690A"/>
    <w:rsid w:val="00996A95"/>
    <w:rsid w:val="009A08F9"/>
    <w:rsid w:val="009A288C"/>
    <w:rsid w:val="009A2C8C"/>
    <w:rsid w:val="009A64C1"/>
    <w:rsid w:val="009B6697"/>
    <w:rsid w:val="009C2B43"/>
    <w:rsid w:val="009C2EA4"/>
    <w:rsid w:val="009C4C04"/>
    <w:rsid w:val="009D5213"/>
    <w:rsid w:val="009E1C95"/>
    <w:rsid w:val="009F09BA"/>
    <w:rsid w:val="009F196A"/>
    <w:rsid w:val="009F669B"/>
    <w:rsid w:val="009F7566"/>
    <w:rsid w:val="009F7F18"/>
    <w:rsid w:val="00A010C2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2734F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B32BD"/>
    <w:rsid w:val="00AB4723"/>
    <w:rsid w:val="00AC48CA"/>
    <w:rsid w:val="00AC4CDB"/>
    <w:rsid w:val="00AC70FE"/>
    <w:rsid w:val="00AD3AA3"/>
    <w:rsid w:val="00AD4358"/>
    <w:rsid w:val="00AD4B49"/>
    <w:rsid w:val="00AE7782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06D7E"/>
    <w:rsid w:val="00B10035"/>
    <w:rsid w:val="00B15C76"/>
    <w:rsid w:val="00B165E6"/>
    <w:rsid w:val="00B178E7"/>
    <w:rsid w:val="00B224C8"/>
    <w:rsid w:val="00B235DB"/>
    <w:rsid w:val="00B424D9"/>
    <w:rsid w:val="00B447C0"/>
    <w:rsid w:val="00B52510"/>
    <w:rsid w:val="00B53E53"/>
    <w:rsid w:val="00B548A2"/>
    <w:rsid w:val="00B56934"/>
    <w:rsid w:val="00B60F64"/>
    <w:rsid w:val="00B62F03"/>
    <w:rsid w:val="00B72444"/>
    <w:rsid w:val="00B73436"/>
    <w:rsid w:val="00B93B62"/>
    <w:rsid w:val="00B953D1"/>
    <w:rsid w:val="00B96D93"/>
    <w:rsid w:val="00BA21D3"/>
    <w:rsid w:val="00BA30D0"/>
    <w:rsid w:val="00BB0D32"/>
    <w:rsid w:val="00BB2FE7"/>
    <w:rsid w:val="00BC36DA"/>
    <w:rsid w:val="00BC76B5"/>
    <w:rsid w:val="00BD5420"/>
    <w:rsid w:val="00BD7862"/>
    <w:rsid w:val="00BE2AEA"/>
    <w:rsid w:val="00BE401B"/>
    <w:rsid w:val="00BF27E5"/>
    <w:rsid w:val="00BF36C9"/>
    <w:rsid w:val="00BF5191"/>
    <w:rsid w:val="00C0183A"/>
    <w:rsid w:val="00C01844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3DA6"/>
    <w:rsid w:val="00C4470F"/>
    <w:rsid w:val="00C50727"/>
    <w:rsid w:val="00C55E5B"/>
    <w:rsid w:val="00C5649B"/>
    <w:rsid w:val="00C62739"/>
    <w:rsid w:val="00C65DF5"/>
    <w:rsid w:val="00C720A4"/>
    <w:rsid w:val="00C74F59"/>
    <w:rsid w:val="00C7611C"/>
    <w:rsid w:val="00C9296A"/>
    <w:rsid w:val="00C94097"/>
    <w:rsid w:val="00CA4269"/>
    <w:rsid w:val="00CA48CA"/>
    <w:rsid w:val="00CA7330"/>
    <w:rsid w:val="00CB1C84"/>
    <w:rsid w:val="00CB5363"/>
    <w:rsid w:val="00CB64F0"/>
    <w:rsid w:val="00CC10DA"/>
    <w:rsid w:val="00CC2909"/>
    <w:rsid w:val="00CD0549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537AB"/>
    <w:rsid w:val="00D664D7"/>
    <w:rsid w:val="00D67445"/>
    <w:rsid w:val="00D67E1E"/>
    <w:rsid w:val="00D7097B"/>
    <w:rsid w:val="00D7197D"/>
    <w:rsid w:val="00D72BC4"/>
    <w:rsid w:val="00D815FC"/>
    <w:rsid w:val="00D8517B"/>
    <w:rsid w:val="00D91DFA"/>
    <w:rsid w:val="00DA159A"/>
    <w:rsid w:val="00DA1999"/>
    <w:rsid w:val="00DB1AB2"/>
    <w:rsid w:val="00DC17C2"/>
    <w:rsid w:val="00DC4FDF"/>
    <w:rsid w:val="00DC66F0"/>
    <w:rsid w:val="00DD3105"/>
    <w:rsid w:val="00DD3A65"/>
    <w:rsid w:val="00DD5E73"/>
    <w:rsid w:val="00DD62C6"/>
    <w:rsid w:val="00DE3B92"/>
    <w:rsid w:val="00DE48B4"/>
    <w:rsid w:val="00DE5ACA"/>
    <w:rsid w:val="00DE7137"/>
    <w:rsid w:val="00DF18E4"/>
    <w:rsid w:val="00E00498"/>
    <w:rsid w:val="00E040F7"/>
    <w:rsid w:val="00E07AB3"/>
    <w:rsid w:val="00E1038B"/>
    <w:rsid w:val="00E128C9"/>
    <w:rsid w:val="00E12E3A"/>
    <w:rsid w:val="00E1464C"/>
    <w:rsid w:val="00E14ADB"/>
    <w:rsid w:val="00E22F78"/>
    <w:rsid w:val="00E2425D"/>
    <w:rsid w:val="00E24F87"/>
    <w:rsid w:val="00E25835"/>
    <w:rsid w:val="00E2617A"/>
    <w:rsid w:val="00E273FB"/>
    <w:rsid w:val="00E31CD4"/>
    <w:rsid w:val="00E347F5"/>
    <w:rsid w:val="00E44D31"/>
    <w:rsid w:val="00E538E6"/>
    <w:rsid w:val="00E55AC2"/>
    <w:rsid w:val="00E56696"/>
    <w:rsid w:val="00E71492"/>
    <w:rsid w:val="00E74332"/>
    <w:rsid w:val="00E768A9"/>
    <w:rsid w:val="00E802A2"/>
    <w:rsid w:val="00E8206E"/>
    <w:rsid w:val="00E8410F"/>
    <w:rsid w:val="00E8568E"/>
    <w:rsid w:val="00E85C0B"/>
    <w:rsid w:val="00E90CFB"/>
    <w:rsid w:val="00EA7089"/>
    <w:rsid w:val="00EB13D7"/>
    <w:rsid w:val="00EB1E83"/>
    <w:rsid w:val="00ED1457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29"/>
    <w:rsid w:val="00F0267E"/>
    <w:rsid w:val="00F071B2"/>
    <w:rsid w:val="00F11B47"/>
    <w:rsid w:val="00F2412D"/>
    <w:rsid w:val="00F25D8D"/>
    <w:rsid w:val="00F3069C"/>
    <w:rsid w:val="00F32CC5"/>
    <w:rsid w:val="00F3552E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22FE"/>
    <w:rsid w:val="00F73DE3"/>
    <w:rsid w:val="00F744BF"/>
    <w:rsid w:val="00F7632C"/>
    <w:rsid w:val="00F77219"/>
    <w:rsid w:val="00F84DD2"/>
    <w:rsid w:val="00F84ED4"/>
    <w:rsid w:val="00F95439"/>
    <w:rsid w:val="00FA6580"/>
    <w:rsid w:val="00FB0872"/>
    <w:rsid w:val="00FB36D5"/>
    <w:rsid w:val="00FB3A3F"/>
    <w:rsid w:val="00FB54CC"/>
    <w:rsid w:val="00FC4F37"/>
    <w:rsid w:val="00FC6D4D"/>
    <w:rsid w:val="00FD1A37"/>
    <w:rsid w:val="00FD4E5B"/>
    <w:rsid w:val="00FE055B"/>
    <w:rsid w:val="00FE4EE0"/>
    <w:rsid w:val="00FF0F9A"/>
    <w:rsid w:val="00FF2859"/>
    <w:rsid w:val="00FF4C1F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24A6B"/>
  <w15:docId w15:val="{70290BB3-FC55-472C-A433-940EDF3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DF5"/>
    <w:pPr>
      <w:tabs>
        <w:tab w:val="clear" w:pos="1134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DF5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semiHidden/>
    <w:rsid w:val="00FF4C1F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doc_num.php?explnum_id=3166/" TargetMode="External"/><Relationship Id="rId18" Type="http://schemas.openxmlformats.org/officeDocument/2006/relationships/hyperlink" Target="https://library.wmo.int/doc_num.php?explnum_id=8705/" TargetMode="External"/><Relationship Id="rId26" Type="http://schemas.openxmlformats.org/officeDocument/2006/relationships/hyperlink" Target="https://library.wmo.int/doc_num.php?explnum_id=8799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library.wmo.int/doc_num.php?explnum_id=8705/" TargetMode="External"/><Relationship Id="rId34" Type="http://schemas.openxmlformats.org/officeDocument/2006/relationships/hyperlink" Target="https://www.unisdr.org/2005/task-force/tf-working-groups4-eng.htm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8793/" TargetMode="External"/><Relationship Id="rId20" Type="http://schemas.openxmlformats.org/officeDocument/2006/relationships/hyperlink" Target="https://library.wmo.int/doc_num.php?explnum_id=8705/" TargetMode="External"/><Relationship Id="rId29" Type="http://schemas.openxmlformats.org/officeDocument/2006/relationships/hyperlink" Target="https://library.wmo.int/doc_num.php?explnum_id=8782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library.wmo.int/doc_num.php?explnum_id=8355/" TargetMode="External"/><Relationship Id="rId32" Type="http://schemas.openxmlformats.org/officeDocument/2006/relationships/hyperlink" Target="https://library.wmo.int/doc_num.php?explnum_id=8513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library.wmo.int/doc_num.php?explnum_id=8920/" TargetMode="External"/><Relationship Id="rId23" Type="http://schemas.openxmlformats.org/officeDocument/2006/relationships/hyperlink" Target="https://library.wmo.int/doc_num.php?explnum_id=8446/" TargetMode="External"/><Relationship Id="rId28" Type="http://schemas.openxmlformats.org/officeDocument/2006/relationships/hyperlink" Target="https://library.wmo.int/doc_num.php?explnum_id=8898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ibrary.wmo.int/doc_num.php?explnum_id=8705/" TargetMode="External"/><Relationship Id="rId31" Type="http://schemas.openxmlformats.org/officeDocument/2006/relationships/hyperlink" Target="https://library.wmo.int/doc_num.php?explnum_id=863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doc_num.php?explnum_id=4784/" TargetMode="External"/><Relationship Id="rId22" Type="http://schemas.openxmlformats.org/officeDocument/2006/relationships/hyperlink" Target="https://library.wmo.int/doc_num.php?explnum_id=8536/" TargetMode="External"/><Relationship Id="rId27" Type="http://schemas.openxmlformats.org/officeDocument/2006/relationships/hyperlink" Target="https://library.wmo.int/doc_num.php?explnum_id=8901/" TargetMode="External"/><Relationship Id="rId30" Type="http://schemas.openxmlformats.org/officeDocument/2006/relationships/hyperlink" Target="https://library.wmo.int/doc_num.php?explnum_id=8766/" TargetMode="External"/><Relationship Id="rId35" Type="http://schemas.openxmlformats.org/officeDocument/2006/relationships/hyperlink" Target="http://effis.jrc.ec.europa.eu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ibrary.wmo.int/doc_num.php?explnum_id=6033/" TargetMode="External"/><Relationship Id="rId17" Type="http://schemas.openxmlformats.org/officeDocument/2006/relationships/hyperlink" Target="https://library.wmo.int/doc_num.php?explnum_id=8793/" TargetMode="External"/><Relationship Id="rId25" Type="http://schemas.openxmlformats.org/officeDocument/2006/relationships/hyperlink" Target="https://library.wmo.int/doc_num.php?explnum_id=7945/" TargetMode="External"/><Relationship Id="rId33" Type="http://schemas.openxmlformats.org/officeDocument/2006/relationships/hyperlink" Target="https://gfmc.online/gwfews/index-12.html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Props1.xml><?xml version="1.0" encoding="utf-8"?>
<ds:datastoreItem xmlns:ds="http://schemas.openxmlformats.org/officeDocument/2006/customXml" ds:itemID="{437B0839-40E6-4D88-9BF2-C6741C33C4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3D3B5689-4DAE-49E2-B592-76BFF72DD4C8}"/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4C997-AFE9-4FD5-8B67-4DD00902483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ce21bc6c-711a-4065-a01c-a8f0e29e3ad8"/>
    <ds:schemaRef ds:uri="3679bf0f-1d7e-438f-afa5-6ebf1e20f9b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9058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Cyrille Honoré</dc:creator>
  <cp:lastModifiedBy>Geneviève Delajod</cp:lastModifiedBy>
  <cp:revision>26</cp:revision>
  <cp:lastPrinted>2013-03-12T09:27:00Z</cp:lastPrinted>
  <dcterms:created xsi:type="dcterms:W3CDTF">2022-09-12T12:22:00Z</dcterms:created>
  <dcterms:modified xsi:type="dcterms:W3CDTF">2022-09-21T08:38:00Z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elina.labadie</vt:lpwstr>
  </property>
  <property fmtid="{D5CDD505-2E9C-101B-9397-08002B2CF9AE}" pid="6" name="GeneratedDate">
    <vt:lpwstr>09/21/2022 07:52:27</vt:lpwstr>
  </property>
  <property fmtid="{D5CDD505-2E9C-101B-9397-08002B2CF9AE}" pid="7" name="OriginalDocID">
    <vt:lpwstr>9948a02a-d8ba-45cc-a393-344d3297ab74</vt:lpwstr>
  </property>
</Properties>
</file>