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59C4FDCA" w14:textId="77777777" w:rsidTr="00204109">
        <w:trPr>
          <w:trHeight w:val="282"/>
        </w:trPr>
        <w:tc>
          <w:tcPr>
            <w:tcW w:w="499" w:type="dxa"/>
            <w:vMerge w:val="restart"/>
            <w:tcBorders>
              <w:bottom w:val="nil"/>
            </w:tcBorders>
            <w:textDirection w:val="btLr"/>
            <w:vAlign w:val="center"/>
          </w:tcPr>
          <w:p w14:paraId="0EBC034A"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5DD6E63A"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2648A1A3" wp14:editId="4B6DBCD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84B2FB1"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17714D01"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70A3DF93" w14:textId="011F1911"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w:t>
            </w:r>
            <w:r w:rsidR="00C6371D">
              <w:rPr>
                <w:rFonts w:cs="Tahoma"/>
                <w:b/>
                <w:bCs/>
                <w:color w:val="365F91" w:themeColor="accent1" w:themeShade="BF"/>
                <w:szCs w:val="22"/>
                <w:lang w:val="fr-FR"/>
              </w:rPr>
              <w:t>INF</w:t>
            </w:r>
            <w:r w:rsidR="00A41E35">
              <w:rPr>
                <w:rFonts w:cs="Tahoma"/>
                <w:b/>
                <w:bCs/>
                <w:color w:val="365F91" w:themeColor="accent1" w:themeShade="BF"/>
                <w:szCs w:val="22"/>
                <w:lang w:val="fr-FR"/>
              </w:rPr>
              <w:t xml:space="preserve">. </w:t>
            </w:r>
            <w:r w:rsidR="00F061BE">
              <w:rPr>
                <w:rFonts w:cs="Tahoma"/>
                <w:b/>
                <w:bCs/>
                <w:color w:val="365F91" w:themeColor="accent1" w:themeShade="BF"/>
                <w:szCs w:val="22"/>
                <w:lang w:val="fr-FR"/>
              </w:rPr>
              <w:t>5.6(2)</w:t>
            </w:r>
            <w:r w:rsidR="00F061BE" w:rsidRPr="00814CC6">
              <w:rPr>
                <w:rFonts w:cs="Tahoma"/>
                <w:b/>
                <w:bCs/>
                <w:color w:val="365F91" w:themeColor="accent1" w:themeShade="BF"/>
                <w:szCs w:val="22"/>
                <w:lang w:val="fr-FR"/>
              </w:rPr>
              <w:t xml:space="preserve"> </w:t>
            </w:r>
          </w:p>
        </w:tc>
      </w:tr>
      <w:tr w:rsidR="00041727" w:rsidRPr="002C5965" w14:paraId="5EF24773" w14:textId="77777777" w:rsidTr="00204109">
        <w:trPr>
          <w:trHeight w:val="730"/>
        </w:trPr>
        <w:tc>
          <w:tcPr>
            <w:tcW w:w="499" w:type="dxa"/>
            <w:vMerge/>
            <w:tcBorders>
              <w:bottom w:val="nil"/>
            </w:tcBorders>
          </w:tcPr>
          <w:p w14:paraId="75492418"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11FA9446"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5516F61A" w14:textId="0EE83069" w:rsidR="00041727" w:rsidRPr="002C5965" w:rsidRDefault="00527225" w:rsidP="00BA7E19">
            <w:pPr>
              <w:pStyle w:val="StyleComplexTahomaComplex11ptAccent1RightAfter-"/>
              <w:ind w:right="0"/>
            </w:pPr>
            <w:r>
              <w:t>Presentado por</w:t>
            </w:r>
            <w:r w:rsidR="00041727" w:rsidRPr="002C5965">
              <w:t>:</w:t>
            </w:r>
            <w:r w:rsidR="00041727" w:rsidRPr="002C5965">
              <w:br/>
            </w:r>
            <w:r w:rsidR="00F061BE" w:rsidRPr="00F061BE">
              <w:t>Presidente de la SERCOM</w:t>
            </w:r>
          </w:p>
          <w:p w14:paraId="6CEC37E2" w14:textId="6E48AB86" w:rsidR="00041727" w:rsidRPr="002C5965" w:rsidRDefault="00F061BE" w:rsidP="00BA7E19">
            <w:pPr>
              <w:pStyle w:val="StyleComplexTahomaComplex11ptAccent1RightAfter-"/>
              <w:ind w:right="0"/>
            </w:pPr>
            <w:r>
              <w:rPr>
                <w:bCs/>
                <w:color w:val="365F91"/>
              </w:rPr>
              <w:t>12</w:t>
            </w:r>
            <w:r w:rsidR="00527225" w:rsidRPr="007F7A32">
              <w:t>.</w:t>
            </w:r>
            <w:r>
              <w:t>IX</w:t>
            </w:r>
            <w:r w:rsidR="00A41E35">
              <w:t>.202</w:t>
            </w:r>
            <w:r w:rsidR="003F4786">
              <w:t>2</w:t>
            </w:r>
          </w:p>
          <w:p w14:paraId="3D28BD48" w14:textId="77777777" w:rsidR="00041727" w:rsidRPr="002C5965" w:rsidRDefault="00CF40BF" w:rsidP="00BA7E19">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525B1939" w14:textId="77777777" w:rsidR="00303018" w:rsidRDefault="00303018" w:rsidP="00303018">
      <w:pPr>
        <w:tabs>
          <w:tab w:val="left" w:pos="708"/>
        </w:tabs>
        <w:spacing w:before="240" w:after="160" w:line="252" w:lineRule="auto"/>
        <w:jc w:val="left"/>
        <w:rPr>
          <w:rFonts w:eastAsia="Calibri" w:cs="Calibri"/>
          <w:i/>
          <w:iCs/>
          <w:color w:val="FF0000"/>
          <w:bdr w:val="none" w:sz="0" w:space="0" w:color="auto" w:frame="1"/>
          <w:lang w:val="es-ES_tradnl" w:eastAsia="zh-CN"/>
        </w:rPr>
      </w:pPr>
      <w:r>
        <w:rPr>
          <w:rFonts w:eastAsia="Calibri" w:cs="Times New Roman"/>
          <w:i/>
          <w:iCs/>
          <w:color w:val="FF0000"/>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17C8958F" w14:textId="0665B783" w:rsidR="00C6371D" w:rsidRPr="00FB3A3F" w:rsidRDefault="00C6371D" w:rsidP="00C6371D">
      <w:pPr>
        <w:pStyle w:val="Heading2"/>
      </w:pPr>
      <w:r>
        <w:rPr>
          <w:lang w:val="es-ES"/>
        </w:rPr>
        <w:t>LISTA DE RESOLUCIONES ANTERIORES, PUBLICACIONES, INFORMES Y SITIOS WEB SOBRE SERVICIOS METEOROLÓGICOS DE LA OMM RELACIONADOS CON LOS INCENDIOS FORESTALES</w:t>
      </w:r>
    </w:p>
    <w:p w14:paraId="051E55FC" w14:textId="77777777" w:rsidR="00C6371D" w:rsidRPr="00FB3A3F" w:rsidRDefault="00C6371D" w:rsidP="00C6371D">
      <w:pPr>
        <w:pStyle w:val="Heading3"/>
        <w:spacing w:before="480" w:after="240"/>
      </w:pPr>
      <w:r>
        <w:rPr>
          <w:lang w:val="es-ES"/>
        </w:rPr>
        <w:t>Lista de resoluciones anteriores sobre los servicios relacionados con los incendios forestales</w:t>
      </w:r>
    </w:p>
    <w:p w14:paraId="77D55F83"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2" w:anchor="page=100" w:history="1">
        <w:r w:rsidR="00C6371D" w:rsidRPr="00C6371D">
          <w:rPr>
            <w:lang w:val="es-ES"/>
          </w:rPr>
          <w:t xml:space="preserve">Resolución 13 (Cg-12) - Programa de Meteorología Agrícola, instó a todos los Miembros a solicitar asesoramiento sobre el uso más práctico de los conocimientos agrometeorológicos, en particular para fines como el control de los incendios forestales </w:t>
        </w:r>
      </w:hyperlink>
    </w:p>
    <w:p w14:paraId="4FBE22EB"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3" w:anchor="page=85" w:history="1">
        <w:r w:rsidR="00C6371D" w:rsidRPr="00C6371D">
          <w:rPr>
            <w:lang w:val="es-ES"/>
          </w:rPr>
          <w:t>Decisión 14 (EC-68) - Proyecto de meteorología de alto impacto (HiWeather), en términos de incendios forestales, etc., que se asocian a la lucha contra el fuego y a la gestión de incendios, así como a la predicción del riesgo de incendios</w:t>
        </w:r>
      </w:hyperlink>
    </w:p>
    <w:p w14:paraId="4C4E74CD"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4" w:anchor="page=69" w:history="1">
        <w:r w:rsidR="00C6371D" w:rsidRPr="00C6371D">
          <w:rPr>
            <w:lang w:val="es-ES"/>
          </w:rPr>
          <w:t>Recomendación 4 (CMAg-XIV) - Enseñanza y formación profesional en meteorología agrícola</w:t>
        </w:r>
      </w:hyperlink>
    </w:p>
    <w:p w14:paraId="78E3B7BB"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5" w:anchor="page=39" w:history="1">
        <w:r w:rsidR="00C6371D" w:rsidRPr="00C6371D">
          <w:rPr>
            <w:lang w:val="es-ES"/>
          </w:rPr>
          <w:t>Resolución 12 (CMAg-XII) - Relatores conjuntos sobre la repercusión de los avisos e información agrometeorológicos en los aspectos operativos de la planificación forestal, con énfasis en la ecología de los incendios forestales, incluido el uso de los incendios prescritos en pastizales y bosques y la prevención y lucha contra los incendios forestales en bosques y pastizales</w:t>
        </w:r>
      </w:hyperlink>
    </w:p>
    <w:p w14:paraId="530C8A47"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6" w:anchor="page=33" w:history="1">
        <w:r w:rsidR="00C6371D" w:rsidRPr="00C6371D">
          <w:rPr>
            <w:lang w:val="es-ES"/>
          </w:rPr>
          <w:t>Resolución 4 (CMAg-XI) - Relatores conjuntos sobre la validación de los requisitos de información sobre gestión y explotación forestales</w:t>
        </w:r>
      </w:hyperlink>
    </w:p>
    <w:p w14:paraId="23219DB0"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7" w:anchor="page=39" w:history="1">
        <w:r w:rsidR="00C6371D" w:rsidRPr="00C6371D">
          <w:rPr>
            <w:lang w:val="es-ES"/>
          </w:rPr>
          <w:t xml:space="preserve">Resolución 14 (CMAg-XI) - Grupo de trabajo sobre agrometeorología relacionada con fenómenos extremos </w:t>
        </w:r>
      </w:hyperlink>
    </w:p>
    <w:p w14:paraId="5BAB1EE2"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8" w:anchor="page=34" w:history="1">
        <w:r w:rsidR="00C6371D" w:rsidRPr="00C6371D">
          <w:rPr>
            <w:lang w:val="es-ES"/>
          </w:rPr>
          <w:t>Resolución 6 (CMAg-X) - Relatores sobre la definición de la información agrometeorológica necesaria para la gestión y explotación forestales en regiones secas y semiáridas</w:t>
        </w:r>
      </w:hyperlink>
    </w:p>
    <w:p w14:paraId="4ECCBBE9"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19" w:anchor="page=34/" w:history="1">
        <w:r w:rsidR="00C6371D" w:rsidRPr="00C6371D">
          <w:rPr>
            <w:lang w:val="es-ES"/>
          </w:rPr>
          <w:t>Resolución 7 (CMAg-X) - Relatores sobre la definición de la información agrometeorológica necesaria para la gestión y explotación forestales en las regiones tropicales húmedas</w:t>
        </w:r>
      </w:hyperlink>
    </w:p>
    <w:p w14:paraId="1F51C47F"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0" w:anchor="page=35" w:history="1">
        <w:r w:rsidR="00C6371D" w:rsidRPr="00C6371D">
          <w:rPr>
            <w:lang w:val="es-ES"/>
          </w:rPr>
          <w:t>Resolución 8 (CMAg-X) - Relatores sobre la definición de la información agrometeorológica necesaria para la gestión y explotación forestales en zonas templadas</w:t>
        </w:r>
      </w:hyperlink>
    </w:p>
    <w:p w14:paraId="1EEBF05D"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1" w:anchor="page=40" w:history="1">
        <w:r w:rsidR="00C6371D" w:rsidRPr="00C6371D">
          <w:rPr>
            <w:lang w:val="es-ES"/>
          </w:rPr>
          <w:t>Resolución 16 (CMAg-X) - Grupo de trabajo sobre fenómenos agrometeorológicos extremos</w:t>
        </w:r>
      </w:hyperlink>
    </w:p>
    <w:p w14:paraId="5C70EA6A"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2" w:anchor="page=77" w:history="1">
        <w:r w:rsidR="00C6371D" w:rsidRPr="00C6371D">
          <w:rPr>
            <w:lang w:val="es-ES"/>
          </w:rPr>
          <w:t>Resolución 20 (CMAg-IX) - Relator sobre las aplicaciones operativas en la silvicultura</w:t>
        </w:r>
      </w:hyperlink>
    </w:p>
    <w:p w14:paraId="72DDBB0C"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3" w:anchor="page=81" w:history="1">
        <w:r w:rsidR="00C6371D" w:rsidRPr="00C6371D">
          <w:rPr>
            <w:lang w:val="es-ES"/>
          </w:rPr>
          <w:t>Recomendación 4 (CMAg-IIX) - La aplicación de la meteorología a los incendios forestales, de matorrales y de pastizales</w:t>
        </w:r>
      </w:hyperlink>
    </w:p>
    <w:p w14:paraId="3F5DB3B2"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4" w:anchor="page=58" w:history="1">
        <w:r w:rsidR="00C6371D" w:rsidRPr="00C6371D">
          <w:rPr>
            <w:lang w:val="es-ES"/>
          </w:rPr>
          <w:t>Resolución 14 (CMAg-IIIX) - Relator sobre los incendios forestales, especialmente en las regiones tropicales</w:t>
        </w:r>
      </w:hyperlink>
    </w:p>
    <w:p w14:paraId="08C382B8"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5" w:anchor="page=44" w:history="1">
        <w:r w:rsidR="00C6371D" w:rsidRPr="00C6371D">
          <w:rPr>
            <w:lang w:val="es-ES"/>
          </w:rPr>
          <w:t xml:space="preserve">Recomendación 7 (CMAg-III) - Observaciones agrometeorológicas rutinarias en zonas forestales </w:t>
        </w:r>
      </w:hyperlink>
    </w:p>
    <w:p w14:paraId="4F7A7228"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6" w:anchor="page=36" w:history="1">
        <w:r w:rsidR="00C6371D" w:rsidRPr="00C6371D">
          <w:rPr>
            <w:lang w:val="es-ES"/>
          </w:rPr>
          <w:t>Resolución 8 (CMAg-II) - Grupo de Trabajo sobre Previsiones para los Servicios de Incendios Forestales - La Comisión de Meteorología Agrícola</w:t>
        </w:r>
      </w:hyperlink>
    </w:p>
    <w:p w14:paraId="277A53E8"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7" w:anchor="page=68" w:history="1">
        <w:r w:rsidR="00C6371D" w:rsidRPr="00C6371D">
          <w:rPr>
            <w:lang w:val="es-ES"/>
          </w:rPr>
          <w:t xml:space="preserve">Resolución 8 (RA I-12) - Relator de Meteorología Agrícola </w:t>
        </w:r>
      </w:hyperlink>
    </w:p>
    <w:p w14:paraId="1AF1A9ED"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8" w:anchor="page=57" w:history="1">
        <w:r w:rsidR="00C6371D" w:rsidRPr="00C6371D">
          <w:rPr>
            <w:lang w:val="es-ES"/>
          </w:rPr>
          <w:t>Resolución 11 (RA V-12) - Relator de Meteorología Agrícola</w:t>
        </w:r>
      </w:hyperlink>
    </w:p>
    <w:p w14:paraId="441096E1"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29" w:anchor="page=78" w:history="1">
        <w:r w:rsidR="00C6371D" w:rsidRPr="00C6371D">
          <w:rPr>
            <w:lang w:val="es-ES"/>
          </w:rPr>
          <w:t>Resolución 12 (RA I-11) - Grupo de Trabajo sobre Meteorología Agrícola</w:t>
        </w:r>
      </w:hyperlink>
    </w:p>
    <w:p w14:paraId="4B790EE7"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30" w:anchor="page=62" w:history="1">
        <w:r w:rsidR="00C6371D" w:rsidRPr="00C6371D">
          <w:rPr>
            <w:lang w:val="es-ES"/>
          </w:rPr>
          <w:t>Resolución 9 (RA VI-11) - Grupo de Trabajo sobre Meteorología Agrícola</w:t>
        </w:r>
      </w:hyperlink>
    </w:p>
    <w:p w14:paraId="7E3D9399"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31" w:anchor="page=56" w:history="1">
        <w:r w:rsidR="00C6371D" w:rsidRPr="00C6371D">
          <w:rPr>
            <w:lang w:val="es-ES"/>
          </w:rPr>
          <w:t>Resolución 12 (RA VI-10) - Grupo de Trabajo sobre Meteorología Agrícola</w:t>
        </w:r>
      </w:hyperlink>
    </w:p>
    <w:p w14:paraId="1B545310" w14:textId="77777777" w:rsidR="00C6371D" w:rsidRPr="00C6371D" w:rsidRDefault="00000000" w:rsidP="00C6371D">
      <w:pPr>
        <w:numPr>
          <w:ilvl w:val="0"/>
          <w:numId w:val="46"/>
        </w:numPr>
        <w:tabs>
          <w:tab w:val="clear" w:pos="1134"/>
        </w:tabs>
        <w:spacing w:before="240" w:after="240"/>
        <w:ind w:left="709" w:hanging="709"/>
        <w:jc w:val="left"/>
        <w:rPr>
          <w:rFonts w:eastAsia="Malgun Gothic" w:cstheme="minorBidi"/>
          <w:lang w:val="es-ES"/>
        </w:rPr>
      </w:pPr>
      <w:hyperlink r:id="rId32" w:anchor="page=110" w:history="1">
        <w:r w:rsidR="00C6371D" w:rsidRPr="00C6371D">
          <w:rPr>
            <w:lang w:val="es-ES"/>
          </w:rPr>
          <w:t>Resolución 18 (RA V-9) - Relatores en meteorología agrícola</w:t>
        </w:r>
      </w:hyperlink>
    </w:p>
    <w:p w14:paraId="0D0357AB" w14:textId="77777777" w:rsidR="00C6371D" w:rsidRPr="00FB3A3F" w:rsidRDefault="00C6371D" w:rsidP="00C6371D">
      <w:pPr>
        <w:pStyle w:val="Heading3"/>
        <w:spacing w:before="480" w:after="240"/>
      </w:pPr>
      <w:r>
        <w:rPr>
          <w:lang w:val="es-ES"/>
        </w:rPr>
        <w:t>Lista de publicaciones</w:t>
      </w:r>
    </w:p>
    <w:p w14:paraId="54470034" w14:textId="77777777" w:rsidR="00C6371D" w:rsidRPr="00C6371D" w:rsidRDefault="00C6371D" w:rsidP="00C6371D">
      <w:pPr>
        <w:pStyle w:val="ListParagraph"/>
        <w:numPr>
          <w:ilvl w:val="0"/>
          <w:numId w:val="47"/>
        </w:numPr>
        <w:spacing w:before="240" w:after="240" w:line="240" w:lineRule="auto"/>
        <w:ind w:left="567" w:hanging="567"/>
        <w:contextualSpacing w:val="0"/>
        <w:rPr>
          <w:rFonts w:ascii="Verdana" w:eastAsia="Malgun Gothic" w:hAnsi="Verdana"/>
          <w:sz w:val="20"/>
          <w:szCs w:val="20"/>
          <w:lang w:val="es-ES"/>
        </w:rPr>
      </w:pPr>
      <w:r>
        <w:rPr>
          <w:lang w:val="es-ES"/>
        </w:rPr>
        <w:t xml:space="preserve"> CMAg-XVII (2018) Manual sobre la evaluación del peligro de incendios (solo borrador)  </w:t>
      </w:r>
    </w:p>
    <w:p w14:paraId="42DFB6DD" w14:textId="77777777" w:rsidR="00C6371D" w:rsidRPr="00C6371D" w:rsidRDefault="00C6371D" w:rsidP="00C6371D">
      <w:pPr>
        <w:pStyle w:val="ListParagraph"/>
        <w:numPr>
          <w:ilvl w:val="0"/>
          <w:numId w:val="47"/>
        </w:numPr>
        <w:spacing w:before="240" w:after="240" w:line="240" w:lineRule="auto"/>
        <w:ind w:left="567" w:hanging="567"/>
        <w:contextualSpacing w:val="0"/>
        <w:rPr>
          <w:rFonts w:ascii="Verdana" w:eastAsia="Malgun Gothic" w:hAnsi="Verdana"/>
          <w:sz w:val="20"/>
          <w:szCs w:val="20"/>
          <w:lang w:val="es-ES"/>
        </w:rPr>
      </w:pPr>
      <w:r>
        <w:rPr>
          <w:lang w:val="es-ES"/>
        </w:rPr>
        <w:t xml:space="preserve">VAG (2018) </w:t>
      </w:r>
      <w:r>
        <w:rPr>
          <w:i/>
          <w:iCs/>
          <w:lang w:val="es-ES"/>
        </w:rPr>
        <w:t xml:space="preserve">Sistema de alerta y aviso de contaminación de vegetación por incendios y humo (VFSP-WAS): Nota conceptual y recomendaciones de expertos </w:t>
      </w:r>
      <w:r>
        <w:rPr>
          <w:lang w:val="es-ES"/>
        </w:rPr>
        <w:t xml:space="preserve">(Informe VAG Nº 235) </w:t>
      </w:r>
    </w:p>
    <w:p w14:paraId="1B770C50" w14:textId="77777777" w:rsidR="00C6371D" w:rsidRPr="00C6371D" w:rsidRDefault="00C6371D" w:rsidP="00C6371D">
      <w:pPr>
        <w:pStyle w:val="ListParagraph"/>
        <w:numPr>
          <w:ilvl w:val="0"/>
          <w:numId w:val="47"/>
        </w:numPr>
        <w:spacing w:before="240" w:after="240" w:line="240" w:lineRule="auto"/>
        <w:ind w:left="567" w:hanging="567"/>
        <w:contextualSpacing w:val="0"/>
        <w:rPr>
          <w:rFonts w:ascii="Verdana" w:eastAsia="Malgun Gothic" w:hAnsi="Verdana"/>
          <w:sz w:val="20"/>
          <w:szCs w:val="20"/>
          <w:lang w:val="es-ES"/>
        </w:rPr>
      </w:pPr>
      <w:r>
        <w:rPr>
          <w:lang w:val="es-ES"/>
        </w:rPr>
        <w:t xml:space="preserve">RAV VI-14 (2012) </w:t>
      </w:r>
      <w:r>
        <w:rPr>
          <w:i/>
          <w:iCs/>
          <w:lang w:val="es-ES"/>
        </w:rPr>
        <w:t xml:space="preserve">Directrices sobre los sistemas de predicción por conjuntos y la predicción </w:t>
      </w:r>
      <w:r>
        <w:rPr>
          <w:lang w:val="es-ES"/>
        </w:rPr>
        <w:t xml:space="preserve">(OMM-Nº 1091). </w:t>
      </w:r>
    </w:p>
    <w:p w14:paraId="41200C3D" w14:textId="77777777" w:rsidR="00C6371D" w:rsidRPr="00FB3A3F" w:rsidRDefault="00C6371D" w:rsidP="00C6371D">
      <w:pPr>
        <w:pStyle w:val="Heading3"/>
        <w:spacing w:before="480" w:after="240"/>
      </w:pPr>
      <w:r>
        <w:rPr>
          <w:lang w:val="es-ES"/>
        </w:rPr>
        <w:t>Lista de informes</w:t>
      </w:r>
    </w:p>
    <w:p w14:paraId="05825C53" w14:textId="77777777" w:rsidR="00C6371D" w:rsidRPr="00C6371D" w:rsidRDefault="00C6371D" w:rsidP="00C6371D">
      <w:pPr>
        <w:pStyle w:val="CommentText"/>
        <w:numPr>
          <w:ilvl w:val="0"/>
          <w:numId w:val="48"/>
        </w:numPr>
        <w:tabs>
          <w:tab w:val="clear" w:pos="1134"/>
        </w:tabs>
        <w:spacing w:before="240" w:after="240"/>
        <w:ind w:left="567" w:hanging="567"/>
        <w:jc w:val="left"/>
        <w:rPr>
          <w:lang w:val="es-ES"/>
        </w:rPr>
      </w:pPr>
      <w:r>
        <w:rPr>
          <w:lang w:val="es-ES"/>
        </w:rPr>
        <w:t xml:space="preserve">RA II-15 (2012) </w:t>
      </w:r>
      <w:r>
        <w:rPr>
          <w:i/>
          <w:iCs/>
          <w:lang w:val="es-ES"/>
        </w:rPr>
        <w:t>Plan para la implementación de la Red de observación de aerosoles con lidar de la Vigilancia de la Atmósfera Global</w:t>
      </w:r>
      <w:r>
        <w:rPr>
          <w:lang w:val="es-ES"/>
        </w:rPr>
        <w:t xml:space="preserve"> (Informe de la VAG Nº 178) (2007) </w:t>
      </w:r>
    </w:p>
    <w:p w14:paraId="751C9FA9" w14:textId="77777777" w:rsidR="00C6371D" w:rsidRPr="00C6371D" w:rsidRDefault="00C6371D" w:rsidP="00C6371D">
      <w:pPr>
        <w:pStyle w:val="ListParagraph"/>
        <w:numPr>
          <w:ilvl w:val="0"/>
          <w:numId w:val="48"/>
        </w:numPr>
        <w:spacing w:before="240" w:after="240" w:line="240" w:lineRule="auto"/>
        <w:ind w:left="567" w:hanging="567"/>
        <w:contextualSpacing w:val="0"/>
        <w:rPr>
          <w:rFonts w:ascii="Verdana" w:hAnsi="Verdana"/>
          <w:sz w:val="20"/>
          <w:szCs w:val="20"/>
          <w:lang w:val="es-ES"/>
        </w:rPr>
      </w:pPr>
      <w:r>
        <w:rPr>
          <w:lang w:val="es-ES"/>
        </w:rPr>
        <w:t>Taller internacional sobre los avances en los sistemas meteorológicos operativos para la calificación del peligro de incendios (2008)</w:t>
      </w:r>
    </w:p>
    <w:p w14:paraId="6626097B" w14:textId="77777777" w:rsidR="00C6371D" w:rsidRPr="00C6371D" w:rsidRDefault="00C6371D" w:rsidP="00C6371D">
      <w:pPr>
        <w:pStyle w:val="CommentText"/>
        <w:numPr>
          <w:ilvl w:val="0"/>
          <w:numId w:val="48"/>
        </w:numPr>
        <w:tabs>
          <w:tab w:val="clear" w:pos="1134"/>
        </w:tabs>
        <w:spacing w:before="240" w:after="240"/>
        <w:ind w:left="567" w:hanging="567"/>
        <w:jc w:val="left"/>
        <w:rPr>
          <w:rFonts w:eastAsia="Malgun Gothic"/>
          <w:lang w:val="es-ES"/>
        </w:rPr>
      </w:pPr>
      <w:r>
        <w:rPr>
          <w:lang w:val="es-ES"/>
        </w:rPr>
        <w:t xml:space="preserve">CMAg-XIII (2003) </w:t>
      </w:r>
      <w:r>
        <w:rPr>
          <w:i/>
          <w:iCs/>
          <w:lang w:val="es-ES"/>
        </w:rPr>
        <w:t>El fuego en los bosques, los pastizales y el sistema agrícola</w:t>
      </w:r>
    </w:p>
    <w:p w14:paraId="5C46B3E2" w14:textId="77777777" w:rsidR="00C6371D" w:rsidRPr="00C6371D" w:rsidRDefault="00C6371D" w:rsidP="00C6371D">
      <w:pPr>
        <w:pStyle w:val="CommentText"/>
        <w:numPr>
          <w:ilvl w:val="0"/>
          <w:numId w:val="48"/>
        </w:numPr>
        <w:tabs>
          <w:tab w:val="clear" w:pos="1134"/>
        </w:tabs>
        <w:spacing w:before="240" w:after="240"/>
        <w:ind w:left="567" w:hanging="567"/>
        <w:jc w:val="left"/>
        <w:rPr>
          <w:rFonts w:eastAsia="Malgun Gothic"/>
          <w:i/>
          <w:iCs/>
          <w:lang w:val="es-ES"/>
        </w:rPr>
      </w:pPr>
      <w:r>
        <w:rPr>
          <w:lang w:val="es-ES"/>
        </w:rPr>
        <w:t xml:space="preserve">(Informe PMAg, Nº 99) </w:t>
      </w:r>
      <w:r>
        <w:rPr>
          <w:i/>
          <w:iCs/>
          <w:lang w:val="es-ES"/>
        </w:rPr>
        <w:t>El fuego en los bosques, los pastizales y los sistemas agrícolas</w:t>
      </w:r>
    </w:p>
    <w:p w14:paraId="1F6FDD24" w14:textId="77777777" w:rsidR="00C6371D" w:rsidRPr="00C6371D" w:rsidRDefault="00C6371D" w:rsidP="00C6371D">
      <w:pPr>
        <w:pStyle w:val="CommentText"/>
        <w:numPr>
          <w:ilvl w:val="0"/>
          <w:numId w:val="48"/>
        </w:numPr>
        <w:tabs>
          <w:tab w:val="clear" w:pos="1134"/>
        </w:tabs>
        <w:spacing w:before="240" w:after="240"/>
        <w:ind w:left="567" w:hanging="567"/>
        <w:jc w:val="left"/>
        <w:rPr>
          <w:rFonts w:eastAsia="Malgun Gothic"/>
          <w:lang w:val="es-ES"/>
        </w:rPr>
      </w:pPr>
      <w:r>
        <w:rPr>
          <w:lang w:val="es-ES"/>
        </w:rPr>
        <w:lastRenderedPageBreak/>
        <w:t xml:space="preserve">CMAg-XIII (2003) </w:t>
      </w:r>
      <w:r>
        <w:rPr>
          <w:i/>
          <w:iCs/>
          <w:lang w:val="es-ES"/>
        </w:rPr>
        <w:t>Guía de prácticas meteorológicas agrícolas</w:t>
      </w:r>
      <w:r>
        <w:rPr>
          <w:lang w:val="es-ES"/>
        </w:rPr>
        <w:t xml:space="preserve"> (edición de 2010), OMM-Nº 134</w:t>
      </w:r>
    </w:p>
    <w:p w14:paraId="2183611B" w14:textId="77777777" w:rsidR="00C6371D" w:rsidRPr="00C6371D" w:rsidRDefault="00C6371D" w:rsidP="00C6371D">
      <w:pPr>
        <w:pStyle w:val="CommentText"/>
        <w:numPr>
          <w:ilvl w:val="0"/>
          <w:numId w:val="48"/>
        </w:numPr>
        <w:tabs>
          <w:tab w:val="clear" w:pos="1134"/>
        </w:tabs>
        <w:spacing w:before="240" w:after="240"/>
        <w:ind w:left="567" w:hanging="567"/>
        <w:jc w:val="left"/>
        <w:rPr>
          <w:rFonts w:eastAsia="Malgun Gothic"/>
          <w:lang w:val="es-ES"/>
        </w:rPr>
      </w:pPr>
      <w:r>
        <w:rPr>
          <w:lang w:val="es-ES"/>
        </w:rPr>
        <w:t xml:space="preserve">AR III-13 (2002) Directrices sanitarias en caso de incendio de vegetación </w:t>
      </w:r>
    </w:p>
    <w:p w14:paraId="48311709" w14:textId="77777777" w:rsidR="00C6371D" w:rsidRPr="00C6371D" w:rsidRDefault="00C6371D" w:rsidP="00C6371D">
      <w:pPr>
        <w:pStyle w:val="ListParagraph"/>
        <w:numPr>
          <w:ilvl w:val="0"/>
          <w:numId w:val="48"/>
        </w:numPr>
        <w:spacing w:before="240" w:after="240" w:line="240" w:lineRule="auto"/>
        <w:ind w:left="567" w:hanging="567"/>
        <w:contextualSpacing w:val="0"/>
        <w:rPr>
          <w:rFonts w:ascii="Verdana" w:eastAsia="Malgun Gothic" w:hAnsi="Verdana"/>
          <w:sz w:val="20"/>
          <w:szCs w:val="20"/>
          <w:lang w:val="es-ES"/>
        </w:rPr>
      </w:pPr>
      <w:r>
        <w:rPr>
          <w:lang w:val="es-ES"/>
        </w:rPr>
        <w:t>RA V-13 (2002) Monitoreo y evaluación de los incendios terrestres/forestales y de la neblina de humo en la ASEAN</w:t>
      </w:r>
    </w:p>
    <w:p w14:paraId="1E4D8006" w14:textId="4A748C90" w:rsidR="00C6371D" w:rsidRPr="00C6371D" w:rsidRDefault="00C6371D" w:rsidP="00C6371D">
      <w:pPr>
        <w:pStyle w:val="ListParagraph"/>
        <w:numPr>
          <w:ilvl w:val="0"/>
          <w:numId w:val="48"/>
        </w:numPr>
        <w:spacing w:before="240" w:after="240" w:line="240" w:lineRule="auto"/>
        <w:ind w:left="567" w:hanging="567"/>
        <w:contextualSpacing w:val="0"/>
        <w:rPr>
          <w:rFonts w:ascii="Verdana" w:hAnsi="Verdana"/>
          <w:sz w:val="20"/>
          <w:szCs w:val="20"/>
          <w:lang w:val="es-ES"/>
        </w:rPr>
      </w:pPr>
      <w:r>
        <w:rPr>
          <w:lang w:val="es-ES"/>
        </w:rPr>
        <w:t>CBS-12 (2001) Documentación sobre el apoyo de los CMRE para la respuesta en casos de emergencia ambiental: dirigido a los meteorólogos de los NHMS - OMM-TD N</w:t>
      </w:r>
      <w:r w:rsidR="00006078">
        <w:rPr>
          <w:lang w:val="es-ES"/>
        </w:rPr>
        <w:t>º</w:t>
      </w:r>
      <w:r>
        <w:rPr>
          <w:lang w:val="es-ES"/>
        </w:rPr>
        <w:t xml:space="preserve"> 778, 1997</w:t>
      </w:r>
    </w:p>
    <w:p w14:paraId="1E353229" w14:textId="77777777" w:rsidR="00C6371D" w:rsidRPr="00C6371D" w:rsidRDefault="00C6371D" w:rsidP="00C6371D">
      <w:pPr>
        <w:pStyle w:val="CommentText"/>
        <w:numPr>
          <w:ilvl w:val="0"/>
          <w:numId w:val="48"/>
        </w:numPr>
        <w:tabs>
          <w:tab w:val="clear" w:pos="1134"/>
        </w:tabs>
        <w:spacing w:before="240" w:after="240"/>
        <w:ind w:left="567" w:hanging="567"/>
        <w:jc w:val="left"/>
        <w:rPr>
          <w:lang w:val="es-ES"/>
        </w:rPr>
      </w:pPr>
      <w:r>
        <w:rPr>
          <w:lang w:val="es-ES"/>
        </w:rPr>
        <w:t xml:space="preserve">RA V-12 (1998) – Radiómetro perfeccionado de muy alta resolución (AVHRR) </w:t>
      </w:r>
    </w:p>
    <w:p w14:paraId="79D20969" w14:textId="77777777" w:rsidR="00C6371D" w:rsidRPr="00C6371D" w:rsidRDefault="00C6371D" w:rsidP="00C6371D">
      <w:pPr>
        <w:pStyle w:val="CommentText"/>
        <w:numPr>
          <w:ilvl w:val="0"/>
          <w:numId w:val="48"/>
        </w:numPr>
        <w:tabs>
          <w:tab w:val="clear" w:pos="1134"/>
        </w:tabs>
        <w:spacing w:before="240" w:after="240"/>
        <w:ind w:left="567" w:hanging="567"/>
        <w:jc w:val="left"/>
        <w:rPr>
          <w:rFonts w:eastAsia="Malgun Gothic"/>
          <w:lang w:val="es-ES"/>
        </w:rPr>
      </w:pPr>
      <w:r>
        <w:rPr>
          <w:lang w:val="es-ES"/>
        </w:rPr>
        <w:t xml:space="preserve">CMAg-XI (1997) </w:t>
      </w:r>
      <w:r>
        <w:rPr>
          <w:i/>
          <w:iCs/>
          <w:lang w:val="es-ES"/>
        </w:rPr>
        <w:t>Eventos agrometeorológicos extremos</w:t>
      </w:r>
      <w:r>
        <w:rPr>
          <w:lang w:val="es-ES"/>
        </w:rPr>
        <w:t xml:space="preserve"> (Informe CMAg Nº 73) </w:t>
      </w:r>
    </w:p>
    <w:p w14:paraId="09BFFC08" w14:textId="77777777" w:rsidR="00C6371D" w:rsidRPr="00C6371D" w:rsidRDefault="00C6371D" w:rsidP="00C6371D">
      <w:pPr>
        <w:pStyle w:val="CommentText"/>
        <w:numPr>
          <w:ilvl w:val="0"/>
          <w:numId w:val="48"/>
        </w:numPr>
        <w:tabs>
          <w:tab w:val="clear" w:pos="1134"/>
        </w:tabs>
        <w:spacing w:before="240" w:after="240"/>
        <w:ind w:left="567" w:hanging="567"/>
        <w:jc w:val="left"/>
        <w:rPr>
          <w:rFonts w:eastAsia="Malgun Gothic"/>
          <w:lang w:val="es-ES"/>
        </w:rPr>
      </w:pPr>
      <w:r>
        <w:rPr>
          <w:lang w:val="es-ES"/>
        </w:rPr>
        <w:t xml:space="preserve">CMAg-Nº 10 (1982) </w:t>
      </w:r>
      <w:r>
        <w:rPr>
          <w:i/>
          <w:iCs/>
          <w:lang w:val="es-ES"/>
        </w:rPr>
        <w:t>Los incendios forestales, especialmente en las regiones tropicales</w:t>
      </w:r>
      <w:r>
        <w:rPr>
          <w:lang w:val="es-ES"/>
        </w:rPr>
        <w:t xml:space="preserve"> </w:t>
      </w:r>
    </w:p>
    <w:p w14:paraId="25346E30" w14:textId="77777777" w:rsidR="00C6371D" w:rsidRPr="00C6371D" w:rsidRDefault="00C6371D" w:rsidP="00C6371D">
      <w:pPr>
        <w:pStyle w:val="CommentText"/>
        <w:numPr>
          <w:ilvl w:val="0"/>
          <w:numId w:val="48"/>
        </w:numPr>
        <w:tabs>
          <w:tab w:val="clear" w:pos="1134"/>
        </w:tabs>
        <w:spacing w:before="240" w:after="240"/>
        <w:ind w:left="567" w:hanging="567"/>
        <w:jc w:val="left"/>
        <w:rPr>
          <w:rFonts w:eastAsia="Malgun Gothic"/>
          <w:lang w:val="es-ES"/>
        </w:rPr>
      </w:pPr>
      <w:r>
        <w:rPr>
          <w:lang w:val="es-ES"/>
        </w:rPr>
        <w:t xml:space="preserve">Informe especial sobre el medioambiente Nº 11 (1978) </w:t>
      </w:r>
      <w:r>
        <w:rPr>
          <w:i/>
          <w:iCs/>
          <w:lang w:val="es-ES"/>
        </w:rPr>
        <w:t>Sistemas de evaluación y predicción de los efectos del tiempo y el clima en los incendios forestales</w:t>
      </w:r>
      <w:r>
        <w:rPr>
          <w:lang w:val="es-ES"/>
        </w:rPr>
        <w:t xml:space="preserve"> (OMM- Nº 496) </w:t>
      </w:r>
    </w:p>
    <w:p w14:paraId="6773F283" w14:textId="77777777" w:rsidR="00C6371D" w:rsidRPr="00C6371D" w:rsidRDefault="00C6371D" w:rsidP="00C6371D">
      <w:pPr>
        <w:pStyle w:val="CommentText"/>
        <w:numPr>
          <w:ilvl w:val="0"/>
          <w:numId w:val="48"/>
        </w:numPr>
        <w:tabs>
          <w:tab w:val="clear" w:pos="1134"/>
        </w:tabs>
        <w:spacing w:before="240" w:after="240"/>
        <w:ind w:left="567" w:hanging="567"/>
        <w:jc w:val="left"/>
        <w:rPr>
          <w:b/>
          <w:bCs/>
          <w:lang w:val="es-ES"/>
        </w:rPr>
      </w:pPr>
      <w:r>
        <w:rPr>
          <w:lang w:val="es-ES"/>
        </w:rPr>
        <w:t xml:space="preserve">CMAg-III (1961) </w:t>
      </w:r>
      <w:r>
        <w:rPr>
          <w:i/>
          <w:iCs/>
          <w:lang w:val="es-ES"/>
        </w:rPr>
        <w:t>Previsión para los servicios contra incendios forestales</w:t>
      </w:r>
      <w:r>
        <w:rPr>
          <w:lang w:val="es-ES"/>
        </w:rPr>
        <w:t xml:space="preserve"> (OMM- Nº 110) (TP. 48) </w:t>
      </w:r>
    </w:p>
    <w:p w14:paraId="662B8BF1" w14:textId="77777777" w:rsidR="00C6371D" w:rsidRPr="00FB3A3F" w:rsidRDefault="00C6371D" w:rsidP="00C6371D">
      <w:pPr>
        <w:pStyle w:val="Heading3"/>
        <w:spacing w:before="480" w:after="240"/>
        <w:rPr>
          <w:b w:val="0"/>
          <w:bCs w:val="0"/>
        </w:rPr>
      </w:pPr>
      <w:r>
        <w:rPr>
          <w:lang w:val="es-ES"/>
        </w:rPr>
        <w:t xml:space="preserve">Lista de sitios web destacados </w:t>
      </w:r>
    </w:p>
    <w:p w14:paraId="2FA47C29" w14:textId="77777777" w:rsidR="00C6371D" w:rsidRPr="00C6371D" w:rsidRDefault="00000000" w:rsidP="00C6371D">
      <w:pPr>
        <w:pStyle w:val="CommentText"/>
        <w:numPr>
          <w:ilvl w:val="0"/>
          <w:numId w:val="49"/>
        </w:numPr>
        <w:tabs>
          <w:tab w:val="clear" w:pos="1134"/>
        </w:tabs>
        <w:spacing w:before="240" w:after="240"/>
        <w:ind w:left="567" w:hanging="567"/>
        <w:jc w:val="left"/>
        <w:rPr>
          <w:rStyle w:val="Hyperlink"/>
          <w:rFonts w:eastAsia="Malgun Gothic"/>
          <w:lang w:val="es-ES"/>
        </w:rPr>
      </w:pPr>
      <w:hyperlink r:id="rId33" w:history="1">
        <w:r w:rsidR="00C6371D" w:rsidRPr="00C6371D">
          <w:rPr>
            <w:lang w:val="es-ES"/>
          </w:rPr>
          <w:t xml:space="preserve">Sistema global de alerta temprana de incendios (EWS)  </w:t>
        </w:r>
      </w:hyperlink>
    </w:p>
    <w:p w14:paraId="543C020A" w14:textId="45886FF6" w:rsidR="00C6371D" w:rsidRPr="00C6371D" w:rsidRDefault="00C6371D" w:rsidP="00C6371D">
      <w:pPr>
        <w:pStyle w:val="CommentText"/>
        <w:tabs>
          <w:tab w:val="clear" w:pos="1134"/>
        </w:tabs>
        <w:spacing w:before="240" w:after="240"/>
        <w:ind w:left="567"/>
        <w:jc w:val="left"/>
        <w:rPr>
          <w:rFonts w:eastAsia="Malgun Gothic"/>
          <w:lang w:val="es-ES"/>
        </w:rPr>
      </w:pPr>
      <w:r>
        <w:rPr>
          <w:lang w:val="es-ES"/>
        </w:rPr>
        <w:t xml:space="preserve">EWS formulado en el marco del Grupo de Trabajo Interinstitucional sobre Incendios Forestales </w:t>
      </w:r>
      <w:hyperlink r:id="rId34" w:history="1">
        <w:r w:rsidR="00842C1B" w:rsidRPr="00FD7EEC">
          <w:rPr>
            <w:rStyle w:val="Hyperlink"/>
            <w:lang w:val="es-ES"/>
          </w:rPr>
          <w:t>https://www.unisdr.org/2005/task-force/tf-working-groups4-eng.htm</w:t>
        </w:r>
      </w:hyperlink>
      <w:r w:rsidR="00842C1B">
        <w:rPr>
          <w:lang w:val="es-ES"/>
        </w:rPr>
        <w:t xml:space="preserve"> </w:t>
      </w:r>
      <w:r>
        <w:rPr>
          <w:lang w:val="es-ES"/>
        </w:rPr>
        <w:t xml:space="preserve">   </w:t>
      </w:r>
    </w:p>
    <w:p w14:paraId="1D272EF9" w14:textId="77777777" w:rsidR="00C6371D" w:rsidRPr="00C6371D" w:rsidRDefault="00C6371D" w:rsidP="00C6371D">
      <w:pPr>
        <w:pStyle w:val="CommentText"/>
        <w:tabs>
          <w:tab w:val="clear" w:pos="1134"/>
        </w:tabs>
        <w:spacing w:before="240" w:after="240"/>
        <w:ind w:left="567"/>
        <w:jc w:val="left"/>
        <w:rPr>
          <w:rFonts w:eastAsia="Malgun Gothic"/>
          <w:lang w:val="es-ES"/>
        </w:rPr>
      </w:pPr>
      <w:r>
        <w:rPr>
          <w:lang w:val="es-ES"/>
        </w:rPr>
        <w:t xml:space="preserve">Presidido por el Centro Mundial de Vigilancia de Incendios (GFMC) </w:t>
      </w:r>
    </w:p>
    <w:p w14:paraId="0341CB2C" w14:textId="77777777" w:rsidR="00C6371D" w:rsidRPr="00C6371D" w:rsidRDefault="00C6371D" w:rsidP="00C6371D">
      <w:pPr>
        <w:pStyle w:val="CommentText"/>
        <w:numPr>
          <w:ilvl w:val="0"/>
          <w:numId w:val="49"/>
        </w:numPr>
        <w:tabs>
          <w:tab w:val="clear" w:pos="1134"/>
        </w:tabs>
        <w:spacing w:before="240" w:after="240"/>
        <w:ind w:left="567" w:hanging="567"/>
        <w:jc w:val="left"/>
        <w:rPr>
          <w:rFonts w:eastAsia="Malgun Gothic"/>
          <w:lang w:val="es-ES"/>
        </w:rPr>
      </w:pPr>
      <w:r>
        <w:rPr>
          <w:lang w:val="es-ES"/>
        </w:rPr>
        <w:t xml:space="preserve">Servicio de Gestión de Emergencias de Copernicus </w:t>
      </w:r>
    </w:p>
    <w:p w14:paraId="0E1BF9C1" w14:textId="71808822" w:rsidR="00C6371D" w:rsidRPr="00C6371D" w:rsidRDefault="00842C1B" w:rsidP="00C6371D">
      <w:pPr>
        <w:pStyle w:val="CommentText"/>
        <w:tabs>
          <w:tab w:val="clear" w:pos="1134"/>
        </w:tabs>
        <w:spacing w:before="240" w:after="240"/>
        <w:ind w:left="567"/>
        <w:jc w:val="left"/>
        <w:rPr>
          <w:rStyle w:val="Hyperlink"/>
          <w:lang w:val="es-ES"/>
        </w:rPr>
      </w:pPr>
      <w:hyperlink r:id="rId35" w:history="1">
        <w:r w:rsidRPr="00FD7EEC">
          <w:rPr>
            <w:rStyle w:val="Hyperlink"/>
            <w:lang w:val="es-ES"/>
          </w:rPr>
          <w:t>http://effis.jrc.ec.europa.eu/</w:t>
        </w:r>
      </w:hyperlink>
      <w:r>
        <w:rPr>
          <w:lang w:val="es-ES"/>
        </w:rPr>
        <w:t xml:space="preserve">  </w:t>
      </w:r>
    </w:p>
    <w:p w14:paraId="62491F61" w14:textId="77777777" w:rsidR="00C6371D" w:rsidRPr="00C6371D" w:rsidRDefault="00C6371D" w:rsidP="00C6371D">
      <w:pPr>
        <w:pStyle w:val="CommentText"/>
        <w:tabs>
          <w:tab w:val="clear" w:pos="1134"/>
        </w:tabs>
        <w:spacing w:before="240" w:after="240"/>
        <w:ind w:left="567"/>
        <w:jc w:val="left"/>
        <w:rPr>
          <w:rStyle w:val="Hyperlink"/>
          <w:lang w:val="es-ES"/>
        </w:rPr>
      </w:pPr>
    </w:p>
    <w:p w14:paraId="631E8E5E" w14:textId="5E7C4BA5" w:rsidR="00864DBF" w:rsidRPr="002C5965" w:rsidRDefault="00C6371D" w:rsidP="00842C1B">
      <w:pPr>
        <w:pStyle w:val="WMOBodyText"/>
        <w:ind w:left="3969" w:hanging="3969"/>
        <w:jc w:val="center"/>
      </w:pPr>
      <w:r>
        <w:rPr>
          <w:lang w:val="es-ES"/>
        </w:rPr>
        <w:t>_______</w:t>
      </w:r>
      <w:r w:rsidR="00842C1B">
        <w:rPr>
          <w:lang w:val="es-ES"/>
        </w:rPr>
        <w:t>__________</w:t>
      </w:r>
    </w:p>
    <w:sectPr w:rsidR="00864DBF" w:rsidRPr="002C5965" w:rsidSect="0020095E">
      <w:headerReference w:type="defaul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EBC6" w14:textId="77777777" w:rsidR="009B7B91" w:rsidRDefault="009B7B91">
      <w:r>
        <w:separator/>
      </w:r>
    </w:p>
    <w:p w14:paraId="403CF9C0" w14:textId="77777777" w:rsidR="009B7B91" w:rsidRDefault="009B7B91"/>
    <w:p w14:paraId="7E460706" w14:textId="77777777" w:rsidR="009B7B91" w:rsidRDefault="009B7B91"/>
  </w:endnote>
  <w:endnote w:type="continuationSeparator" w:id="0">
    <w:p w14:paraId="0FEE544D" w14:textId="77777777" w:rsidR="009B7B91" w:rsidRDefault="009B7B91">
      <w:r>
        <w:continuationSeparator/>
      </w:r>
    </w:p>
    <w:p w14:paraId="4524C5B8" w14:textId="77777777" w:rsidR="009B7B91" w:rsidRDefault="009B7B91"/>
    <w:p w14:paraId="2EC20314" w14:textId="77777777" w:rsidR="009B7B91" w:rsidRDefault="009B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4E29" w14:textId="77777777" w:rsidR="009B7B91" w:rsidRDefault="009B7B91">
      <w:r>
        <w:separator/>
      </w:r>
    </w:p>
  </w:footnote>
  <w:footnote w:type="continuationSeparator" w:id="0">
    <w:p w14:paraId="3D47938F" w14:textId="77777777" w:rsidR="009B7B91" w:rsidRDefault="009B7B91">
      <w:r>
        <w:continuationSeparator/>
      </w:r>
    </w:p>
    <w:p w14:paraId="7DF49F59" w14:textId="77777777" w:rsidR="009B7B91" w:rsidRDefault="009B7B91"/>
    <w:p w14:paraId="2C9227B3" w14:textId="77777777" w:rsidR="009B7B91" w:rsidRDefault="009B7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3056" w14:textId="52439436" w:rsidR="007C212A" w:rsidRDefault="00C6371D" w:rsidP="00290495">
    <w:pPr>
      <w:pStyle w:val="Header"/>
    </w:pPr>
    <w:r>
      <w:t>SERCOM-2/INF. 5.6(2)</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AAF5278"/>
    <w:multiLevelType w:val="hybridMultilevel"/>
    <w:tmpl w:val="850A78A4"/>
    <w:lvl w:ilvl="0" w:tplc="FC7CEE14">
      <w:start w:val="1"/>
      <w:numFmt w:val="decimal"/>
      <w:lvlText w:val="(%1)"/>
      <w:lvlJc w:val="left"/>
      <w:pPr>
        <w:ind w:left="720" w:hanging="360"/>
      </w:pPr>
      <w:rPr>
        <w:rFonts w:ascii="Verdana" w:hAnsi="Verdan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333107"/>
    <w:multiLevelType w:val="hybridMultilevel"/>
    <w:tmpl w:val="8F1A5F14"/>
    <w:lvl w:ilvl="0" w:tplc="10167E92">
      <w:start w:val="1"/>
      <w:numFmt w:val="decimal"/>
      <w:lvlText w:val="(%1)"/>
      <w:lvlJc w:val="left"/>
      <w:pPr>
        <w:ind w:left="720" w:hanging="360"/>
      </w:pPr>
      <w:rPr>
        <w:rFonts w:ascii="Verdana" w:hAnsi="Verdana" w:hint="default"/>
        <w:b w:val="0"/>
        <w:bCs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39798D"/>
    <w:multiLevelType w:val="hybridMultilevel"/>
    <w:tmpl w:val="39A60F7A"/>
    <w:lvl w:ilvl="0" w:tplc="FC7CEE14">
      <w:start w:val="1"/>
      <w:numFmt w:val="decimal"/>
      <w:lvlText w:val="(%1)"/>
      <w:lvlJc w:val="left"/>
      <w:pPr>
        <w:ind w:left="720" w:hanging="360"/>
      </w:pPr>
      <w:rPr>
        <w:rFonts w:ascii="Verdana" w:hAnsi="Verdana"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14563"/>
    <w:multiLevelType w:val="hybridMultilevel"/>
    <w:tmpl w:val="CA12BE54"/>
    <w:lvl w:ilvl="0" w:tplc="FC7CEE14">
      <w:start w:val="1"/>
      <w:numFmt w:val="decimal"/>
      <w:lvlText w:val="(%1)"/>
      <w:lvlJc w:val="left"/>
      <w:pPr>
        <w:ind w:left="720" w:hanging="360"/>
      </w:pPr>
      <w:rPr>
        <w:rFonts w:ascii="Verdana" w:hAnsi="Verdan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5944322">
    <w:abstractNumId w:val="31"/>
  </w:num>
  <w:num w:numId="2" w16cid:durableId="531769197">
    <w:abstractNumId w:val="48"/>
  </w:num>
  <w:num w:numId="3" w16cid:durableId="1703091594">
    <w:abstractNumId w:val="29"/>
  </w:num>
  <w:num w:numId="4" w16cid:durableId="605382478">
    <w:abstractNumId w:val="40"/>
  </w:num>
  <w:num w:numId="5" w16cid:durableId="2098935311">
    <w:abstractNumId w:val="18"/>
  </w:num>
  <w:num w:numId="6" w16cid:durableId="1977567735">
    <w:abstractNumId w:val="24"/>
  </w:num>
  <w:num w:numId="7" w16cid:durableId="841816438">
    <w:abstractNumId w:val="19"/>
  </w:num>
  <w:num w:numId="8" w16cid:durableId="494221988">
    <w:abstractNumId w:val="32"/>
  </w:num>
  <w:num w:numId="9" w16cid:durableId="107042612">
    <w:abstractNumId w:val="22"/>
  </w:num>
  <w:num w:numId="10" w16cid:durableId="842011932">
    <w:abstractNumId w:val="21"/>
  </w:num>
  <w:num w:numId="11" w16cid:durableId="1815178693">
    <w:abstractNumId w:val="39"/>
  </w:num>
  <w:num w:numId="12" w16cid:durableId="1691643749">
    <w:abstractNumId w:val="11"/>
  </w:num>
  <w:num w:numId="13" w16cid:durableId="290014203">
    <w:abstractNumId w:val="27"/>
  </w:num>
  <w:num w:numId="14" w16cid:durableId="1688480801">
    <w:abstractNumId w:val="44"/>
  </w:num>
  <w:num w:numId="15" w16cid:durableId="713890304">
    <w:abstractNumId w:val="20"/>
  </w:num>
  <w:num w:numId="16" w16cid:durableId="980774163">
    <w:abstractNumId w:val="9"/>
  </w:num>
  <w:num w:numId="17" w16cid:durableId="1360273526">
    <w:abstractNumId w:val="7"/>
  </w:num>
  <w:num w:numId="18" w16cid:durableId="366756015">
    <w:abstractNumId w:val="6"/>
  </w:num>
  <w:num w:numId="19" w16cid:durableId="2133790002">
    <w:abstractNumId w:val="5"/>
  </w:num>
  <w:num w:numId="20" w16cid:durableId="1898005325">
    <w:abstractNumId w:val="4"/>
  </w:num>
  <w:num w:numId="21" w16cid:durableId="1411779689">
    <w:abstractNumId w:val="8"/>
  </w:num>
  <w:num w:numId="22" w16cid:durableId="1879705649">
    <w:abstractNumId w:val="3"/>
  </w:num>
  <w:num w:numId="23" w16cid:durableId="1721858473">
    <w:abstractNumId w:val="2"/>
  </w:num>
  <w:num w:numId="24" w16cid:durableId="2125491877">
    <w:abstractNumId w:val="1"/>
  </w:num>
  <w:num w:numId="25" w16cid:durableId="308706389">
    <w:abstractNumId w:val="0"/>
  </w:num>
  <w:num w:numId="26" w16cid:durableId="2055763079">
    <w:abstractNumId w:val="46"/>
  </w:num>
  <w:num w:numId="27" w16cid:durableId="756828910">
    <w:abstractNumId w:val="33"/>
  </w:num>
  <w:num w:numId="28" w16cid:durableId="2632577">
    <w:abstractNumId w:val="25"/>
  </w:num>
  <w:num w:numId="29" w16cid:durableId="556823335">
    <w:abstractNumId w:val="36"/>
  </w:num>
  <w:num w:numId="30" w16cid:durableId="566107218">
    <w:abstractNumId w:val="37"/>
  </w:num>
  <w:num w:numId="31" w16cid:durableId="145055382">
    <w:abstractNumId w:val="14"/>
  </w:num>
  <w:num w:numId="32" w16cid:durableId="932860407">
    <w:abstractNumId w:val="43"/>
  </w:num>
  <w:num w:numId="33" w16cid:durableId="536434932">
    <w:abstractNumId w:val="41"/>
  </w:num>
  <w:num w:numId="34" w16cid:durableId="952596724">
    <w:abstractNumId w:val="26"/>
  </w:num>
  <w:num w:numId="35" w16cid:durableId="1728340371">
    <w:abstractNumId w:val="28"/>
  </w:num>
  <w:num w:numId="36" w16cid:durableId="1857695177">
    <w:abstractNumId w:val="47"/>
  </w:num>
  <w:num w:numId="37" w16cid:durableId="263539286">
    <w:abstractNumId w:val="38"/>
  </w:num>
  <w:num w:numId="38" w16cid:durableId="1935043143">
    <w:abstractNumId w:val="12"/>
  </w:num>
  <w:num w:numId="39" w16cid:durableId="54399211">
    <w:abstractNumId w:val="13"/>
  </w:num>
  <w:num w:numId="40" w16cid:durableId="1957249758">
    <w:abstractNumId w:val="16"/>
  </w:num>
  <w:num w:numId="41" w16cid:durableId="1203058135">
    <w:abstractNumId w:val="10"/>
  </w:num>
  <w:num w:numId="42" w16cid:durableId="819230132">
    <w:abstractNumId w:val="45"/>
  </w:num>
  <w:num w:numId="43" w16cid:durableId="2118325386">
    <w:abstractNumId w:val="17"/>
  </w:num>
  <w:num w:numId="44" w16cid:durableId="13849500">
    <w:abstractNumId w:val="30"/>
  </w:num>
  <w:num w:numId="45" w16cid:durableId="1400132382">
    <w:abstractNumId w:val="42"/>
  </w:num>
  <w:num w:numId="46" w16cid:durableId="369913481">
    <w:abstractNumId w:val="35"/>
  </w:num>
  <w:num w:numId="47" w16cid:durableId="1499997140">
    <w:abstractNumId w:val="15"/>
  </w:num>
  <w:num w:numId="48" w16cid:durableId="568656995">
    <w:abstractNumId w:val="34"/>
  </w:num>
  <w:num w:numId="49" w16cid:durableId="17318011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1D"/>
    <w:rsid w:val="00006078"/>
    <w:rsid w:val="0001558A"/>
    <w:rsid w:val="000206A8"/>
    <w:rsid w:val="0003137A"/>
    <w:rsid w:val="00032E6C"/>
    <w:rsid w:val="00041171"/>
    <w:rsid w:val="00041727"/>
    <w:rsid w:val="0004226F"/>
    <w:rsid w:val="00050F8E"/>
    <w:rsid w:val="000573AD"/>
    <w:rsid w:val="00064F6B"/>
    <w:rsid w:val="00072F17"/>
    <w:rsid w:val="000806D8"/>
    <w:rsid w:val="00082C80"/>
    <w:rsid w:val="00083847"/>
    <w:rsid w:val="00083C36"/>
    <w:rsid w:val="00095E48"/>
    <w:rsid w:val="000A69BF"/>
    <w:rsid w:val="000B4566"/>
    <w:rsid w:val="000C225A"/>
    <w:rsid w:val="000C6781"/>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03018"/>
    <w:rsid w:val="00314D5D"/>
    <w:rsid w:val="00320009"/>
    <w:rsid w:val="0032424A"/>
    <w:rsid w:val="003245D3"/>
    <w:rsid w:val="00330AA3"/>
    <w:rsid w:val="00332049"/>
    <w:rsid w:val="00334987"/>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46D8E"/>
    <w:rsid w:val="00553738"/>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4802"/>
    <w:rsid w:val="00615AB0"/>
    <w:rsid w:val="0061778C"/>
    <w:rsid w:val="00636B90"/>
    <w:rsid w:val="0064738B"/>
    <w:rsid w:val="006508EA"/>
    <w:rsid w:val="00667E86"/>
    <w:rsid w:val="0068392D"/>
    <w:rsid w:val="00697DB5"/>
    <w:rsid w:val="006A1B33"/>
    <w:rsid w:val="006A492A"/>
    <w:rsid w:val="006B124A"/>
    <w:rsid w:val="006B5518"/>
    <w:rsid w:val="006B5C72"/>
    <w:rsid w:val="006D0310"/>
    <w:rsid w:val="006D2009"/>
    <w:rsid w:val="006D5576"/>
    <w:rsid w:val="006E766D"/>
    <w:rsid w:val="006F4B29"/>
    <w:rsid w:val="006F6CE9"/>
    <w:rsid w:val="0070517C"/>
    <w:rsid w:val="00705C9F"/>
    <w:rsid w:val="00716951"/>
    <w:rsid w:val="00716AD3"/>
    <w:rsid w:val="00720F6B"/>
    <w:rsid w:val="00735D9E"/>
    <w:rsid w:val="00745A09"/>
    <w:rsid w:val="00751EAF"/>
    <w:rsid w:val="00753941"/>
    <w:rsid w:val="00754CF7"/>
    <w:rsid w:val="00757B0D"/>
    <w:rsid w:val="00761320"/>
    <w:rsid w:val="007651B1"/>
    <w:rsid w:val="00771A68"/>
    <w:rsid w:val="007744D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2C1B"/>
    <w:rsid w:val="008451AA"/>
    <w:rsid w:val="00847D99"/>
    <w:rsid w:val="0085038E"/>
    <w:rsid w:val="0086271D"/>
    <w:rsid w:val="0086420B"/>
    <w:rsid w:val="00864DBF"/>
    <w:rsid w:val="00865AE2"/>
    <w:rsid w:val="008664C4"/>
    <w:rsid w:val="0089601F"/>
    <w:rsid w:val="008A7313"/>
    <w:rsid w:val="008A7D91"/>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B7B91"/>
    <w:rsid w:val="009C0275"/>
    <w:rsid w:val="009C2EA4"/>
    <w:rsid w:val="009C4C04"/>
    <w:rsid w:val="009C582E"/>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7E19"/>
    <w:rsid w:val="00BB0D32"/>
    <w:rsid w:val="00BC2C42"/>
    <w:rsid w:val="00BC76B5"/>
    <w:rsid w:val="00BD5420"/>
    <w:rsid w:val="00BD5C33"/>
    <w:rsid w:val="00BD7A2E"/>
    <w:rsid w:val="00BE5865"/>
    <w:rsid w:val="00C04BD2"/>
    <w:rsid w:val="00C13EEC"/>
    <w:rsid w:val="00C14689"/>
    <w:rsid w:val="00C156A4"/>
    <w:rsid w:val="00C20FAA"/>
    <w:rsid w:val="00C2459D"/>
    <w:rsid w:val="00C316F1"/>
    <w:rsid w:val="00C42C95"/>
    <w:rsid w:val="00C4470F"/>
    <w:rsid w:val="00C55E5B"/>
    <w:rsid w:val="00C57D64"/>
    <w:rsid w:val="00C62739"/>
    <w:rsid w:val="00C6371D"/>
    <w:rsid w:val="00C720A4"/>
    <w:rsid w:val="00C7611C"/>
    <w:rsid w:val="00C94097"/>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061BE"/>
    <w:rsid w:val="00F11B47"/>
    <w:rsid w:val="00F20EC0"/>
    <w:rsid w:val="00F21ABD"/>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B0872"/>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FA7CF0"/>
  <w15:docId w15:val="{6F9037E2-6CD6-413A-A87B-AD3308C1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C6371D"/>
    <w:pPr>
      <w:tabs>
        <w:tab w:val="clear" w:pos="1134"/>
      </w:tabs>
      <w:spacing w:after="200" w:line="276" w:lineRule="auto"/>
      <w:ind w:left="720"/>
      <w:contextualSpacing/>
      <w:jc w:val="left"/>
    </w:pPr>
    <w:rPr>
      <w:rFonts w:asciiTheme="minorHAnsi" w:eastAsiaTheme="minorEastAsia" w:hAnsiTheme="minorHAnsi" w:cstheme="minorBidi"/>
      <w:sz w:val="22"/>
      <w:szCs w:val="22"/>
      <w:lang w:val="en-US" w:eastAsia="zh-CN"/>
    </w:rPr>
  </w:style>
  <w:style w:type="character" w:customStyle="1" w:styleId="CommentTextChar">
    <w:name w:val="Comment Text Char"/>
    <w:basedOn w:val="DefaultParagraphFont"/>
    <w:link w:val="CommentText"/>
    <w:uiPriority w:val="99"/>
    <w:rsid w:val="00C6371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156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66/" TargetMode="External"/><Relationship Id="rId18" Type="http://schemas.openxmlformats.org/officeDocument/2006/relationships/hyperlink" Target="https://library.wmo.int/doc_num.php?explnum_id=8705/" TargetMode="External"/><Relationship Id="rId26" Type="http://schemas.openxmlformats.org/officeDocument/2006/relationships/hyperlink" Target="https://library.wmo.int/doc_num.php?explnum_id=8799/" TargetMode="External"/><Relationship Id="rId21" Type="http://schemas.openxmlformats.org/officeDocument/2006/relationships/hyperlink" Target="https://library.wmo.int/doc_num.php?explnum_id=8705/" TargetMode="External"/><Relationship Id="rId34" Type="http://schemas.openxmlformats.org/officeDocument/2006/relationships/hyperlink" Target="https://www.unisdr.org/2005/task-force/tf-working-groups4-eng.htm" TargetMode="External"/><Relationship Id="rId7" Type="http://schemas.openxmlformats.org/officeDocument/2006/relationships/settings" Target="settings.xml"/><Relationship Id="rId12" Type="http://schemas.openxmlformats.org/officeDocument/2006/relationships/hyperlink" Target="https://library.wmo.int/doc_num.php?explnum_id=6033/" TargetMode="External"/><Relationship Id="rId17" Type="http://schemas.openxmlformats.org/officeDocument/2006/relationships/hyperlink" Target="https://library.wmo.int/doc_num.php?explnum_id=8793/" TargetMode="External"/><Relationship Id="rId25" Type="http://schemas.openxmlformats.org/officeDocument/2006/relationships/hyperlink" Target="https://library.wmo.int/doc_num.php?explnum_id=7945/" TargetMode="External"/><Relationship Id="rId33" Type="http://schemas.openxmlformats.org/officeDocument/2006/relationships/hyperlink" Target="https://gfmc.online/gwfews/index-12.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8793/" TargetMode="External"/><Relationship Id="rId20" Type="http://schemas.openxmlformats.org/officeDocument/2006/relationships/hyperlink" Target="https://library.wmo.int/doc_num.php?explnum_id=8705/" TargetMode="External"/><Relationship Id="rId29" Type="http://schemas.openxmlformats.org/officeDocument/2006/relationships/hyperlink" Target="https://library.wmo.int/doc_num.php?explnum_id=87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8355/" TargetMode="External"/><Relationship Id="rId32" Type="http://schemas.openxmlformats.org/officeDocument/2006/relationships/hyperlink" Target="https://library.wmo.int/doc_num.php?explnum_id=851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8920/" TargetMode="External"/><Relationship Id="rId23" Type="http://schemas.openxmlformats.org/officeDocument/2006/relationships/hyperlink" Target="https://library.wmo.int/doc_num.php?explnum_id=8446/" TargetMode="External"/><Relationship Id="rId28" Type="http://schemas.openxmlformats.org/officeDocument/2006/relationships/hyperlink" Target="https://library.wmo.int/doc_num.php?explnum_id=8898/"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8705/" TargetMode="External"/><Relationship Id="rId31" Type="http://schemas.openxmlformats.org/officeDocument/2006/relationships/hyperlink" Target="https://library.wmo.int/doc_num.php?explnum_id=86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4784/" TargetMode="External"/><Relationship Id="rId22" Type="http://schemas.openxmlformats.org/officeDocument/2006/relationships/hyperlink" Target="https://library.wmo.int/doc_num.php?explnum_id=8536/" TargetMode="External"/><Relationship Id="rId27" Type="http://schemas.openxmlformats.org/officeDocument/2006/relationships/hyperlink" Target="https://library.wmo.int/doc_num.php?explnum_id=8901/" TargetMode="External"/><Relationship Id="rId30" Type="http://schemas.openxmlformats.org/officeDocument/2006/relationships/hyperlink" Target="https://library.wmo.int/doc_num.php?explnum_id=8766/" TargetMode="External"/><Relationship Id="rId35" Type="http://schemas.openxmlformats.org/officeDocument/2006/relationships/hyperlink" Target="http://effis.jrc.ec.europa.e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devol\OneDrive%20-%20WMO\Desktop\SERCOM-2-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Props1.xml><?xml version="1.0" encoding="utf-8"?>
<ds:datastoreItem xmlns:ds="http://schemas.openxmlformats.org/officeDocument/2006/customXml" ds:itemID="{83B06B86-5830-40B5-BD46-C6F74C73D340}"/>
</file>

<file path=customXml/itemProps2.xml><?xml version="1.0" encoding="utf-8"?>
<ds:datastoreItem xmlns:ds="http://schemas.openxmlformats.org/officeDocument/2006/customXml" ds:itemID="{7A466DB3-7F7B-40CE-B8DD-356CD915ACEA}">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SERCOM-2-dxx-Template_es (1)</Template>
  <TotalTime>5</TotalTime>
  <Pages>3</Pages>
  <Words>1277</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8287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Marina Pardo Ardevol</dc:creator>
  <cp:lastModifiedBy>Fabian Rubiolo</cp:lastModifiedBy>
  <cp:revision>6</cp:revision>
  <cp:lastPrinted>2013-03-12T09:27:00Z</cp:lastPrinted>
  <dcterms:created xsi:type="dcterms:W3CDTF">2022-09-26T12:16:00Z</dcterms:created>
  <dcterms:modified xsi:type="dcterms:W3CDTF">2022-09-26T12:36:00Z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