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23052D09" w14:textId="77777777" w:rsidTr="004469F7">
        <w:trPr>
          <w:trHeight w:val="282"/>
        </w:trPr>
        <w:tc>
          <w:tcPr>
            <w:tcW w:w="516" w:type="dxa"/>
            <w:vMerge w:val="restart"/>
            <w:tcBorders>
              <w:bottom w:val="nil"/>
            </w:tcBorders>
            <w:textDirection w:val="tbRl"/>
          </w:tcPr>
          <w:p w14:paraId="54940851"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r w:rsidRPr="003A0AC8">
              <w:rPr>
                <w:rFonts w:ascii="Arial" w:hAnsi="Arial"/>
                <w:noProof/>
                <w:color w:val="2F5496"/>
                <w:sz w:val="14"/>
                <w:szCs w:val="14"/>
                <w:rtl/>
                <w:lang w:eastAsia="zh-CN"/>
              </w:rPr>
              <w:t>الطقس المناخ الماء</w:t>
            </w:r>
          </w:p>
        </w:tc>
        <w:tc>
          <w:tcPr>
            <w:tcW w:w="6841" w:type="dxa"/>
            <w:vMerge w:val="restart"/>
          </w:tcPr>
          <w:p w14:paraId="4E0FED22" w14:textId="348AC72F" w:rsidR="00451662" w:rsidRPr="003A0AC8" w:rsidRDefault="000A6622"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4F1CA94C" wp14:editId="138A1D17">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540905CB"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0"/>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1"/>
          </w:p>
          <w:p w14:paraId="793031C8"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48F2BB38" w14:textId="2134A9D7" w:rsidR="00451662" w:rsidRPr="00871073" w:rsidRDefault="00451662" w:rsidP="004469F7">
            <w:pPr>
              <w:tabs>
                <w:tab w:val="clear" w:pos="1134"/>
              </w:tabs>
              <w:spacing w:after="60"/>
              <w:ind w:right="-108"/>
              <w:jc w:val="left"/>
              <w:rPr>
                <w:rFonts w:ascii="Arial" w:hAnsi="Arial"/>
                <w:b/>
                <w:bCs/>
                <w:color w:val="2F5496"/>
                <w:sz w:val="22"/>
                <w:szCs w:val="22"/>
              </w:rPr>
            </w:pPr>
            <w:bookmarkStart w:id="2" w:name="_Hlk107475833"/>
            <w:r w:rsidRPr="003A0AC8">
              <w:rPr>
                <w:rFonts w:ascii="Arial" w:hAnsi="Arial"/>
                <w:b/>
                <w:bCs/>
                <w:color w:val="2F5496"/>
                <w:sz w:val="22"/>
                <w:szCs w:val="22"/>
              </w:rPr>
              <w:t>SERCOM-2</w:t>
            </w:r>
            <w:bookmarkEnd w:id="2"/>
            <w:r w:rsidRPr="003A0AC8">
              <w:rPr>
                <w:rFonts w:ascii="Arial" w:hAnsi="Arial"/>
                <w:b/>
                <w:bCs/>
                <w:color w:val="2F5496"/>
                <w:sz w:val="22"/>
                <w:szCs w:val="22"/>
              </w:rPr>
              <w:t>/</w:t>
            </w:r>
            <w:r w:rsidR="00E928A4" w:rsidRPr="003A0AC8">
              <w:rPr>
                <w:rFonts w:ascii="Arial" w:hAnsi="Arial"/>
                <w:b/>
                <w:bCs/>
                <w:color w:val="2F5496"/>
                <w:sz w:val="22"/>
                <w:szCs w:val="22"/>
              </w:rPr>
              <w:t>INF</w:t>
            </w:r>
            <w:r w:rsidRPr="003A0AC8">
              <w:rPr>
                <w:rFonts w:ascii="Arial" w:hAnsi="Arial"/>
                <w:b/>
                <w:bCs/>
                <w:color w:val="2F5496"/>
                <w:sz w:val="22"/>
                <w:szCs w:val="22"/>
                <w:lang w:val="fr-FR"/>
              </w:rPr>
              <w:t>. </w:t>
            </w:r>
            <w:r w:rsidR="00871073">
              <w:rPr>
                <w:rFonts w:ascii="Arial" w:hAnsi="Arial"/>
                <w:b/>
                <w:bCs/>
                <w:color w:val="2F5496"/>
                <w:sz w:val="22"/>
                <w:szCs w:val="22"/>
              </w:rPr>
              <w:t>5</w:t>
            </w:r>
            <w:r w:rsidRPr="003A0AC8">
              <w:rPr>
                <w:rFonts w:ascii="Arial" w:hAnsi="Arial"/>
                <w:b/>
                <w:bCs/>
                <w:color w:val="2F5496"/>
                <w:sz w:val="22"/>
                <w:szCs w:val="22"/>
                <w:lang w:val="fr-FR"/>
              </w:rPr>
              <w:t>.</w:t>
            </w:r>
            <w:r w:rsidR="00871073">
              <w:rPr>
                <w:rFonts w:ascii="Arial" w:hAnsi="Arial"/>
                <w:b/>
                <w:bCs/>
                <w:color w:val="2F5496"/>
                <w:sz w:val="22"/>
                <w:szCs w:val="22"/>
              </w:rPr>
              <w:t>5</w:t>
            </w:r>
            <w:r w:rsidR="00340071">
              <w:rPr>
                <w:rFonts w:ascii="Arial" w:hAnsi="Arial"/>
                <w:b/>
                <w:bCs/>
                <w:color w:val="2F5496"/>
                <w:sz w:val="22"/>
                <w:szCs w:val="22"/>
              </w:rPr>
              <w:t>(5)</w:t>
            </w:r>
          </w:p>
        </w:tc>
      </w:tr>
      <w:tr w:rsidR="00451662" w:rsidRPr="003E4EF4" w14:paraId="1FDBD52E" w14:textId="77777777" w:rsidTr="004469F7">
        <w:trPr>
          <w:trHeight w:val="730"/>
        </w:trPr>
        <w:tc>
          <w:tcPr>
            <w:tcW w:w="516" w:type="dxa"/>
            <w:vMerge/>
            <w:tcBorders>
              <w:bottom w:val="nil"/>
            </w:tcBorders>
          </w:tcPr>
          <w:p w14:paraId="189D7602"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6BC4E5FE"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7BB8351C" w14:textId="1A1F2B78" w:rsidR="00451662" w:rsidRPr="003A0AC8" w:rsidRDefault="00451662" w:rsidP="004469F7">
            <w:pPr>
              <w:tabs>
                <w:tab w:val="clear" w:pos="1134"/>
              </w:tabs>
              <w:bidi/>
              <w:spacing w:after="120" w:line="320" w:lineRule="exact"/>
              <w:jc w:val="right"/>
              <w:rPr>
                <w:rFonts w:ascii="Arial" w:hAnsi="Arial"/>
                <w:color w:val="2F5496"/>
                <w:szCs w:val="26"/>
                <w:rtl/>
                <w:lang w:bidi="ar-EG"/>
              </w:rPr>
            </w:pPr>
            <w:r w:rsidRPr="003A0AC8">
              <w:rPr>
                <w:rFonts w:ascii="Arial" w:hAnsi="Arial"/>
                <w:color w:val="2F5496"/>
                <w:szCs w:val="26"/>
                <w:rtl/>
              </w:rPr>
              <w:t>وثيقة مقدمة من:</w:t>
            </w:r>
            <w:r w:rsidRPr="003A0AC8">
              <w:rPr>
                <w:rFonts w:ascii="Arial" w:hAnsi="Arial"/>
                <w:color w:val="2F5496"/>
                <w:szCs w:val="26"/>
              </w:rPr>
              <w:br/>
            </w:r>
            <w:r w:rsidR="00315623">
              <w:rPr>
                <w:rFonts w:ascii="Arial" w:hAnsi="Arial" w:hint="cs"/>
                <w:color w:val="2F5496"/>
                <w:szCs w:val="26"/>
                <w:rtl/>
                <w:lang w:bidi="ar-EG"/>
              </w:rPr>
              <w:t>رئيس اللجنة الدائمة</w:t>
            </w:r>
            <w:r w:rsidR="003B5315">
              <w:rPr>
                <w:rFonts w:ascii="Arial" w:hAnsi="Arial"/>
                <w:color w:val="2F5496"/>
                <w:szCs w:val="26"/>
                <w:lang w:bidi="ar-EG"/>
              </w:rPr>
              <w:br/>
            </w:r>
            <w:r w:rsidR="00315623">
              <w:rPr>
                <w:rFonts w:ascii="Arial" w:hAnsi="Arial" w:hint="cs"/>
                <w:color w:val="2F5496"/>
                <w:szCs w:val="26"/>
                <w:rtl/>
                <w:lang w:bidi="ar-EG"/>
              </w:rPr>
              <w:t>للخدمات المناخية</w:t>
            </w:r>
          </w:p>
          <w:p w14:paraId="64DA6C7B" w14:textId="2141292D" w:rsidR="00451662" w:rsidRPr="003A0AC8" w:rsidRDefault="008722F0"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lang w:val="en-CH"/>
              </w:rPr>
              <w:t>29</w:t>
            </w:r>
            <w:r w:rsidR="00451662" w:rsidRPr="003A0AC8">
              <w:rPr>
                <w:rFonts w:ascii="Arial" w:hAnsi="Arial"/>
                <w:color w:val="2F5496"/>
                <w:szCs w:val="26"/>
              </w:rPr>
              <w:t>.</w:t>
            </w:r>
            <w:r w:rsidR="00315623">
              <w:rPr>
                <w:rFonts w:ascii="Arial" w:hAnsi="Arial"/>
                <w:color w:val="2F5496"/>
                <w:szCs w:val="26"/>
              </w:rPr>
              <w:t>IX</w:t>
            </w:r>
            <w:r w:rsidR="00451662" w:rsidRPr="003A0AC8">
              <w:rPr>
                <w:rFonts w:ascii="Arial" w:hAnsi="Arial"/>
                <w:color w:val="2F5496"/>
                <w:szCs w:val="26"/>
              </w:rPr>
              <w:t>.202</w:t>
            </w:r>
            <w:r w:rsidR="00451662" w:rsidRPr="003A0AC8">
              <w:rPr>
                <w:rFonts w:ascii="Arial" w:hAnsi="Arial"/>
                <w:color w:val="2F5496"/>
                <w:szCs w:val="26"/>
                <w:lang w:val="en-US"/>
              </w:rPr>
              <w:t>2</w:t>
            </w:r>
          </w:p>
          <w:p w14:paraId="2A808785"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4F8E13B6"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2211D9EB" w14:textId="46D0B7B3" w:rsidR="0075561C" w:rsidRPr="003D5A65" w:rsidRDefault="0075561C" w:rsidP="0075561C">
      <w:pPr>
        <w:pStyle w:val="Heading2"/>
        <w:spacing w:before="240" w:after="0" w:line="320" w:lineRule="exact"/>
        <w:textDirection w:val="tbRlV"/>
        <w:rPr>
          <w:rFonts w:ascii="Arial" w:hAnsi="Arial" w:cs="Arial"/>
          <w:sz w:val="20"/>
          <w:szCs w:val="26"/>
          <w:lang w:val="ar-SA" w:bidi="en-GB"/>
        </w:rPr>
      </w:pPr>
      <w:r w:rsidRPr="003D5A65">
        <w:rPr>
          <w:rFonts w:ascii="Arial" w:hAnsi="Arial" w:cs="Arial"/>
          <w:sz w:val="20"/>
          <w:szCs w:val="26"/>
          <w:rtl/>
        </w:rPr>
        <w:t xml:space="preserve">مجموعة المنظمة العالمية للأرصاد الجوية من المعدلات المناخية المعيارية للفترة </w:t>
      </w:r>
      <w:r w:rsidRPr="003D5A65">
        <w:rPr>
          <w:rFonts w:ascii="Arial" w:hAnsi="Arial" w:cs="Arial"/>
          <w:sz w:val="20"/>
          <w:szCs w:val="26"/>
        </w:rPr>
        <w:t>1991</w:t>
      </w:r>
      <w:r w:rsidR="003B5315">
        <w:rPr>
          <w:rFonts w:ascii="Arial" w:hAnsi="Arial" w:cs="Arial" w:hint="cs"/>
          <w:sz w:val="20"/>
          <w:szCs w:val="26"/>
          <w:rtl/>
        </w:rPr>
        <w:t>-</w:t>
      </w:r>
      <w:r w:rsidRPr="003D5A65">
        <w:rPr>
          <w:rFonts w:ascii="Arial" w:hAnsi="Arial" w:cs="Arial"/>
          <w:sz w:val="20"/>
          <w:szCs w:val="26"/>
        </w:rPr>
        <w:t>2020</w:t>
      </w:r>
      <w:r w:rsidRPr="003D5A65">
        <w:rPr>
          <w:rFonts w:ascii="Arial" w:hAnsi="Arial" w:cs="Arial"/>
          <w:sz w:val="20"/>
          <w:szCs w:val="26"/>
          <w:rtl/>
        </w:rPr>
        <w:t xml:space="preserve"> </w:t>
      </w:r>
      <w:r w:rsidRPr="003D5A65">
        <w:rPr>
          <w:rFonts w:ascii="Arial" w:hAnsi="Arial" w:cs="Arial"/>
          <w:sz w:val="20"/>
          <w:szCs w:val="26"/>
        </w:rPr>
        <w:t>(CLINO)</w:t>
      </w:r>
    </w:p>
    <w:p w14:paraId="27A6E8A0" w14:textId="42BA6623" w:rsidR="00665867" w:rsidRPr="008B722B" w:rsidRDefault="00665867" w:rsidP="00665867">
      <w:pPr>
        <w:pStyle w:val="Heading3"/>
        <w:spacing w:before="240" w:after="0"/>
        <w:textDirection w:val="tbRlV"/>
        <w:rPr>
          <w:rFonts w:ascii="Arial" w:hAnsi="Arial" w:cs="Arial"/>
          <w:rtl/>
          <w:lang w:bidi="ar-LB"/>
        </w:rPr>
      </w:pPr>
      <w:r w:rsidRPr="003D5A65">
        <w:rPr>
          <w:rFonts w:ascii="Arial" w:hAnsi="Arial" w:cs="Arial"/>
          <w:rtl/>
        </w:rPr>
        <w:t xml:space="preserve">تعريف وأهمية </w:t>
      </w:r>
      <w:r w:rsidRPr="00DD3328">
        <w:rPr>
          <w:rFonts w:ascii="Arial" w:hAnsi="Arial" w:cs="Arial"/>
          <w:rtl/>
        </w:rPr>
        <w:t>المعدلات المناخية المعيارية</w:t>
      </w:r>
      <w:r w:rsidRPr="003D5A65">
        <w:rPr>
          <w:rFonts w:ascii="Arial" w:hAnsi="Arial" w:cs="Arial"/>
          <w:rtl/>
        </w:rPr>
        <w:t xml:space="preserve"> </w:t>
      </w:r>
      <w:r w:rsidR="008B722B">
        <w:rPr>
          <w:rFonts w:ascii="Arial" w:hAnsi="Arial" w:cs="Arial"/>
        </w:rPr>
        <w:t>(CLINO)</w:t>
      </w:r>
    </w:p>
    <w:p w14:paraId="313B6ED5" w14:textId="0C711EED" w:rsidR="003021ED" w:rsidRDefault="003021ED" w:rsidP="003021ED">
      <w:pPr>
        <w:pStyle w:val="WMOBodyText"/>
        <w:textDirection w:val="tbRlV"/>
        <w:rPr>
          <w:rtl/>
        </w:rPr>
      </w:pPr>
      <w:r w:rsidRPr="003D5A65">
        <w:rPr>
          <w:rtl/>
        </w:rPr>
        <w:t xml:space="preserve">المعدلات المناخية المعيارية هي متوسطات للبيانات المناخية المحسوبة للفترات المتتالية التالية منذ </w:t>
      </w:r>
      <w:r w:rsidRPr="003D5A65">
        <w:t>30</w:t>
      </w:r>
      <w:r w:rsidRPr="003D5A65">
        <w:rPr>
          <w:rtl/>
        </w:rPr>
        <w:t xml:space="preserve"> عام</w:t>
      </w:r>
      <w:r w:rsidR="00D903E2">
        <w:rPr>
          <w:rFonts w:hint="cs"/>
          <w:rtl/>
          <w:lang w:bidi="ar-LB"/>
        </w:rPr>
        <w:t>اً</w:t>
      </w:r>
      <w:r w:rsidRPr="003D5A65">
        <w:rPr>
          <w:rtl/>
          <w:lang w:bidi="ar-EG"/>
        </w:rPr>
        <w:t>:</w:t>
      </w:r>
      <w:r w:rsidRPr="003D5A65">
        <w:rPr>
          <w:rtl/>
        </w:rPr>
        <w:t xml:space="preserve"> </w:t>
      </w:r>
      <w:r w:rsidRPr="003D5A65">
        <w:t>1</w:t>
      </w:r>
      <w:r w:rsidRPr="003D5A65">
        <w:rPr>
          <w:rtl/>
        </w:rPr>
        <w:t xml:space="preserve"> كانون الثاني/ يناير </w:t>
      </w:r>
      <w:r w:rsidRPr="003D5A65">
        <w:t>1981</w:t>
      </w:r>
      <w:r w:rsidR="002A4A0D">
        <w:rPr>
          <w:rFonts w:hint="cs"/>
          <w:rtl/>
        </w:rPr>
        <w:t xml:space="preserve"> - </w:t>
      </w:r>
      <w:r w:rsidRPr="003D5A65">
        <w:t>31</w:t>
      </w:r>
      <w:r w:rsidRPr="003D5A65">
        <w:rPr>
          <w:rtl/>
        </w:rPr>
        <w:t xml:space="preserve"> كانون الأول/ ديسمبر </w:t>
      </w:r>
      <w:r w:rsidRPr="003D5A65">
        <w:t>2010</w:t>
      </w:r>
      <w:r w:rsidRPr="003D5A65">
        <w:rPr>
          <w:rtl/>
        </w:rPr>
        <w:t>، و</w:t>
      </w:r>
      <w:r w:rsidRPr="003D5A65">
        <w:t>1</w:t>
      </w:r>
      <w:r w:rsidRPr="003D5A65">
        <w:rPr>
          <w:rtl/>
        </w:rPr>
        <w:t xml:space="preserve"> كانون الثاني/ يناير </w:t>
      </w:r>
      <w:r w:rsidRPr="003D5A65">
        <w:t>1991</w:t>
      </w:r>
      <w:r w:rsidR="002A4A0D">
        <w:rPr>
          <w:rFonts w:hint="cs"/>
          <w:rtl/>
        </w:rPr>
        <w:t xml:space="preserve"> - </w:t>
      </w:r>
      <w:r w:rsidRPr="003D5A65">
        <w:t>31</w:t>
      </w:r>
      <w:r w:rsidRPr="003D5A65">
        <w:rPr>
          <w:rtl/>
        </w:rPr>
        <w:t xml:space="preserve"> كانون الأول/ ديسمبر </w:t>
      </w:r>
      <w:r w:rsidRPr="003D5A65">
        <w:t>2020</w:t>
      </w:r>
      <w:r w:rsidRPr="003D5A65">
        <w:rPr>
          <w:rtl/>
        </w:rPr>
        <w:t xml:space="preserve">، وما إلى ذلك (اللوائح </w:t>
      </w:r>
      <w:r w:rsidR="004D7DE0">
        <w:rPr>
          <w:rFonts w:hint="cs"/>
          <w:rtl/>
          <w:lang w:bidi="ar-LB"/>
        </w:rPr>
        <w:t>الفنية</w:t>
      </w:r>
      <w:r w:rsidRPr="003D5A65">
        <w:rPr>
          <w:rtl/>
        </w:rPr>
        <w:t xml:space="preserve"> للمنظمة </w:t>
      </w:r>
      <w:r w:rsidRPr="003D5A65">
        <w:t>(WMO)</w:t>
      </w:r>
      <w:r w:rsidRPr="003D5A65">
        <w:rPr>
          <w:rtl/>
        </w:rPr>
        <w:t xml:space="preserve">، المجلد </w:t>
      </w:r>
      <w:r w:rsidRPr="003D5A65">
        <w:t>1</w:t>
      </w:r>
      <w:r w:rsidR="002A4A0D">
        <w:rPr>
          <w:rFonts w:hint="cs"/>
          <w:rtl/>
        </w:rPr>
        <w:t>:</w:t>
      </w:r>
      <w:r w:rsidRPr="003D5A65">
        <w:rPr>
          <w:rtl/>
        </w:rPr>
        <w:t xml:space="preserve"> المعايير العامة للأرصاد الجوية والممارسات </w:t>
      </w:r>
      <w:proofErr w:type="spellStart"/>
      <w:r w:rsidRPr="003D5A65">
        <w:rPr>
          <w:rtl/>
        </w:rPr>
        <w:t>الموصى</w:t>
      </w:r>
      <w:proofErr w:type="spellEnd"/>
      <w:r w:rsidRPr="003D5A65">
        <w:rPr>
          <w:rtl/>
        </w:rPr>
        <w:t xml:space="preserve"> بها (مطبوع المنظمة رقم </w:t>
      </w:r>
      <w:r w:rsidRPr="003D5A65">
        <w:t>49</w:t>
      </w:r>
      <w:r w:rsidRPr="003D5A65">
        <w:rPr>
          <w:rtl/>
        </w:rPr>
        <w:t>)).</w:t>
      </w:r>
    </w:p>
    <w:p w14:paraId="5017AC62" w14:textId="77777777" w:rsidR="003021ED" w:rsidRDefault="003021ED" w:rsidP="003021ED">
      <w:pPr>
        <w:pStyle w:val="WMOBodyText"/>
        <w:textDirection w:val="tbRlV"/>
        <w:rPr>
          <w:rtl/>
        </w:rPr>
      </w:pPr>
      <w:r w:rsidRPr="003D5A65">
        <w:rPr>
          <w:rtl/>
        </w:rPr>
        <w:t>تستخدم المعدلات المناخية المعيارية لغرضين أساسيين. وهي تستخدم على نطاق واسع، ضمناً أو صراحةً، كتوصيف لمتوسط الظروف التي يرجح أن تمر بها في موقع معين، مما يوفر مدخلات موثوقة للعديد من المعايير واللوائح الوطنية والدولية. كما أنها تستخدم كمعيار يمكن مقارنة الظروف الجوية أو المناخية الأخيرة أو الحالية به.</w:t>
      </w:r>
    </w:p>
    <w:p w14:paraId="373CFE9F" w14:textId="15B27F60" w:rsidR="003021ED" w:rsidRPr="003D5A65" w:rsidRDefault="003021ED" w:rsidP="003021ED">
      <w:pPr>
        <w:pStyle w:val="WMOBodyText"/>
        <w:textDirection w:val="tbRlV"/>
        <w:rPr>
          <w:lang w:val="ar-SA" w:bidi="en-GB"/>
        </w:rPr>
      </w:pPr>
      <w:r w:rsidRPr="003D5A65">
        <w:rPr>
          <w:rtl/>
        </w:rPr>
        <w:t xml:space="preserve">ويمثل نشر مجموعة بيانات عالمية موحدة من نظام المعدلات المناخية المعيارية </w:t>
      </w:r>
      <w:r w:rsidR="008B722B">
        <w:t>(CLINO)</w:t>
      </w:r>
      <w:r w:rsidRPr="003D5A65">
        <w:rPr>
          <w:rtl/>
        </w:rPr>
        <w:t xml:space="preserve"> جمعت من تقارير الأعضاء منتجاً رئيسياً أساسياً للمنظمة </w:t>
      </w:r>
      <w:r w:rsidRPr="003D5A65">
        <w:t>(WMO)</w:t>
      </w:r>
      <w:r w:rsidRPr="003D5A65">
        <w:rPr>
          <w:rtl/>
        </w:rPr>
        <w:t xml:space="preserve"> وسلفها المنظمة الدولية للأرصاد الجوية </w:t>
      </w:r>
      <w:r w:rsidRPr="003D5A65">
        <w:t>(IMO)</w:t>
      </w:r>
      <w:r w:rsidRPr="003D5A65">
        <w:rPr>
          <w:rtl/>
        </w:rPr>
        <w:t xml:space="preserve"> منذ ما يقرب من </w:t>
      </w:r>
      <w:r w:rsidRPr="003D5A65">
        <w:t>100</w:t>
      </w:r>
      <w:r w:rsidRPr="003D5A65">
        <w:rPr>
          <w:rtl/>
        </w:rPr>
        <w:t xml:space="preserve"> عام. ويدعم نظام المعدلات المناخية المعيارية </w:t>
      </w:r>
      <w:r w:rsidR="008B722B">
        <w:t>(CLINO)</w:t>
      </w:r>
      <w:r w:rsidRPr="003D5A65">
        <w:rPr>
          <w:rtl/>
        </w:rPr>
        <w:t xml:space="preserve">، المصنف كمنشور إلزامي للمنظمة </w:t>
      </w:r>
      <w:r w:rsidRPr="003D5A65">
        <w:t>(WMO)</w:t>
      </w:r>
      <w:r w:rsidRPr="003D5A65">
        <w:rPr>
          <w:rtl/>
        </w:rPr>
        <w:t>، العديد من التطبيقات الوطنية والإقليمية والعالمية المتعلقة بالمناخ والطقس، فضلاً عن المعايير والإحصاءات الوطنية والدولية.</w:t>
      </w:r>
    </w:p>
    <w:p w14:paraId="26474ECE" w14:textId="4A23858E" w:rsidR="00E92069" w:rsidRPr="003D5A65" w:rsidRDefault="00E92069" w:rsidP="00E92069">
      <w:pPr>
        <w:pStyle w:val="Heading3"/>
        <w:spacing w:before="240" w:after="0"/>
        <w:textDirection w:val="tbRlV"/>
        <w:rPr>
          <w:rFonts w:ascii="Arial" w:hAnsi="Arial" w:cs="Arial"/>
          <w:lang w:val="ar-SA" w:bidi="en-GB"/>
        </w:rPr>
      </w:pPr>
      <w:r w:rsidRPr="003D5A65">
        <w:rPr>
          <w:rFonts w:ascii="Arial" w:hAnsi="Arial" w:cs="Arial"/>
          <w:rtl/>
        </w:rPr>
        <w:t xml:space="preserve">أنشطة المنظمة </w:t>
      </w:r>
      <w:r w:rsidRPr="003D5A65">
        <w:rPr>
          <w:rFonts w:ascii="Arial" w:hAnsi="Arial" w:cs="Arial"/>
        </w:rPr>
        <w:t>(WMO)</w:t>
      </w:r>
      <w:r w:rsidRPr="003D5A65">
        <w:rPr>
          <w:rFonts w:ascii="Arial" w:hAnsi="Arial" w:cs="Arial"/>
          <w:rtl/>
        </w:rPr>
        <w:t xml:space="preserve"> لتيسير جمع </w:t>
      </w:r>
      <w:r w:rsidR="008B722B">
        <w:rPr>
          <w:rFonts w:ascii="Arial" w:hAnsi="Arial" w:cs="Arial"/>
        </w:rPr>
        <w:t>(CLINO)</w:t>
      </w:r>
      <w:r w:rsidRPr="003D5A65">
        <w:rPr>
          <w:rFonts w:ascii="Arial" w:hAnsi="Arial" w:cs="Arial"/>
        </w:rPr>
        <w:t xml:space="preserve"> </w:t>
      </w:r>
      <w:r w:rsidR="003B5315" w:rsidRPr="003D5A65">
        <w:rPr>
          <w:rFonts w:ascii="Arial" w:hAnsi="Arial" w:cs="Arial"/>
        </w:rPr>
        <w:t>2020</w:t>
      </w:r>
      <w:r w:rsidRPr="003D5A65">
        <w:rPr>
          <w:rFonts w:ascii="Arial" w:hAnsi="Arial" w:cs="Arial"/>
        </w:rPr>
        <w:t>-</w:t>
      </w:r>
      <w:r w:rsidR="003B5315">
        <w:rPr>
          <w:rFonts w:ascii="Arial" w:hAnsi="Arial" w:cs="Arial"/>
        </w:rPr>
        <w:t>1991</w:t>
      </w:r>
    </w:p>
    <w:p w14:paraId="40AF2EAC" w14:textId="580DCEE5" w:rsidR="008B7FA5" w:rsidRDefault="008B7FA5" w:rsidP="008B7FA5">
      <w:pPr>
        <w:pStyle w:val="WMOBodyText"/>
        <w:textDirection w:val="tbRlV"/>
        <w:rPr>
          <w:rtl/>
        </w:rPr>
      </w:pPr>
      <w:r w:rsidRPr="003D5A65">
        <w:rPr>
          <w:rtl/>
        </w:rPr>
        <w:t xml:space="preserve">ستوجه المنظمة </w:t>
      </w:r>
      <w:r w:rsidRPr="003D5A65">
        <w:t>(WMO)</w:t>
      </w:r>
      <w:r w:rsidRPr="003D5A65">
        <w:rPr>
          <w:rtl/>
        </w:rPr>
        <w:t xml:space="preserve"> نداءً في آب/ أغسطس </w:t>
      </w:r>
      <w:r w:rsidRPr="003D5A65">
        <w:t>2021</w:t>
      </w:r>
      <w:r w:rsidRPr="003D5A65">
        <w:rPr>
          <w:rtl/>
        </w:rPr>
        <w:t xml:space="preserve"> لتقديم المعدلات المناخية المعيارية للفترة </w:t>
      </w:r>
      <w:r w:rsidRPr="003D5A65">
        <w:t>2020-1991</w:t>
      </w:r>
      <w:r w:rsidRPr="003D5A65">
        <w:rPr>
          <w:rtl/>
        </w:rPr>
        <w:t xml:space="preserve">، بما في ذلك المواصفات المفصلة للنسق ونهج الجمع؛ آخر موعد </w:t>
      </w:r>
      <w:r w:rsidR="00253A98">
        <w:rPr>
          <w:rFonts w:hint="cs"/>
          <w:rtl/>
        </w:rPr>
        <w:t>للتقديم</w:t>
      </w:r>
      <w:r w:rsidRPr="003D5A65">
        <w:rPr>
          <w:rtl/>
          <w:lang w:bidi="ar-EG"/>
        </w:rPr>
        <w:t>:</w:t>
      </w:r>
      <w:r w:rsidRPr="003D5A65">
        <w:rPr>
          <w:rtl/>
        </w:rPr>
        <w:t xml:space="preserve"> </w:t>
      </w:r>
      <w:r w:rsidRPr="003D5A65">
        <w:t>31</w:t>
      </w:r>
      <w:r w:rsidRPr="003D5A65">
        <w:rPr>
          <w:rtl/>
        </w:rPr>
        <w:t xml:space="preserve"> آذار/ مارس </w:t>
      </w:r>
      <w:r w:rsidRPr="003D5A65">
        <w:t>2022</w:t>
      </w:r>
      <w:r w:rsidRPr="003D5A65">
        <w:rPr>
          <w:rtl/>
        </w:rPr>
        <w:t xml:space="preserve">. وصدرت دعوة ثانية للتقديم في أيار/ مايو </w:t>
      </w:r>
      <w:r w:rsidRPr="003D5A65">
        <w:t>2022</w:t>
      </w:r>
      <w:r w:rsidRPr="003D5A65">
        <w:rPr>
          <w:rtl/>
        </w:rPr>
        <w:t xml:space="preserve">، وبالتالي تمديد الموعد النهائي إلى </w:t>
      </w:r>
      <w:r w:rsidRPr="003D5A65">
        <w:t>31</w:t>
      </w:r>
      <w:r w:rsidRPr="003D5A65">
        <w:rPr>
          <w:rtl/>
        </w:rPr>
        <w:t xml:space="preserve"> كانون الأول/ ديسمبر </w:t>
      </w:r>
      <w:r w:rsidRPr="003D5A65">
        <w:t>2022</w:t>
      </w:r>
      <w:r w:rsidRPr="003D5A65">
        <w:rPr>
          <w:rtl/>
        </w:rPr>
        <w:t>.</w:t>
      </w:r>
    </w:p>
    <w:p w14:paraId="1B9E4072" w14:textId="53F4BD1E" w:rsidR="008B7FA5" w:rsidRDefault="008B7FA5" w:rsidP="008B7FA5">
      <w:pPr>
        <w:pStyle w:val="WMOBodyText"/>
        <w:textDirection w:val="tbRlV"/>
        <w:rPr>
          <w:rtl/>
        </w:rPr>
      </w:pPr>
      <w:r w:rsidRPr="003D5A65">
        <w:rPr>
          <w:rtl/>
        </w:rPr>
        <w:t xml:space="preserve">وقد رتبت الأمانة سلسلتين من المشاورات الإقليمية عبر الإنترنت لجميع الاتحادات الإقليمية التابعة للمنظمة </w:t>
      </w:r>
      <w:r w:rsidRPr="003D5A65">
        <w:t>(WMO)</w:t>
      </w:r>
      <w:r w:rsidRPr="003D5A65">
        <w:rPr>
          <w:rtl/>
        </w:rPr>
        <w:t xml:space="preserve"> في حزيران/ يونيو </w:t>
      </w:r>
      <w:r w:rsidRPr="003D5A65">
        <w:t>2021</w:t>
      </w:r>
      <w:r w:rsidRPr="003D5A65">
        <w:rPr>
          <w:rtl/>
        </w:rPr>
        <w:t xml:space="preserve"> وحزيران/</w:t>
      </w:r>
      <w:r w:rsidR="003B5315">
        <w:rPr>
          <w:rFonts w:hint="cs"/>
          <w:rtl/>
        </w:rPr>
        <w:t xml:space="preserve"> </w:t>
      </w:r>
      <w:r w:rsidRPr="003D5A65">
        <w:rPr>
          <w:rtl/>
        </w:rPr>
        <w:t xml:space="preserve">يونيو </w:t>
      </w:r>
      <w:r w:rsidRPr="003D5A65">
        <w:t>2022</w:t>
      </w:r>
      <w:r w:rsidRPr="003D5A65">
        <w:rPr>
          <w:rtl/>
        </w:rPr>
        <w:t xml:space="preserve"> لتعزيز حساب </w:t>
      </w:r>
      <w:r w:rsidR="00FD60AD" w:rsidRPr="003D5A65">
        <w:rPr>
          <w:rtl/>
        </w:rPr>
        <w:t xml:space="preserve">المعدلات المناخية المعيارية </w:t>
      </w:r>
      <w:r w:rsidR="00FD60AD">
        <w:t>(CLINO)</w:t>
      </w:r>
      <w:r w:rsidRPr="003D5A65">
        <w:t xml:space="preserve"> 2020-1991</w:t>
      </w:r>
      <w:r w:rsidRPr="003D5A65">
        <w:rPr>
          <w:rtl/>
        </w:rPr>
        <w:t xml:space="preserve"> ولتيسير تبادل المعلومات بين المرافق الوطنية للأرصاد الجوية والهيدرولوجيا </w:t>
      </w:r>
      <w:r w:rsidRPr="003D5A65">
        <w:t>(NMHSs)</w:t>
      </w:r>
      <w:r w:rsidRPr="003D5A65">
        <w:rPr>
          <w:rtl/>
        </w:rPr>
        <w:t xml:space="preserve"> من أجل دعم عمليات الحساب العادي وجمع البيانات الهيدرولوجية التابعة للمنظمة </w:t>
      </w:r>
      <w:r w:rsidRPr="003D5A65">
        <w:t>(WMO)</w:t>
      </w:r>
      <w:r w:rsidRPr="003D5A65">
        <w:rPr>
          <w:rtl/>
        </w:rPr>
        <w:t xml:space="preserve">. وحضر هذه المشاورات أكثر من </w:t>
      </w:r>
      <w:r w:rsidRPr="003D5A65">
        <w:t>700</w:t>
      </w:r>
      <w:r w:rsidRPr="003D5A65">
        <w:rPr>
          <w:rtl/>
        </w:rPr>
        <w:t xml:space="preserve"> خبير من أكثر من </w:t>
      </w:r>
      <w:r w:rsidRPr="003D5A65">
        <w:t>100</w:t>
      </w:r>
      <w:r w:rsidRPr="003D5A65">
        <w:rPr>
          <w:rtl/>
        </w:rPr>
        <w:t xml:space="preserve"> عضو.</w:t>
      </w:r>
    </w:p>
    <w:p w14:paraId="211B2597" w14:textId="3BBAA272" w:rsidR="008B7FA5" w:rsidRPr="003D5A65" w:rsidRDefault="008B7FA5" w:rsidP="008B7FA5">
      <w:pPr>
        <w:pStyle w:val="WMOBodyText"/>
        <w:textDirection w:val="tbRlV"/>
        <w:rPr>
          <w:lang w:val="ar-SA" w:bidi="en-GB"/>
        </w:rPr>
      </w:pPr>
      <w:r w:rsidRPr="00A35BC2">
        <w:rPr>
          <w:rtl/>
        </w:rPr>
        <w:t xml:space="preserve">وإدراكاً منها لبطء معدل الاستجابة من جانب الأعضاء </w:t>
      </w:r>
      <w:r w:rsidRPr="00A35BC2">
        <w:t xml:space="preserve">(45 </w:t>
      </w:r>
      <w:r w:rsidRPr="00A35BC2">
        <w:rPr>
          <w:rtl/>
        </w:rPr>
        <w:t xml:space="preserve">من أصل </w:t>
      </w:r>
      <w:r w:rsidRPr="00A35BC2">
        <w:t>193</w:t>
      </w:r>
      <w:r w:rsidRPr="00A35BC2">
        <w:rPr>
          <w:rtl/>
        </w:rPr>
        <w:t xml:space="preserve"> عضواً قدموا</w:t>
      </w:r>
      <w:r w:rsidR="00253A98" w:rsidRPr="00A35BC2">
        <w:rPr>
          <w:rFonts w:hint="cs"/>
          <w:rtl/>
        </w:rPr>
        <w:t xml:space="preserve"> </w:t>
      </w:r>
      <w:r w:rsidR="001963EC" w:rsidRPr="00A35BC2">
        <w:rPr>
          <w:rtl/>
        </w:rPr>
        <w:t xml:space="preserve">المعدلات المناخية المعيارية </w:t>
      </w:r>
      <w:r w:rsidR="00253A98" w:rsidRPr="00A35BC2">
        <w:rPr>
          <w:rFonts w:hint="cs"/>
          <w:rtl/>
        </w:rPr>
        <w:t xml:space="preserve">للفترة </w:t>
      </w:r>
      <w:r w:rsidR="00253A98" w:rsidRPr="00A35BC2">
        <w:t>2020-1991</w:t>
      </w:r>
      <w:r w:rsidR="00253A98" w:rsidRPr="00A35BC2">
        <w:rPr>
          <w:rFonts w:hint="cs"/>
          <w:rtl/>
          <w:lang w:bidi="ar-LB"/>
        </w:rPr>
        <w:t xml:space="preserve"> </w:t>
      </w:r>
      <w:r w:rsidR="00253A98" w:rsidRPr="00A35BC2">
        <w:rPr>
          <w:lang w:bidi="ar-LB"/>
        </w:rPr>
        <w:t>(CLINO)</w:t>
      </w:r>
      <w:r w:rsidR="00253A98" w:rsidRPr="00A35BC2">
        <w:rPr>
          <w:rFonts w:hint="cs"/>
          <w:rtl/>
          <w:lang w:bidi="ar-LB"/>
        </w:rPr>
        <w:t xml:space="preserve"> </w:t>
      </w:r>
      <w:r w:rsidRPr="00A35BC2">
        <w:rPr>
          <w:rtl/>
        </w:rPr>
        <w:t xml:space="preserve">بحلول </w:t>
      </w:r>
      <w:r w:rsidRPr="00A35BC2">
        <w:t>4</w:t>
      </w:r>
      <w:r w:rsidRPr="00A35BC2">
        <w:rPr>
          <w:rtl/>
        </w:rPr>
        <w:t xml:space="preserve"> أبريل/ نيسان </w:t>
      </w:r>
      <w:r w:rsidRPr="00A35BC2">
        <w:t>2022)</w:t>
      </w:r>
      <w:r w:rsidRPr="00A35BC2">
        <w:rPr>
          <w:rtl/>
        </w:rPr>
        <w:t xml:space="preserve">، قرر المجلس التنفيذي </w:t>
      </w:r>
      <w:r w:rsidRPr="00A35BC2">
        <w:t>EC-75</w:t>
      </w:r>
      <w:r w:rsidRPr="00A35BC2">
        <w:rPr>
          <w:rtl/>
        </w:rPr>
        <w:t xml:space="preserve"> تسريع جمع المنظمة </w:t>
      </w:r>
      <w:r w:rsidRPr="00A35BC2">
        <w:t>(WMO)</w:t>
      </w:r>
      <w:r w:rsidRPr="00A35BC2">
        <w:rPr>
          <w:rtl/>
        </w:rPr>
        <w:t xml:space="preserve"> للنظام</w:t>
      </w:r>
      <w:r w:rsidR="00253A98" w:rsidRPr="00A35BC2">
        <w:rPr>
          <w:rFonts w:hint="cs"/>
          <w:rtl/>
        </w:rPr>
        <w:t xml:space="preserve"> </w:t>
      </w:r>
      <w:r w:rsidR="00A35BC2" w:rsidRPr="00A35BC2">
        <w:rPr>
          <w:rFonts w:hint="cs"/>
          <w:rtl/>
        </w:rPr>
        <w:t xml:space="preserve">للفترة </w:t>
      </w:r>
      <w:r w:rsidR="00A35BC2" w:rsidRPr="00A35BC2">
        <w:t>2020-1991</w:t>
      </w:r>
      <w:r w:rsidR="00A35BC2" w:rsidRPr="00A35BC2">
        <w:rPr>
          <w:rFonts w:hint="cs"/>
          <w:rtl/>
          <w:lang w:bidi="ar-LB"/>
        </w:rPr>
        <w:t xml:space="preserve"> </w:t>
      </w:r>
      <w:r w:rsidR="00A35BC2" w:rsidRPr="00A35BC2">
        <w:rPr>
          <w:lang w:bidi="ar-LB"/>
        </w:rPr>
        <w:t>(CLINO)</w:t>
      </w:r>
      <w:r w:rsidRPr="00A35BC2">
        <w:rPr>
          <w:rtl/>
        </w:rPr>
        <w:t xml:space="preserve">. يسرد </w:t>
      </w:r>
      <w:r w:rsidRPr="00A35BC2">
        <w:t>EC-75/Doc 3.2(2)</w:t>
      </w:r>
      <w:r w:rsidRPr="00A35BC2">
        <w:rPr>
          <w:rtl/>
        </w:rPr>
        <w:t xml:space="preserve"> عدة تدابير لزيادة تعزيز عملية الحساب وجمع </w:t>
      </w:r>
      <w:r w:rsidRPr="00A35BC2">
        <w:rPr>
          <w:rtl/>
        </w:rPr>
        <w:lastRenderedPageBreak/>
        <w:t xml:space="preserve">المنظمة </w:t>
      </w:r>
      <w:r w:rsidRPr="00A35BC2">
        <w:t>(WMO)</w:t>
      </w:r>
      <w:r w:rsidRPr="00A35BC2">
        <w:rPr>
          <w:rtl/>
        </w:rPr>
        <w:t xml:space="preserve"> في الوقت المناسب </w:t>
      </w:r>
      <w:r w:rsidR="00A35BC2" w:rsidRPr="00A35BC2">
        <w:rPr>
          <w:rFonts w:hint="cs"/>
          <w:rtl/>
        </w:rPr>
        <w:t xml:space="preserve">للنظام </w:t>
      </w:r>
      <w:r w:rsidR="00A35BC2" w:rsidRPr="00A35BC2">
        <w:rPr>
          <w:rFonts w:hint="cs"/>
          <w:rtl/>
          <w:lang w:bidi="ar-LB"/>
        </w:rPr>
        <w:t>للفترة</w:t>
      </w:r>
      <w:r w:rsidRPr="00A35BC2">
        <w:rPr>
          <w:rtl/>
        </w:rPr>
        <w:t xml:space="preserve"> </w:t>
      </w:r>
      <w:r w:rsidR="00A35BC2" w:rsidRPr="00A35BC2">
        <w:rPr>
          <w:lang w:bidi="ar-LB"/>
        </w:rPr>
        <w:t>2020-1991</w:t>
      </w:r>
      <w:r w:rsidR="00A35BC2" w:rsidRPr="00A35BC2">
        <w:rPr>
          <w:rFonts w:hint="cs"/>
          <w:rtl/>
          <w:lang w:bidi="ar-LB"/>
        </w:rPr>
        <w:t xml:space="preserve"> </w:t>
      </w:r>
      <w:r w:rsidR="00A35BC2" w:rsidRPr="00A35BC2">
        <w:rPr>
          <w:lang w:bidi="ar-LB"/>
        </w:rPr>
        <w:t>(CLINO)</w:t>
      </w:r>
      <w:r w:rsidR="00A35BC2" w:rsidRPr="00A35BC2">
        <w:rPr>
          <w:rFonts w:hint="cs"/>
          <w:rtl/>
          <w:lang w:bidi="ar-LB"/>
        </w:rPr>
        <w:t xml:space="preserve"> </w:t>
      </w:r>
      <w:r w:rsidRPr="00A35BC2">
        <w:rPr>
          <w:rtl/>
        </w:rPr>
        <w:t xml:space="preserve">بين الأعضاء، بما في ذلك إشراك الاتحادات الإقليمية واللجان الفنية التابعة للمنظمة </w:t>
      </w:r>
      <w:r w:rsidRPr="00A35BC2">
        <w:t>(WMO)</w:t>
      </w:r>
      <w:r w:rsidRPr="00A35BC2">
        <w:rPr>
          <w:rtl/>
        </w:rPr>
        <w:t>.</w:t>
      </w:r>
    </w:p>
    <w:p w14:paraId="385BEEC5" w14:textId="77777777" w:rsidR="0057321C" w:rsidRPr="003D5A65" w:rsidRDefault="0057321C" w:rsidP="0057321C">
      <w:pPr>
        <w:pStyle w:val="Heading3"/>
        <w:spacing w:before="240" w:after="0"/>
        <w:textDirection w:val="tbRlV"/>
        <w:rPr>
          <w:rFonts w:ascii="Arial" w:hAnsi="Arial" w:cs="Arial"/>
          <w:b w:val="0"/>
          <w:bCs w:val="0"/>
          <w:lang w:val="ar-SA" w:bidi="en-GB"/>
        </w:rPr>
      </w:pPr>
      <w:r w:rsidRPr="003D5A65">
        <w:rPr>
          <w:rFonts w:ascii="Arial" w:hAnsi="Arial" w:cs="Arial"/>
          <w:rtl/>
        </w:rPr>
        <w:t>الموعد النهائي وتاريخ النشر</w:t>
      </w:r>
    </w:p>
    <w:p w14:paraId="39E3D10F" w14:textId="5F9FC6CA" w:rsidR="0057321C" w:rsidRPr="00CE0A20" w:rsidRDefault="0057321C" w:rsidP="0057321C">
      <w:pPr>
        <w:pStyle w:val="WMOBodyText"/>
        <w:textDirection w:val="tbRlV"/>
        <w:rPr>
          <w:b/>
          <w:rtl/>
        </w:rPr>
      </w:pPr>
      <w:r w:rsidRPr="00CE0A20">
        <w:rPr>
          <w:bCs/>
        </w:rPr>
        <w:t>31</w:t>
      </w:r>
      <w:r w:rsidRPr="00CE0A20">
        <w:rPr>
          <w:b/>
          <w:rtl/>
        </w:rPr>
        <w:t xml:space="preserve"> كانون الأول/ ديسمبر </w:t>
      </w:r>
      <w:r w:rsidRPr="00CE0A20">
        <w:rPr>
          <w:bCs/>
        </w:rPr>
        <w:t>2022</w:t>
      </w:r>
      <w:r w:rsidRPr="00CE0A20">
        <w:rPr>
          <w:b/>
          <w:rtl/>
        </w:rPr>
        <w:t xml:space="preserve"> هو الموعد النهائي المحدد لتقديم الأعضاء لطلبات </w:t>
      </w:r>
      <w:r w:rsidR="001963EC" w:rsidRPr="003D5A65">
        <w:rPr>
          <w:rtl/>
        </w:rPr>
        <w:t xml:space="preserve">المعدلات المناخية المعيارية </w:t>
      </w:r>
      <w:r w:rsidR="001963EC">
        <w:rPr>
          <w:bCs/>
        </w:rPr>
        <w:t>(CLINO)</w:t>
      </w:r>
      <w:r w:rsidRPr="00CE0A20">
        <w:rPr>
          <w:b/>
          <w:rtl/>
        </w:rPr>
        <w:t xml:space="preserve">. ومن المقرر نشر </w:t>
      </w:r>
      <w:r w:rsidRPr="00CE0A20">
        <w:rPr>
          <w:bCs/>
        </w:rPr>
        <w:t>CLINO</w:t>
      </w:r>
      <w:r w:rsidRPr="00CE0A20">
        <w:rPr>
          <w:b/>
        </w:rPr>
        <w:t xml:space="preserve"> </w:t>
      </w:r>
      <w:r w:rsidRPr="00D903E2">
        <w:rPr>
          <w:bCs/>
        </w:rPr>
        <w:t>1991-2020</w:t>
      </w:r>
      <w:r w:rsidRPr="00CE0A20">
        <w:rPr>
          <w:b/>
          <w:rtl/>
        </w:rPr>
        <w:t xml:space="preserve"> كمنشور إلزامي للمنظمة </w:t>
      </w:r>
      <w:r w:rsidRPr="00D903E2">
        <w:rPr>
          <w:bCs/>
        </w:rPr>
        <w:t>(WMO)</w:t>
      </w:r>
      <w:r w:rsidRPr="00CE0A20">
        <w:rPr>
          <w:b/>
          <w:rtl/>
        </w:rPr>
        <w:t xml:space="preserve"> في النصف الثاني من عام </w:t>
      </w:r>
      <w:r w:rsidRPr="00CE0A20">
        <w:rPr>
          <w:bCs/>
        </w:rPr>
        <w:t>2023</w:t>
      </w:r>
      <w:r w:rsidRPr="00CE0A20">
        <w:rPr>
          <w:b/>
          <w:rtl/>
        </w:rPr>
        <w:t xml:space="preserve">، بعد مراقبة الجودة العالمية النهائية وتوحيد مجموعة البيانات طوال الفترة من كانون الثاني/ يناير إلى حزيران/ يونيو </w:t>
      </w:r>
      <w:r w:rsidRPr="00D903E2">
        <w:rPr>
          <w:bCs/>
        </w:rPr>
        <w:t>2023</w:t>
      </w:r>
      <w:r w:rsidRPr="00CE0A20">
        <w:rPr>
          <w:b/>
          <w:rtl/>
        </w:rPr>
        <w:t xml:space="preserve">. وسيقدم تقرير نهائي عن تقييم مجموعة </w:t>
      </w:r>
      <w:r w:rsidR="00DD3328" w:rsidRPr="00DD3328">
        <w:rPr>
          <w:rtl/>
        </w:rPr>
        <w:t>المعدلات المناخية المعيارية</w:t>
      </w:r>
      <w:r w:rsidR="00DD3328" w:rsidRPr="003D5A65">
        <w:rPr>
          <w:rtl/>
        </w:rPr>
        <w:t xml:space="preserve"> </w:t>
      </w:r>
      <w:r w:rsidR="00DD3328">
        <w:t>(CLINO)</w:t>
      </w:r>
      <w:r w:rsidR="00DD3328">
        <w:rPr>
          <w:rFonts w:hint="cs"/>
          <w:b/>
          <w:rtl/>
        </w:rPr>
        <w:t xml:space="preserve"> </w:t>
      </w:r>
      <w:r w:rsidRPr="00CE0A20">
        <w:rPr>
          <w:b/>
          <w:rtl/>
        </w:rPr>
        <w:t xml:space="preserve">إلى المؤتمر العالمي للأرصاد الجوية في دورته التاسعة عشرة </w:t>
      </w:r>
      <w:r w:rsidRPr="00D903E2">
        <w:rPr>
          <w:bCs/>
        </w:rPr>
        <w:t>(Cg-19)</w:t>
      </w:r>
      <w:r w:rsidRPr="00CE0A20">
        <w:rPr>
          <w:b/>
          <w:rtl/>
        </w:rPr>
        <w:t>.</w:t>
      </w:r>
    </w:p>
    <w:p w14:paraId="73D80FF3" w14:textId="19B0BB1A" w:rsidR="0057321C" w:rsidRDefault="0057321C" w:rsidP="0057321C">
      <w:pPr>
        <w:pStyle w:val="Heading3"/>
        <w:spacing w:before="240" w:after="0"/>
        <w:textDirection w:val="tbRlV"/>
        <w:rPr>
          <w:rFonts w:ascii="Arial" w:hAnsi="Arial" w:cs="Arial"/>
          <w:rtl/>
        </w:rPr>
      </w:pPr>
      <w:r w:rsidRPr="003D5A65">
        <w:rPr>
          <w:rFonts w:ascii="Arial" w:hAnsi="Arial" w:cs="Arial"/>
          <w:rtl/>
        </w:rPr>
        <w:t xml:space="preserve">حالة طلبات الأعضاء </w:t>
      </w:r>
      <w:r w:rsidR="00A14440">
        <w:rPr>
          <w:rFonts w:cstheme="minorBidi" w:hint="cs"/>
          <w:rtl/>
          <w:lang w:bidi="ar-LB"/>
        </w:rPr>
        <w:t>بحلول</w:t>
      </w:r>
      <w:r w:rsidRPr="003D5A65">
        <w:rPr>
          <w:rFonts w:ascii="Arial" w:hAnsi="Arial" w:cs="Arial"/>
          <w:rtl/>
        </w:rPr>
        <w:t xml:space="preserve"> </w:t>
      </w:r>
      <w:r w:rsidR="007E0FA6">
        <w:rPr>
          <w:rFonts w:ascii="Arial" w:hAnsi="Arial" w:cs="Arial"/>
          <w:lang w:val="en-CH"/>
        </w:rPr>
        <w:t>26</w:t>
      </w:r>
      <w:r w:rsidRPr="003D5A65">
        <w:rPr>
          <w:rFonts w:ascii="Arial" w:hAnsi="Arial" w:cs="Arial"/>
          <w:rtl/>
        </w:rPr>
        <w:t xml:space="preserve"> </w:t>
      </w:r>
      <w:r w:rsidR="007E0FA6">
        <w:rPr>
          <w:rFonts w:ascii="Arial" w:hAnsi="Arial" w:cs="Arial" w:hint="cs"/>
          <w:rtl/>
        </w:rPr>
        <w:t>أيلول</w:t>
      </w:r>
      <w:r w:rsidRPr="003D5A65">
        <w:rPr>
          <w:rFonts w:ascii="Arial" w:hAnsi="Arial" w:cs="Arial"/>
          <w:rtl/>
        </w:rPr>
        <w:t xml:space="preserve">/ </w:t>
      </w:r>
      <w:r w:rsidR="007E0FA6">
        <w:rPr>
          <w:rFonts w:ascii="Arial" w:hAnsi="Arial" w:cs="Arial" w:hint="cs"/>
          <w:rtl/>
        </w:rPr>
        <w:t>سبتمبر</w:t>
      </w:r>
      <w:r w:rsidRPr="003D5A65">
        <w:rPr>
          <w:rFonts w:ascii="Arial" w:hAnsi="Arial" w:cs="Arial"/>
          <w:rtl/>
        </w:rPr>
        <w:t xml:space="preserve"> </w:t>
      </w:r>
      <w:r w:rsidRPr="003D5A65">
        <w:rPr>
          <w:rFonts w:ascii="Arial" w:hAnsi="Arial" w:cs="Arial"/>
        </w:rPr>
        <w:t>2022</w:t>
      </w:r>
    </w:p>
    <w:p w14:paraId="42E8E5DF" w14:textId="2BF8E065" w:rsidR="0057321C" w:rsidRPr="008707AB" w:rsidRDefault="0057321C" w:rsidP="0057321C">
      <w:pPr>
        <w:pStyle w:val="Heading3"/>
        <w:keepNext w:val="0"/>
        <w:keepLines w:val="0"/>
        <w:spacing w:before="240" w:after="0"/>
        <w:textDirection w:val="tbRlV"/>
        <w:rPr>
          <w:rFonts w:ascii="Arial" w:hAnsi="Arial" w:cs="Arial" w:hint="cs"/>
          <w:b w:val="0"/>
          <w:bCs w:val="0"/>
          <w:spacing w:val="-6"/>
          <w:rtl/>
          <w:lang w:val="en-CH" w:bidi="ar-LB"/>
        </w:rPr>
      </w:pPr>
      <w:r w:rsidRPr="008707AB">
        <w:rPr>
          <w:rFonts w:ascii="Arial" w:hAnsi="Arial" w:cs="Arial"/>
          <w:b w:val="0"/>
          <w:bCs w:val="0"/>
          <w:spacing w:val="-6"/>
          <w:rtl/>
        </w:rPr>
        <w:t xml:space="preserve">قدم </w:t>
      </w:r>
      <w:r w:rsidR="00A14440" w:rsidRPr="008707AB">
        <w:rPr>
          <w:rFonts w:ascii="Arial" w:hAnsi="Arial" w:cs="Arial"/>
          <w:b w:val="0"/>
          <w:bCs w:val="0"/>
          <w:spacing w:val="-6"/>
          <w:lang w:val="en-CH"/>
        </w:rPr>
        <w:t>74</w:t>
      </w:r>
      <w:r w:rsidRPr="008707AB">
        <w:rPr>
          <w:rFonts w:ascii="Arial" w:hAnsi="Arial" w:cs="Arial"/>
          <w:b w:val="0"/>
          <w:bCs w:val="0"/>
          <w:spacing w:val="-6"/>
          <w:rtl/>
        </w:rPr>
        <w:t xml:space="preserve"> من أصل </w:t>
      </w:r>
      <w:r w:rsidRPr="008707AB">
        <w:rPr>
          <w:rFonts w:ascii="Arial" w:hAnsi="Arial" w:cs="Arial"/>
          <w:b w:val="0"/>
          <w:bCs w:val="0"/>
          <w:spacing w:val="-6"/>
        </w:rPr>
        <w:t>193</w:t>
      </w:r>
      <w:r w:rsidRPr="008707AB">
        <w:rPr>
          <w:rFonts w:ascii="Arial" w:hAnsi="Arial" w:cs="Arial"/>
          <w:b w:val="0"/>
          <w:bCs w:val="0"/>
          <w:spacing w:val="-6"/>
          <w:rtl/>
        </w:rPr>
        <w:t xml:space="preserve"> عضواً </w:t>
      </w:r>
      <w:r w:rsidR="00A35BC2" w:rsidRPr="008707AB">
        <w:rPr>
          <w:rFonts w:ascii="Arial" w:hAnsi="Arial" w:cs="Arial"/>
          <w:b w:val="0"/>
          <w:bCs w:val="0"/>
          <w:spacing w:val="-6"/>
          <w:rtl/>
        </w:rPr>
        <w:t>المعدلات المناخية المعيارية</w:t>
      </w:r>
      <w:r w:rsidR="00A35BC2" w:rsidRPr="008707AB">
        <w:rPr>
          <w:rFonts w:ascii="Arial" w:hAnsi="Arial" w:cs="Arial" w:hint="cs"/>
          <w:b w:val="0"/>
          <w:bCs w:val="0"/>
          <w:spacing w:val="-6"/>
          <w:rtl/>
        </w:rPr>
        <w:t xml:space="preserve"> للفترة </w:t>
      </w:r>
      <w:r w:rsidR="00A35BC2" w:rsidRPr="008707AB">
        <w:rPr>
          <w:rFonts w:ascii="Arial" w:hAnsi="Arial" w:cs="Arial"/>
          <w:b w:val="0"/>
          <w:bCs w:val="0"/>
          <w:spacing w:val="-6"/>
        </w:rPr>
        <w:t>2020-1991</w:t>
      </w:r>
      <w:r w:rsidR="00A35BC2" w:rsidRPr="008707AB">
        <w:rPr>
          <w:rFonts w:ascii="Arial" w:hAnsi="Arial" w:cs="Arial" w:hint="cs"/>
          <w:b w:val="0"/>
          <w:bCs w:val="0"/>
          <w:spacing w:val="-6"/>
          <w:rtl/>
          <w:lang w:bidi="ar-LB"/>
        </w:rPr>
        <w:t xml:space="preserve"> </w:t>
      </w:r>
      <w:r w:rsidR="00A35BC2" w:rsidRPr="008707AB">
        <w:rPr>
          <w:rFonts w:ascii="Arial" w:hAnsi="Arial" w:cs="Arial"/>
          <w:b w:val="0"/>
          <w:bCs w:val="0"/>
          <w:spacing w:val="-6"/>
          <w:lang w:bidi="ar-LB"/>
        </w:rPr>
        <w:t>(CLINO)</w:t>
      </w:r>
      <w:r w:rsidR="00A35BC2" w:rsidRPr="008707AB">
        <w:rPr>
          <w:rFonts w:ascii="Arial" w:hAnsi="Arial" w:cs="Arial"/>
          <w:b w:val="0"/>
          <w:bCs w:val="0"/>
          <w:spacing w:val="-6"/>
          <w:rtl/>
        </w:rPr>
        <w:t xml:space="preserve"> </w:t>
      </w:r>
      <w:r w:rsidRPr="008707AB">
        <w:rPr>
          <w:rFonts w:ascii="Arial" w:hAnsi="Arial" w:cs="Arial"/>
          <w:b w:val="0"/>
          <w:bCs w:val="0"/>
          <w:spacing w:val="-6"/>
        </w:rPr>
        <w:t>20</w:t>
      </w:r>
      <w:r w:rsidRPr="008707AB">
        <w:rPr>
          <w:rFonts w:ascii="Arial" w:hAnsi="Arial" w:cs="Arial"/>
          <w:b w:val="0"/>
          <w:bCs w:val="0"/>
          <w:spacing w:val="-6"/>
          <w:rtl/>
        </w:rPr>
        <w:t xml:space="preserve"> بحلول </w:t>
      </w:r>
      <w:r w:rsidR="00A14440" w:rsidRPr="008707AB">
        <w:rPr>
          <w:rFonts w:ascii="Arial" w:hAnsi="Arial" w:cs="Arial"/>
          <w:b w:val="0"/>
          <w:bCs w:val="0"/>
          <w:spacing w:val="-6"/>
          <w:lang w:val="en-CH"/>
        </w:rPr>
        <w:t>26</w:t>
      </w:r>
      <w:r w:rsidRPr="008707AB">
        <w:rPr>
          <w:rFonts w:ascii="Arial" w:hAnsi="Arial" w:cs="Arial"/>
          <w:b w:val="0"/>
          <w:bCs w:val="0"/>
          <w:spacing w:val="-6"/>
          <w:rtl/>
        </w:rPr>
        <w:t xml:space="preserve"> </w:t>
      </w:r>
      <w:r w:rsidR="00A14440" w:rsidRPr="008707AB">
        <w:rPr>
          <w:rFonts w:ascii="Arial" w:hAnsi="Arial" w:cs="Arial" w:hint="cs"/>
          <w:b w:val="0"/>
          <w:bCs w:val="0"/>
          <w:spacing w:val="-6"/>
          <w:rtl/>
          <w:lang w:val="en-CH" w:bidi="ar-LB"/>
        </w:rPr>
        <w:t>أيلول</w:t>
      </w:r>
      <w:r w:rsidRPr="008707AB">
        <w:rPr>
          <w:rFonts w:ascii="Arial" w:hAnsi="Arial" w:cs="Arial"/>
          <w:b w:val="0"/>
          <w:bCs w:val="0"/>
          <w:spacing w:val="-6"/>
          <w:rtl/>
        </w:rPr>
        <w:t xml:space="preserve">/ </w:t>
      </w:r>
      <w:r w:rsidR="00A14440" w:rsidRPr="008707AB">
        <w:rPr>
          <w:rFonts w:ascii="Arial" w:hAnsi="Arial" w:cs="Arial" w:hint="cs"/>
          <w:b w:val="0"/>
          <w:bCs w:val="0"/>
          <w:spacing w:val="-6"/>
          <w:rtl/>
        </w:rPr>
        <w:t>سبتمبر</w:t>
      </w:r>
      <w:r w:rsidRPr="008707AB">
        <w:rPr>
          <w:rFonts w:ascii="Arial" w:hAnsi="Arial" w:cs="Arial"/>
          <w:b w:val="0"/>
          <w:bCs w:val="0"/>
          <w:spacing w:val="-6"/>
          <w:rtl/>
        </w:rPr>
        <w:t xml:space="preserve"> </w:t>
      </w:r>
      <w:r w:rsidRPr="008707AB">
        <w:rPr>
          <w:rFonts w:ascii="Arial" w:hAnsi="Arial" w:cs="Arial"/>
          <w:b w:val="0"/>
          <w:bCs w:val="0"/>
          <w:spacing w:val="-6"/>
        </w:rPr>
        <w:t>2022</w:t>
      </w:r>
      <w:r w:rsidR="00A14440" w:rsidRPr="008707AB">
        <w:rPr>
          <w:rFonts w:ascii="Arial" w:hAnsi="Arial" w:cs="Arial" w:hint="cs"/>
          <w:b w:val="0"/>
          <w:bCs w:val="0"/>
          <w:spacing w:val="-6"/>
          <w:rtl/>
          <w:lang w:val="en-CH" w:bidi="ar-LB"/>
        </w:rPr>
        <w:t>.</w:t>
      </w:r>
    </w:p>
    <w:p w14:paraId="7BC77AF1" w14:textId="11C62B09" w:rsidR="0057321C" w:rsidRPr="001963EC" w:rsidRDefault="0057321C" w:rsidP="0057321C">
      <w:pPr>
        <w:pStyle w:val="Heading3"/>
        <w:keepNext w:val="0"/>
        <w:keepLines w:val="0"/>
        <w:spacing w:before="240" w:after="0"/>
        <w:textDirection w:val="tbRlV"/>
        <w:rPr>
          <w:rFonts w:ascii="Arial" w:hAnsi="Arial" w:cs="Arial"/>
          <w:b w:val="0"/>
          <w:bCs w:val="0"/>
          <w:rtl/>
        </w:rPr>
      </w:pPr>
      <w:r w:rsidRPr="001963EC">
        <w:rPr>
          <w:rFonts w:ascii="Arial" w:hAnsi="Arial" w:cs="Arial"/>
          <w:b w:val="0"/>
          <w:bCs w:val="0"/>
          <w:rtl/>
        </w:rPr>
        <w:t xml:space="preserve">وهذا يثير القلق من الوفاء بالموعد النهائي لاستكمال </w:t>
      </w:r>
      <w:r w:rsidR="001963EC" w:rsidRPr="001963EC">
        <w:rPr>
          <w:rFonts w:ascii="Arial" w:hAnsi="Arial" w:cs="Arial"/>
          <w:b w:val="0"/>
          <w:bCs w:val="0"/>
          <w:rtl/>
        </w:rPr>
        <w:t xml:space="preserve">المعدلات المناخية المعيارية </w:t>
      </w:r>
      <w:r w:rsidR="001963EC">
        <w:rPr>
          <w:rFonts w:ascii="Arial" w:hAnsi="Arial" w:cs="Arial"/>
          <w:b w:val="0"/>
          <w:bCs w:val="0"/>
        </w:rPr>
        <w:t>(CLINO)</w:t>
      </w:r>
      <w:r w:rsidRPr="001963EC">
        <w:rPr>
          <w:rFonts w:ascii="Arial" w:hAnsi="Arial" w:cs="Arial"/>
          <w:b w:val="0"/>
          <w:bCs w:val="0"/>
          <w:rtl/>
        </w:rPr>
        <w:t xml:space="preserve"> في عام </w:t>
      </w:r>
      <w:r w:rsidRPr="001963EC">
        <w:rPr>
          <w:rFonts w:ascii="Arial" w:hAnsi="Arial" w:cs="Arial"/>
          <w:b w:val="0"/>
          <w:bCs w:val="0"/>
        </w:rPr>
        <w:t>2022</w:t>
      </w:r>
      <w:r w:rsidRPr="001963EC">
        <w:rPr>
          <w:rFonts w:ascii="Arial" w:hAnsi="Arial" w:cs="Arial"/>
          <w:b w:val="0"/>
          <w:bCs w:val="0"/>
          <w:rtl/>
        </w:rPr>
        <w:t xml:space="preserve">. وثمة حاجة إلى اتخاذ إجراء جماعي عاجل يشارك فيه الأعضاء وأمانة المنظمة </w:t>
      </w:r>
      <w:r w:rsidRPr="001963EC">
        <w:rPr>
          <w:rFonts w:ascii="Arial" w:hAnsi="Arial" w:cs="Arial"/>
          <w:b w:val="0"/>
          <w:bCs w:val="0"/>
        </w:rPr>
        <w:t>(WMO)</w:t>
      </w:r>
      <w:r w:rsidRPr="001963EC">
        <w:rPr>
          <w:rFonts w:ascii="Arial" w:hAnsi="Arial" w:cs="Arial"/>
          <w:b w:val="0"/>
          <w:bCs w:val="0"/>
          <w:rtl/>
        </w:rPr>
        <w:t xml:space="preserve"> واللجان الفنية </w:t>
      </w:r>
      <w:r w:rsidR="00D903E2" w:rsidRPr="001963EC">
        <w:rPr>
          <w:rFonts w:ascii="Arial" w:hAnsi="Arial" w:cs="Arial" w:hint="cs"/>
          <w:b w:val="0"/>
          <w:bCs w:val="0"/>
          <w:rtl/>
        </w:rPr>
        <w:t>والاتحادات</w:t>
      </w:r>
      <w:r w:rsidRPr="001963EC">
        <w:rPr>
          <w:rFonts w:ascii="Arial" w:hAnsi="Arial" w:cs="Arial"/>
          <w:b w:val="0"/>
          <w:bCs w:val="0"/>
          <w:rtl/>
        </w:rPr>
        <w:t xml:space="preserve"> الإقليمية للتعجيل بتقديم الأعضاء للبيانات وجمعها.</w:t>
      </w:r>
    </w:p>
    <w:p w14:paraId="2EC47513" w14:textId="77777777" w:rsidR="0057321C" w:rsidRPr="008B722B" w:rsidRDefault="0057321C" w:rsidP="0057321C">
      <w:pPr>
        <w:pStyle w:val="Heading3"/>
        <w:spacing w:before="240" w:after="0"/>
        <w:textDirection w:val="tbRlV"/>
        <w:rPr>
          <w:rFonts w:ascii="Arial" w:hAnsi="Arial" w:cs="Arial"/>
          <w:lang w:bidi="en-GB"/>
        </w:rPr>
      </w:pPr>
      <w:r w:rsidRPr="003D5A65">
        <w:rPr>
          <w:rFonts w:ascii="Arial" w:hAnsi="Arial" w:cs="Arial"/>
          <w:rtl/>
        </w:rPr>
        <w:t>الآثار المترتبة على عدم التسليم</w:t>
      </w:r>
    </w:p>
    <w:p w14:paraId="41CC27C1" w14:textId="0937DB7B" w:rsidR="0057321C" w:rsidRDefault="0057321C" w:rsidP="0057321C">
      <w:pPr>
        <w:pStyle w:val="WMOBodyText"/>
        <w:textDirection w:val="tbRlV"/>
        <w:rPr>
          <w:rtl/>
        </w:rPr>
      </w:pPr>
      <w:r w:rsidRPr="003D5A65">
        <w:rPr>
          <w:rtl/>
        </w:rPr>
        <w:t xml:space="preserve">ومن شأن فقدان </w:t>
      </w:r>
      <w:r w:rsidR="00DD3328" w:rsidRPr="00DD3328">
        <w:rPr>
          <w:rtl/>
        </w:rPr>
        <w:t>المعدلات المناخية المعيارية</w:t>
      </w:r>
      <w:r w:rsidR="00DD3328">
        <w:rPr>
          <w:rFonts w:hint="cs"/>
          <w:rtl/>
        </w:rPr>
        <w:t xml:space="preserve"> </w:t>
      </w:r>
      <w:r w:rsidR="00DD3328">
        <w:t>(CLINO)</w:t>
      </w:r>
      <w:r w:rsidR="00DD3328" w:rsidRPr="003D5A65">
        <w:rPr>
          <w:rtl/>
        </w:rPr>
        <w:t xml:space="preserve"> </w:t>
      </w:r>
      <w:r w:rsidRPr="003D5A65">
        <w:rPr>
          <w:rtl/>
        </w:rPr>
        <w:t xml:space="preserve">للفترة </w:t>
      </w:r>
      <w:r w:rsidRPr="003D5A65">
        <w:t>1991-2020</w:t>
      </w:r>
      <w:r w:rsidRPr="003D5A65">
        <w:rPr>
          <w:rtl/>
        </w:rPr>
        <w:t xml:space="preserve"> أن يعوق بشكل خطير جودة منتجات وخدمات الأعضاء والمنظمة العالمية للأرصاد الجوية. وستعاني منتجات الرصد والتنبؤ التشغيلية، مثل رصد ظاهرة </w:t>
      </w:r>
      <w:proofErr w:type="spellStart"/>
      <w:r w:rsidRPr="003D5A65">
        <w:rPr>
          <w:rtl/>
        </w:rPr>
        <w:t>النينيو</w:t>
      </w:r>
      <w:proofErr w:type="spellEnd"/>
      <w:r w:rsidRPr="003D5A65">
        <w:rPr>
          <w:rtl/>
        </w:rPr>
        <w:t xml:space="preserve"> - التذبذب الجنوبي، ورسائل </w:t>
      </w:r>
      <w:r w:rsidRPr="003D5A65">
        <w:t>CLIMAT</w:t>
      </w:r>
      <w:r w:rsidRPr="003D5A65">
        <w:rPr>
          <w:rtl/>
        </w:rPr>
        <w:t xml:space="preserve">، وتقارير حالة المناخ، والتنبؤات الموسمية، وما إلى ذلك، من عدم تسليم نظام </w:t>
      </w:r>
      <w:r w:rsidR="001963EC" w:rsidRPr="003D5A65">
        <w:rPr>
          <w:rtl/>
        </w:rPr>
        <w:t xml:space="preserve">المعدلات المناخية المعيارية </w:t>
      </w:r>
      <w:r w:rsidR="001963EC">
        <w:t>(C</w:t>
      </w:r>
      <w:r w:rsidR="00253A98">
        <w:t>LINO)</w:t>
      </w:r>
      <w:r w:rsidR="00253A98">
        <w:rPr>
          <w:rFonts w:hint="cs"/>
          <w:rtl/>
          <w:lang w:bidi="ar-LB"/>
        </w:rPr>
        <w:t xml:space="preserve"> </w:t>
      </w:r>
      <w:r w:rsidRPr="003D5A65">
        <w:rPr>
          <w:rtl/>
        </w:rPr>
        <w:t>المستكمل. ستفقد هذه المنتجات أهميتها الحديثة لمختلف قطاعات التطبيقات نتيجة لتغير المناخ.</w:t>
      </w:r>
    </w:p>
    <w:p w14:paraId="28A14D3B" w14:textId="77777777" w:rsidR="002263EB" w:rsidRPr="003E4EF4" w:rsidRDefault="002263EB" w:rsidP="002263EB">
      <w:pPr>
        <w:pStyle w:val="WMOBodyText"/>
        <w:jc w:val="center"/>
      </w:pPr>
      <w:r w:rsidRPr="003E4EF4">
        <w:rPr>
          <w:rtl/>
        </w:rPr>
        <w:t>ـــــــــــــــــــــــــ</w:t>
      </w:r>
    </w:p>
    <w:sectPr w:rsidR="002263EB" w:rsidRPr="003E4EF4" w:rsidSect="004469F7">
      <w:headerReference w:type="default" r:id="rId1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574A" w14:textId="77777777" w:rsidR="007047AD" w:rsidRDefault="007047AD" w:rsidP="00451662">
      <w:r>
        <w:separator/>
      </w:r>
    </w:p>
  </w:endnote>
  <w:endnote w:type="continuationSeparator" w:id="0">
    <w:p w14:paraId="5ADE1C72" w14:textId="77777777" w:rsidR="007047AD" w:rsidRDefault="007047AD"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63D" w14:textId="77777777" w:rsidR="007047AD" w:rsidRDefault="007047AD" w:rsidP="00451662">
      <w:r>
        <w:separator/>
      </w:r>
    </w:p>
  </w:footnote>
  <w:footnote w:type="continuationSeparator" w:id="0">
    <w:p w14:paraId="4111FB1A" w14:textId="77777777" w:rsidR="007047AD" w:rsidRDefault="007047AD" w:rsidP="0045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379" w14:textId="2697DB52" w:rsidR="004469F7" w:rsidRPr="007A5188" w:rsidRDefault="00113CA2" w:rsidP="003B5315">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rPr>
      <w:t>INF</w:t>
    </w:r>
    <w:r w:rsidRPr="00B91287">
      <w:rPr>
        <w:rFonts w:ascii="Arial" w:hAnsi="Arial"/>
        <w:szCs w:val="26"/>
      </w:rPr>
      <w:t xml:space="preserve">. </w:t>
    </w:r>
    <w:r w:rsidR="008B7FA5">
      <w:rPr>
        <w:rFonts w:ascii="Arial" w:hAnsi="Arial"/>
        <w:szCs w:val="26"/>
      </w:rPr>
      <w:t>5</w:t>
    </w:r>
    <w:r w:rsidRPr="00B91287">
      <w:rPr>
        <w:rFonts w:ascii="Arial" w:hAnsi="Arial"/>
        <w:szCs w:val="26"/>
      </w:rPr>
      <w:t>.</w:t>
    </w:r>
    <w:r w:rsidR="008B7FA5">
      <w:rPr>
        <w:rFonts w:ascii="Arial" w:hAnsi="Arial"/>
        <w:szCs w:val="26"/>
      </w:rPr>
      <w:t>5</w:t>
    </w:r>
    <w:r w:rsidR="007A5188">
      <w:rPr>
        <w:rFonts w:ascii="Arial" w:hAnsi="Arial"/>
        <w:szCs w:val="26"/>
      </w:rPr>
      <w:t>(5)</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2"/>
    <w:rsid w:val="000A6622"/>
    <w:rsid w:val="00104A92"/>
    <w:rsid w:val="00113CA2"/>
    <w:rsid w:val="001963EC"/>
    <w:rsid w:val="002263EB"/>
    <w:rsid w:val="00253A98"/>
    <w:rsid w:val="002A4A0D"/>
    <w:rsid w:val="003021ED"/>
    <w:rsid w:val="00315623"/>
    <w:rsid w:val="00332807"/>
    <w:rsid w:val="00340071"/>
    <w:rsid w:val="003A0AC8"/>
    <w:rsid w:val="003B5315"/>
    <w:rsid w:val="004469F7"/>
    <w:rsid w:val="00451662"/>
    <w:rsid w:val="004D7DE0"/>
    <w:rsid w:val="0057321C"/>
    <w:rsid w:val="005F296F"/>
    <w:rsid w:val="00605A9D"/>
    <w:rsid w:val="00665867"/>
    <w:rsid w:val="007047AD"/>
    <w:rsid w:val="0075561C"/>
    <w:rsid w:val="007A5188"/>
    <w:rsid w:val="007D4FD1"/>
    <w:rsid w:val="007E0FA6"/>
    <w:rsid w:val="008707AB"/>
    <w:rsid w:val="00871073"/>
    <w:rsid w:val="008722F0"/>
    <w:rsid w:val="008A6EED"/>
    <w:rsid w:val="008B722B"/>
    <w:rsid w:val="008B7FA5"/>
    <w:rsid w:val="00A14440"/>
    <w:rsid w:val="00A35BC2"/>
    <w:rsid w:val="00B51372"/>
    <w:rsid w:val="00CE0A20"/>
    <w:rsid w:val="00D7074E"/>
    <w:rsid w:val="00D903E2"/>
    <w:rsid w:val="00DD3328"/>
    <w:rsid w:val="00DE00D9"/>
    <w:rsid w:val="00E042FB"/>
    <w:rsid w:val="00E92069"/>
    <w:rsid w:val="00E928A4"/>
    <w:rsid w:val="00FD60AD"/>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AED6"/>
  <w15:chartTrackingRefBased/>
  <w15:docId w15:val="{B5E97C4D-6CE6-4397-A4B4-0633D303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H" w:eastAsia="en-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eastAsia="en-US"/>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rsid w:val="00451662"/>
    <w:pPr>
      <w:tabs>
        <w:tab w:val="clear" w:pos="1134"/>
      </w:tabs>
      <w:spacing w:after="360"/>
      <w:jc w:val="center"/>
    </w:pPr>
  </w:style>
  <w:style w:type="character" w:customStyle="1" w:styleId="HeaderChar">
    <w:name w:val="Header Char"/>
    <w:link w:val="Header"/>
    <w:rsid w:val="00451662"/>
    <w:rPr>
      <w:rFonts w:ascii="Verdana" w:eastAsia="Arial" w:hAnsi="Verdana" w:cs="Arial"/>
      <w:sz w:val="20"/>
      <w:szCs w:val="20"/>
      <w:lang w:val="en-GB"/>
    </w:rPr>
  </w:style>
  <w:style w:type="character" w:styleId="Hyperlink">
    <w:name w:val="Hyperlink"/>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rsid w:val="00451662"/>
    <w:pPr>
      <w:jc w:val="both"/>
    </w:pPr>
    <w:rPr>
      <w:rFonts w:ascii="Times New Roman" w:eastAsia="MS Mincho" w:hAnsi="Times New Roman"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ACD97-597D-4AD0-B6D8-92167316C375}">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ce21bc6c-711a-4065-a01c-a8f0e29e3ad8"/>
    <ds:schemaRef ds:uri="http://schemas.microsoft.com/office/2006/metadata/properties"/>
    <ds:schemaRef ds:uri="http://schemas.openxmlformats.org/package/2006/metadata/core-properties"/>
    <ds:schemaRef ds:uri="3679bf0f-1d7e-438f-afa5-6ebf1e20f9b8"/>
  </ds:schemaRefs>
</ds:datastoreItem>
</file>

<file path=customXml/itemProps2.xml><?xml version="1.0" encoding="utf-8"?>
<ds:datastoreItem xmlns:ds="http://schemas.openxmlformats.org/officeDocument/2006/customXml" ds:itemID="{26D6067D-DEFC-4922-897F-926134CCAB9C}"/>
</file>

<file path=customXml/itemProps3.xml><?xml version="1.0" encoding="utf-8"?>
<ds:datastoreItem xmlns:ds="http://schemas.openxmlformats.org/officeDocument/2006/customXml" ds:itemID="{CE3AEF4A-5A9C-4AA9-A4AE-9D8C7EC52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SERCOM-2_INFs_Template_ar</Template>
  <TotalTime>21</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Tina Youssef</cp:lastModifiedBy>
  <cp:revision>28</cp:revision>
  <dcterms:created xsi:type="dcterms:W3CDTF">2022-09-23T07:14:00Z</dcterms:created>
  <dcterms:modified xsi:type="dcterms:W3CDTF">2022-09-29T13:54:00Z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