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FB20D7" w:rsidRPr="0094603B" w14:paraId="49FDD0B7" w14:textId="77777777" w:rsidTr="00AD4882">
        <w:trPr>
          <w:trHeight w:val="282"/>
        </w:trPr>
        <w:tc>
          <w:tcPr>
            <w:tcW w:w="500" w:type="dxa"/>
            <w:vMerge w:val="restart"/>
            <w:tcBorders>
              <w:bottom w:val="nil"/>
            </w:tcBorders>
            <w:textDirection w:val="btLr"/>
          </w:tcPr>
          <w:p w14:paraId="5A594398" w14:textId="77777777" w:rsidR="00FB20D7" w:rsidRPr="00B24FC9" w:rsidRDefault="00FB20D7" w:rsidP="00AD4882">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 xml:space="preserve">TEMPS </w:t>
            </w:r>
            <w:proofErr w:type="spellStart"/>
            <w:r w:rsidRPr="007D2913">
              <w:rPr>
                <w:color w:val="365F91" w:themeColor="accent1" w:themeShade="BF"/>
                <w:sz w:val="10"/>
                <w:szCs w:val="10"/>
                <w:lang w:eastAsia="zh-CN"/>
              </w:rPr>
              <w:t>CLIMAT</w:t>
            </w:r>
            <w:proofErr w:type="spellEnd"/>
            <w:r w:rsidRPr="007D2913">
              <w:rPr>
                <w:color w:val="365F91" w:themeColor="accent1" w:themeShade="BF"/>
                <w:sz w:val="10"/>
                <w:szCs w:val="10"/>
                <w:lang w:eastAsia="zh-CN"/>
              </w:rPr>
              <w:t xml:space="preserve"> </w:t>
            </w:r>
            <w:proofErr w:type="spellStart"/>
            <w:r w:rsidRPr="007D2913">
              <w:rPr>
                <w:color w:val="365F91" w:themeColor="accent1" w:themeShade="BF"/>
                <w:sz w:val="10"/>
                <w:szCs w:val="10"/>
                <w:lang w:eastAsia="zh-CN"/>
              </w:rPr>
              <w:t>EAU</w:t>
            </w:r>
            <w:proofErr w:type="spellEnd"/>
          </w:p>
        </w:tc>
        <w:tc>
          <w:tcPr>
            <w:tcW w:w="6852" w:type="dxa"/>
            <w:vMerge w:val="restart"/>
          </w:tcPr>
          <w:p w14:paraId="2D830A7E" w14:textId="77777777" w:rsidR="00FB20D7" w:rsidRPr="00CB5443" w:rsidRDefault="00FB20D7" w:rsidP="00AD4882">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val="fr-FR" w:eastAsia="fr-FR"/>
              </w:rPr>
              <w:drawing>
                <wp:anchor distT="0" distB="0" distL="114300" distR="114300" simplePos="0" relativeHeight="251661312" behindDoc="1" locked="1" layoutInCell="1" allowOverlap="1" wp14:anchorId="4DA87E91" wp14:editId="540C5D10">
                  <wp:simplePos x="0" y="0"/>
                  <wp:positionH relativeFrom="page">
                    <wp:posOffset>8255</wp:posOffset>
                  </wp:positionH>
                  <wp:positionV relativeFrom="page">
                    <wp:posOffset>-13970</wp:posOffset>
                  </wp:positionV>
                  <wp:extent cx="613410" cy="673100"/>
                  <wp:effectExtent l="0" t="0" r="0" b="0"/>
                  <wp:wrapNone/>
                  <wp:docPr id="5" name="Picture 5"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1736494F" w14:textId="135420A7" w:rsidR="00FB20D7" w:rsidRPr="00F90D7D" w:rsidRDefault="00FB20D7" w:rsidP="00AD4882">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COMMISSION DES SERVICES ET APPLICATIONS SE RAPPORTANT AU TEMPS, AU CLIMAT, À L</w:t>
            </w:r>
            <w:r w:rsidR="005F6019">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EAU ET À L</w:t>
            </w:r>
            <w:r w:rsidR="005F6019">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ENVIRONNEMENT</w:t>
            </w:r>
          </w:p>
          <w:p w14:paraId="18A724C2" w14:textId="77777777" w:rsidR="00FB20D7" w:rsidRPr="00C2588F" w:rsidRDefault="00FB20D7" w:rsidP="00AD4882">
            <w:pPr>
              <w:tabs>
                <w:tab w:val="left" w:pos="6946"/>
              </w:tabs>
              <w:suppressAutoHyphens/>
              <w:spacing w:after="120" w:line="252" w:lineRule="auto"/>
              <w:ind w:left="1134"/>
              <w:jc w:val="left"/>
              <w:rPr>
                <w:rFonts w:cs="Tahoma"/>
                <w:b/>
                <w:bCs/>
                <w:color w:val="365F91" w:themeColor="accent1" w:themeShade="BF"/>
                <w:szCs w:val="22"/>
                <w:lang w:val="fr-FR"/>
              </w:rPr>
            </w:pPr>
            <w:r w:rsidRPr="00C2588F">
              <w:rPr>
                <w:rFonts w:cstheme="minorBidi"/>
                <w:b/>
                <w:snapToGrid w:val="0"/>
                <w:color w:val="365F91" w:themeColor="accent1" w:themeShade="BF"/>
                <w:szCs w:val="22"/>
                <w:lang w:val="fr-FR"/>
              </w:rPr>
              <w:t>Deuxième session</w:t>
            </w:r>
            <w:r w:rsidRPr="00C2588F">
              <w:rPr>
                <w:rFonts w:cstheme="minorBidi"/>
                <w:b/>
                <w:snapToGrid w:val="0"/>
                <w:color w:val="365F91" w:themeColor="accent1" w:themeShade="BF"/>
                <w:szCs w:val="22"/>
                <w:lang w:val="fr-FR"/>
              </w:rPr>
              <w:br/>
            </w:r>
            <w:r w:rsidRPr="00C2588F">
              <w:rPr>
                <w:snapToGrid w:val="0"/>
                <w:color w:val="365F91" w:themeColor="accent1" w:themeShade="BF"/>
                <w:szCs w:val="22"/>
                <w:lang w:val="fr-FR"/>
              </w:rPr>
              <w:t>17</w:t>
            </w:r>
            <w:r>
              <w:rPr>
                <w:snapToGrid w:val="0"/>
                <w:color w:val="365F91" w:themeColor="accent1" w:themeShade="BF"/>
                <w:szCs w:val="22"/>
                <w:lang w:val="fr-FR"/>
              </w:rPr>
              <w:t>-</w:t>
            </w:r>
            <w:r w:rsidRPr="00C2588F">
              <w:rPr>
                <w:snapToGrid w:val="0"/>
                <w:color w:val="365F91" w:themeColor="accent1" w:themeShade="BF"/>
                <w:szCs w:val="22"/>
                <w:lang w:val="fr-FR"/>
              </w:rPr>
              <w:t>21 octobre 2022, Genève</w:t>
            </w:r>
          </w:p>
        </w:tc>
        <w:tc>
          <w:tcPr>
            <w:tcW w:w="2962" w:type="dxa"/>
          </w:tcPr>
          <w:p w14:paraId="5F39DDC6" w14:textId="76DC5BCD" w:rsidR="00FB20D7" w:rsidRPr="00C20FF0" w:rsidRDefault="00FB20D7" w:rsidP="00AD4882">
            <w:pPr>
              <w:tabs>
                <w:tab w:val="clear" w:pos="1134"/>
              </w:tabs>
              <w:spacing w:after="60"/>
              <w:ind w:right="-108"/>
              <w:jc w:val="right"/>
              <w:rPr>
                <w:rFonts w:cs="Tahoma"/>
                <w:b/>
                <w:bCs/>
                <w:color w:val="365F91" w:themeColor="accent1" w:themeShade="BF"/>
                <w:szCs w:val="22"/>
              </w:rPr>
            </w:pPr>
            <w:proofErr w:type="spellStart"/>
            <w:r>
              <w:rPr>
                <w:rFonts w:cs="Tahoma"/>
                <w:b/>
                <w:bCs/>
                <w:color w:val="365F91" w:themeColor="accent1" w:themeShade="BF"/>
                <w:szCs w:val="22"/>
                <w:lang w:val="fr-FR"/>
              </w:rPr>
              <w:t>SERCOM</w:t>
            </w:r>
            <w:proofErr w:type="spellEnd"/>
            <w:r>
              <w:rPr>
                <w:rFonts w:cs="Tahoma"/>
                <w:b/>
                <w:bCs/>
                <w:color w:val="365F91" w:themeColor="accent1" w:themeShade="BF"/>
                <w:szCs w:val="22"/>
                <w:lang w:val="fr-FR"/>
              </w:rPr>
              <w:t>-</w:t>
            </w:r>
            <w:r w:rsidRPr="00F3142A">
              <w:rPr>
                <w:rFonts w:cs="Tahoma"/>
                <w:b/>
                <w:bCs/>
                <w:color w:val="365F91" w:themeColor="accent1" w:themeShade="BF"/>
                <w:szCs w:val="22"/>
              </w:rPr>
              <w:t>2/</w:t>
            </w:r>
            <w:r>
              <w:rPr>
                <w:rFonts w:cs="Tahoma"/>
                <w:b/>
                <w:bCs/>
                <w:color w:val="365F91" w:themeColor="accent1" w:themeShade="BF"/>
                <w:szCs w:val="22"/>
              </w:rPr>
              <w:t xml:space="preserve">INF. </w:t>
            </w:r>
            <w:r w:rsidRPr="00FB20D7">
              <w:rPr>
                <w:rFonts w:cs="Tahoma"/>
                <w:b/>
                <w:bCs/>
                <w:color w:val="365F91" w:themeColor="accent1" w:themeShade="BF"/>
                <w:szCs w:val="22"/>
              </w:rPr>
              <w:t>5.5(</w:t>
            </w:r>
            <w:proofErr w:type="spellStart"/>
            <w:r w:rsidRPr="00FB20D7">
              <w:rPr>
                <w:rFonts w:cs="Tahoma"/>
                <w:b/>
                <w:bCs/>
                <w:color w:val="365F91" w:themeColor="accent1" w:themeShade="BF"/>
                <w:szCs w:val="22"/>
              </w:rPr>
              <w:t>1a</w:t>
            </w:r>
            <w:proofErr w:type="spellEnd"/>
            <w:r w:rsidRPr="00FB20D7">
              <w:rPr>
                <w:rFonts w:cs="Tahoma"/>
                <w:b/>
                <w:bCs/>
                <w:color w:val="365F91" w:themeColor="accent1" w:themeShade="BF"/>
                <w:szCs w:val="22"/>
              </w:rPr>
              <w:t>)</w:t>
            </w:r>
          </w:p>
        </w:tc>
      </w:tr>
      <w:tr w:rsidR="00FB20D7" w:rsidRPr="006C6589" w14:paraId="2A75D8F4" w14:textId="77777777" w:rsidTr="00AD4882">
        <w:trPr>
          <w:trHeight w:val="730"/>
        </w:trPr>
        <w:tc>
          <w:tcPr>
            <w:tcW w:w="500" w:type="dxa"/>
            <w:vMerge/>
            <w:tcBorders>
              <w:bottom w:val="nil"/>
            </w:tcBorders>
          </w:tcPr>
          <w:p w14:paraId="293CE9E1" w14:textId="77777777" w:rsidR="00FB20D7" w:rsidRPr="00FA3986" w:rsidRDefault="00FB20D7" w:rsidP="00AD4882">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0E517B6" w14:textId="77777777" w:rsidR="00FB20D7" w:rsidRPr="00FA3986" w:rsidRDefault="00FB20D7" w:rsidP="00AD4882">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FCB52B9" w14:textId="47F6F15C" w:rsidR="00FB20D7" w:rsidRPr="00FA7AB0" w:rsidRDefault="00FB20D7" w:rsidP="00AD4882">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Pr="00FB20D7">
              <w:rPr>
                <w:rFonts w:cs="Tahoma"/>
                <w:color w:val="365F91" w:themeColor="accent1" w:themeShade="BF"/>
                <w:szCs w:val="22"/>
                <w:lang w:val="fr-FR"/>
              </w:rPr>
              <w:t>Président</w:t>
            </w:r>
            <w:r w:rsidR="002F11D0">
              <w:rPr>
                <w:rFonts w:cs="Tahoma"/>
                <w:color w:val="365F91" w:themeColor="accent1" w:themeShade="BF"/>
                <w:szCs w:val="22"/>
                <w:lang w:val="fr-FR"/>
              </w:rPr>
              <w:t xml:space="preserve"> </w:t>
            </w:r>
            <w:r w:rsidRPr="00FB20D7">
              <w:rPr>
                <w:rFonts w:cs="Tahoma"/>
                <w:color w:val="365F91" w:themeColor="accent1" w:themeShade="BF"/>
                <w:szCs w:val="22"/>
                <w:lang w:val="fr-FR"/>
              </w:rPr>
              <w:t>du SC-CLI</w:t>
            </w:r>
            <w:r w:rsidRPr="00FB20D7">
              <w:rPr>
                <w:rFonts w:cs="Tahoma"/>
                <w:color w:val="365F91" w:themeColor="accent1" w:themeShade="BF"/>
                <w:szCs w:val="22"/>
                <w:lang w:val="fr-FR"/>
              </w:rPr>
              <w:t xml:space="preserve"> </w:t>
            </w:r>
          </w:p>
          <w:p w14:paraId="06314021" w14:textId="18A60B98" w:rsidR="00FB20D7" w:rsidRPr="00F72073" w:rsidRDefault="00FB20D7" w:rsidP="00AD4882">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14</w:t>
            </w:r>
            <w:r w:rsidRPr="00125B9B">
              <w:rPr>
                <w:rFonts w:cs="Tahoma"/>
                <w:color w:val="365F91" w:themeColor="accent1" w:themeShade="BF"/>
                <w:szCs w:val="22"/>
                <w:lang w:val="fr-FR"/>
              </w:rPr>
              <w:t>.I</w:t>
            </w:r>
            <w:r>
              <w:rPr>
                <w:rFonts w:cs="Tahoma"/>
                <w:color w:val="365F91" w:themeColor="accent1" w:themeShade="BF"/>
                <w:szCs w:val="22"/>
                <w:lang w:val="fr-FR"/>
              </w:rPr>
              <w:t>X</w:t>
            </w:r>
            <w:r w:rsidRPr="008A4184">
              <w:rPr>
                <w:rFonts w:cs="Tahoma"/>
                <w:color w:val="365F91" w:themeColor="accent1" w:themeShade="BF"/>
                <w:szCs w:val="22"/>
                <w:lang w:val="fr-FR"/>
              </w:rPr>
              <w:t>.2022</w:t>
            </w:r>
            <w:proofErr w:type="spellEnd"/>
          </w:p>
        </w:tc>
      </w:tr>
    </w:tbl>
    <w:p w14:paraId="0610CD81" w14:textId="12719299" w:rsidR="00FB20D7" w:rsidRPr="002F404D" w:rsidRDefault="00FB20D7" w:rsidP="00FB20D7">
      <w:pPr>
        <w:tabs>
          <w:tab w:val="clear" w:pos="1134"/>
        </w:tabs>
        <w:spacing w:before="360"/>
        <w:ind w:right="-142"/>
        <w:jc w:val="left"/>
        <w:rPr>
          <w:rFonts w:eastAsia="Times New Roman" w:cs="Verdana"/>
          <w:i/>
          <w:iCs/>
          <w:color w:val="FF0000"/>
          <w:lang w:val="fr-FR" w:eastAsia="zh-TW"/>
        </w:rPr>
      </w:pPr>
      <w:r w:rsidRPr="002F404D">
        <w:rPr>
          <w:rFonts w:eastAsia="Times New Roman" w:cs="Verdana"/>
          <w:i/>
          <w:color w:val="FF0000"/>
          <w:lang w:val="fr-FR"/>
        </w:rPr>
        <w:t>[Ce document a été traduit à titre indicatif à l</w:t>
      </w:r>
      <w:r w:rsidR="005F6019">
        <w:rPr>
          <w:rFonts w:eastAsia="Times New Roman" w:cs="Verdana"/>
          <w:i/>
          <w:color w:val="FF0000"/>
          <w:lang w:val="fr-FR"/>
        </w:rPr>
        <w:t>’</w:t>
      </w:r>
      <w:r w:rsidRPr="002F404D">
        <w:rPr>
          <w:rFonts w:eastAsia="Times New Roman" w:cs="Verdana"/>
          <w:i/>
          <w:color w:val="FF0000"/>
          <w:lang w:val="fr-FR"/>
        </w:rPr>
        <w:t>aide d</w:t>
      </w:r>
      <w:r w:rsidR="005F6019">
        <w:rPr>
          <w:rFonts w:eastAsia="Times New Roman" w:cs="Verdana"/>
          <w:i/>
          <w:color w:val="FF0000"/>
          <w:lang w:val="fr-FR"/>
        </w:rPr>
        <w:t>’</w:t>
      </w:r>
      <w:r w:rsidRPr="002F404D">
        <w:rPr>
          <w:rFonts w:eastAsia="Times New Roman" w:cs="Verdana"/>
          <w:i/>
          <w:color w:val="FF0000"/>
          <w:lang w:val="fr-FR"/>
        </w:rPr>
        <w:t>un système de traduction automatique associé à des mémoires de traduction. Si des efforts raisonnables ont été déployés par l</w:t>
      </w:r>
      <w:r w:rsidR="005F6019">
        <w:rPr>
          <w:rFonts w:eastAsia="Times New Roman" w:cs="Verdana"/>
          <w:i/>
          <w:color w:val="FF0000"/>
          <w:lang w:val="fr-FR"/>
        </w:rPr>
        <w:t>’</w:t>
      </w:r>
      <w:r w:rsidRPr="002F404D">
        <w:rPr>
          <w:rFonts w:eastAsia="Times New Roman" w:cs="Verdana"/>
          <w:i/>
          <w:color w:val="FF0000"/>
          <w:lang w:val="fr-FR"/>
        </w:rPr>
        <w:t>OMM pour améliorer la qualité de la traduction ainsi produite, aucune garantie, expresse ou implicite, n</w:t>
      </w:r>
      <w:r w:rsidR="005F6019">
        <w:rPr>
          <w:rFonts w:eastAsia="Times New Roman" w:cs="Verdana"/>
          <w:i/>
          <w:color w:val="FF0000"/>
          <w:lang w:val="fr-FR"/>
        </w:rPr>
        <w:t>’</w:t>
      </w:r>
      <w:r w:rsidRPr="002F404D">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sidR="005F6019">
        <w:rPr>
          <w:rFonts w:eastAsia="Times New Roman" w:cs="Verdana"/>
          <w:i/>
          <w:color w:val="FF0000"/>
          <w:lang w:val="fr-FR"/>
        </w:rPr>
        <w:t>’</w:t>
      </w:r>
      <w:r w:rsidRPr="002F404D">
        <w:rPr>
          <w:rFonts w:eastAsia="Times New Roman" w:cs="Verdana"/>
          <w:i/>
          <w:color w:val="FF0000"/>
          <w:lang w:val="fr-FR"/>
        </w:rPr>
        <w:t>ont aucun effet juridique en termes de conformité, d</w:t>
      </w:r>
      <w:r w:rsidR="005F6019">
        <w:rPr>
          <w:rFonts w:eastAsia="Times New Roman" w:cs="Verdana"/>
          <w:i/>
          <w:color w:val="FF0000"/>
          <w:lang w:val="fr-FR"/>
        </w:rPr>
        <w:t>’</w:t>
      </w:r>
      <w:r w:rsidRPr="002F404D">
        <w:rPr>
          <w:rFonts w:eastAsia="Times New Roman" w:cs="Verdana"/>
          <w:i/>
          <w:color w:val="FF0000"/>
          <w:lang w:val="fr-FR"/>
        </w:rPr>
        <w:t>exécution ou à toute autre fin. Il se peut que certains contenus (tels que les images) n</w:t>
      </w:r>
      <w:r w:rsidR="005F6019">
        <w:rPr>
          <w:rFonts w:eastAsia="Times New Roman" w:cs="Verdana"/>
          <w:i/>
          <w:color w:val="FF0000"/>
          <w:lang w:val="fr-FR"/>
        </w:rPr>
        <w:t>’</w:t>
      </w:r>
      <w:r w:rsidRPr="002F404D">
        <w:rPr>
          <w:rFonts w:eastAsia="Times New Roman" w:cs="Verdana"/>
          <w:i/>
          <w:color w:val="FF0000"/>
          <w:lang w:val="fr-FR"/>
        </w:rPr>
        <w:t>aient pu être traduits en raison des limites techniques du système. En cas de doute sur l</w:t>
      </w:r>
      <w:r w:rsidR="005F6019">
        <w:rPr>
          <w:rFonts w:eastAsia="Times New Roman" w:cs="Verdana"/>
          <w:i/>
          <w:color w:val="FF0000"/>
          <w:lang w:val="fr-FR"/>
        </w:rPr>
        <w:t>’</w:t>
      </w:r>
      <w:r w:rsidRPr="002F404D">
        <w:rPr>
          <w:rFonts w:eastAsia="Times New Roman" w:cs="Verdana"/>
          <w:i/>
          <w:color w:val="FF0000"/>
          <w:lang w:val="fr-FR"/>
        </w:rPr>
        <w:t xml:space="preserve">exactitude des informations contenues dans la traduction, </w:t>
      </w:r>
      <w:proofErr w:type="spellStart"/>
      <w:r w:rsidRPr="002F404D">
        <w:rPr>
          <w:rFonts w:eastAsia="Times New Roman" w:cs="Verdana"/>
          <w:i/>
          <w:color w:val="FF0000"/>
          <w:lang w:val="fr-FR"/>
        </w:rPr>
        <w:t>veuillez vous</w:t>
      </w:r>
      <w:proofErr w:type="spellEnd"/>
      <w:r w:rsidRPr="002F404D">
        <w:rPr>
          <w:rFonts w:eastAsia="Times New Roman" w:cs="Verdana"/>
          <w:i/>
          <w:color w:val="FF0000"/>
          <w:lang w:val="fr-FR"/>
        </w:rPr>
        <w:t xml:space="preserve"> reporter à l</w:t>
      </w:r>
      <w:r w:rsidR="005F6019">
        <w:rPr>
          <w:rFonts w:eastAsia="Times New Roman" w:cs="Verdana"/>
          <w:i/>
          <w:color w:val="FF0000"/>
          <w:lang w:val="fr-FR"/>
        </w:rPr>
        <w:t>’</w:t>
      </w:r>
      <w:r w:rsidRPr="002F404D">
        <w:rPr>
          <w:rFonts w:eastAsia="Times New Roman" w:cs="Verdana"/>
          <w:i/>
          <w:color w:val="FF0000"/>
          <w:lang w:val="fr-FR"/>
        </w:rPr>
        <w:t>original anglais qui constitue la version officielle du document].</w:t>
      </w:r>
    </w:p>
    <w:p w14:paraId="281AE8CB" w14:textId="05ADAFAA" w:rsidR="00D50367" w:rsidRPr="004709AF" w:rsidRDefault="00D50367" w:rsidP="0079236E">
      <w:pPr>
        <w:pStyle w:val="Heading2"/>
        <w:rPr>
          <w:b w:val="0"/>
          <w:bCs w:val="0"/>
          <w:sz w:val="20"/>
          <w:szCs w:val="20"/>
          <w:lang w:val="fr-FR"/>
        </w:rPr>
      </w:pPr>
      <w:r>
        <w:rPr>
          <w:lang w:val="fr-FR"/>
        </w:rPr>
        <w:t>FEUILLE DE ROUTE POUR LA MISE EN ŒUVRE D</w:t>
      </w:r>
      <w:r w:rsidR="005F6019">
        <w:rPr>
          <w:lang w:val="fr-FR"/>
        </w:rPr>
        <w:t>’</w:t>
      </w:r>
      <w:r>
        <w:rPr>
          <w:lang w:val="fr-FR"/>
        </w:rPr>
        <w:t>UN SYSTÈME DE GESTION</w:t>
      </w:r>
      <w:r w:rsidR="009A2564">
        <w:rPr>
          <w:lang w:val="fr-FR"/>
        </w:rPr>
        <w:br/>
      </w:r>
      <w:r>
        <w:rPr>
          <w:lang w:val="fr-FR"/>
        </w:rPr>
        <w:t>DE LA QUALITÉ DANS LES SERVICES CLIMATOLOGIQUES</w:t>
      </w:r>
    </w:p>
    <w:p w14:paraId="2B618498" w14:textId="77777777" w:rsidR="00D15E53" w:rsidRPr="004709AF" w:rsidRDefault="00770B34" w:rsidP="000C7AE4">
      <w:pPr>
        <w:pStyle w:val="Heading3"/>
        <w:rPr>
          <w:lang w:val="fr-FR"/>
        </w:rPr>
      </w:pPr>
      <w:r>
        <w:rPr>
          <w:lang w:val="fr-FR"/>
        </w:rPr>
        <w:t>Introduction</w:t>
      </w:r>
    </w:p>
    <w:p w14:paraId="572894AF" w14:textId="1BB6B7B2" w:rsidR="00770B34" w:rsidRPr="004709AF" w:rsidRDefault="00770B34" w:rsidP="005F6019">
      <w:pPr>
        <w:pStyle w:val="WMOBodyText"/>
        <w:spacing w:before="0"/>
        <w:rPr>
          <w:lang w:val="fr-FR"/>
        </w:rPr>
      </w:pPr>
      <w:r>
        <w:rPr>
          <w:lang w:val="fr-FR"/>
        </w:rPr>
        <w:t>Par ses programmes et activités, l</w:t>
      </w:r>
      <w:r w:rsidR="005F6019">
        <w:rPr>
          <w:lang w:val="fr-FR"/>
        </w:rPr>
        <w:t>’</w:t>
      </w:r>
      <w:r>
        <w:rPr>
          <w:lang w:val="fr-FR"/>
        </w:rPr>
        <w:t>OMM aspire à garantir le plus haut degré de qualité pour l</w:t>
      </w:r>
      <w:r w:rsidR="005F6019">
        <w:rPr>
          <w:lang w:val="fr-FR"/>
        </w:rPr>
        <w:t>’</w:t>
      </w:r>
      <w:r>
        <w:rPr>
          <w:lang w:val="fr-FR"/>
        </w:rPr>
        <w:t>intégralité des données, produits et services météorologiques, climatologiques, hydrologiques, maritimes ou relevant d</w:t>
      </w:r>
      <w:r w:rsidR="005F6019">
        <w:rPr>
          <w:lang w:val="fr-FR"/>
        </w:rPr>
        <w:t>’</w:t>
      </w:r>
      <w:r>
        <w:rPr>
          <w:lang w:val="fr-FR"/>
        </w:rPr>
        <w:t>autres domaines de l</w:t>
      </w:r>
      <w:r w:rsidR="005F6019">
        <w:rPr>
          <w:lang w:val="fr-FR"/>
        </w:rPr>
        <w:t>’</w:t>
      </w:r>
      <w:r>
        <w:rPr>
          <w:lang w:val="fr-FR"/>
        </w:rPr>
        <w:t>environnement, qui concourent à la protection des personnes et des biens, à la sécurité sur terre, en mer et dans les airs, au développement économique durable et à la protection de l</w:t>
      </w:r>
      <w:r w:rsidR="005F6019">
        <w:rPr>
          <w:lang w:val="fr-FR"/>
        </w:rPr>
        <w:t>’</w:t>
      </w:r>
      <w:r>
        <w:rPr>
          <w:lang w:val="fr-FR"/>
        </w:rPr>
        <w:t>environnement. Pour atteindre cet objectif, l</w:t>
      </w:r>
      <w:r w:rsidR="005F6019">
        <w:rPr>
          <w:lang w:val="fr-FR"/>
        </w:rPr>
        <w:t>’</w:t>
      </w:r>
      <w:r>
        <w:rPr>
          <w:lang w:val="fr-FR"/>
        </w:rPr>
        <w:t>OMM s</w:t>
      </w:r>
      <w:r w:rsidR="005F6019">
        <w:rPr>
          <w:lang w:val="fr-FR"/>
        </w:rPr>
        <w:t>’</w:t>
      </w:r>
      <w:r>
        <w:rPr>
          <w:lang w:val="fr-FR"/>
        </w:rPr>
        <w:t>engage à adopter un dispositif de gestion de la qualité et à l</w:t>
      </w:r>
      <w:r w:rsidR="005F6019">
        <w:rPr>
          <w:lang w:val="fr-FR"/>
        </w:rPr>
        <w:t>’</w:t>
      </w:r>
      <w:r>
        <w:rPr>
          <w:lang w:val="fr-FR"/>
        </w:rPr>
        <w:t>appliquer dans l</w:t>
      </w:r>
      <w:r w:rsidR="005F6019">
        <w:rPr>
          <w:lang w:val="fr-FR"/>
        </w:rPr>
        <w:t>’</w:t>
      </w:r>
      <w:r>
        <w:rPr>
          <w:lang w:val="fr-FR"/>
        </w:rPr>
        <w:t>ensemble de l</w:t>
      </w:r>
      <w:r w:rsidR="005F6019">
        <w:rPr>
          <w:lang w:val="fr-FR"/>
        </w:rPr>
        <w:t>’</w:t>
      </w:r>
      <w:r>
        <w:rPr>
          <w:lang w:val="fr-FR"/>
        </w:rPr>
        <w:t>Organisation, tout en respectant ses principaux objectifs et priorités stratégiques. Le système de gestion de la qualité est donc un système de bout en bout qui prend en compte l</w:t>
      </w:r>
      <w:r w:rsidR="005F6019">
        <w:rPr>
          <w:lang w:val="fr-FR"/>
        </w:rPr>
        <w:t>’</w:t>
      </w:r>
      <w:r>
        <w:rPr>
          <w:lang w:val="fr-FR"/>
        </w:rPr>
        <w:t>ensemble des activités, depuis les mesures et observations brutes jusqu</w:t>
      </w:r>
      <w:r w:rsidR="005F6019">
        <w:rPr>
          <w:lang w:val="fr-FR"/>
        </w:rPr>
        <w:t>’</w:t>
      </w:r>
      <w:r>
        <w:rPr>
          <w:lang w:val="fr-FR"/>
        </w:rPr>
        <w:t>aux services fournis aux utilisateurs finals. Il vise à améliorer la qualité et les performances afin de répondre aux attentes des clients, voire de les dépasser, en tenant compte du contexte des Services météorologiques et hydrologiques nationaux (</w:t>
      </w:r>
      <w:proofErr w:type="spellStart"/>
      <w:r>
        <w:rPr>
          <w:lang w:val="fr-FR"/>
        </w:rPr>
        <w:t>SMHN</w:t>
      </w:r>
      <w:proofErr w:type="spellEnd"/>
      <w:r>
        <w:rPr>
          <w:lang w:val="fr-FR"/>
        </w:rPr>
        <w:t xml:space="preserve">) ainsi que des attentes et exigences des parties intéressées (parties prenantes). Elle constitue une part importante des pratiques climatologiques des </w:t>
      </w:r>
      <w:proofErr w:type="spellStart"/>
      <w:r>
        <w:rPr>
          <w:lang w:val="fr-FR"/>
        </w:rPr>
        <w:t>SMHN</w:t>
      </w:r>
      <w:proofErr w:type="spellEnd"/>
      <w:r>
        <w:rPr>
          <w:lang w:val="fr-FR"/>
        </w:rPr>
        <w:t xml:space="preserve"> et joue un rôle clé dans la promotion de la qualité tout au long de la chaîne de valeur, depuis la sélection et l</w:t>
      </w:r>
      <w:r w:rsidR="005F6019">
        <w:rPr>
          <w:lang w:val="fr-FR"/>
        </w:rPr>
        <w:t>’</w:t>
      </w:r>
      <w:r>
        <w:rPr>
          <w:lang w:val="fr-FR"/>
        </w:rPr>
        <w:t>installation des instruments, le stockage des données et le contrôle de la qualité jusqu</w:t>
      </w:r>
      <w:r w:rsidR="005F6019">
        <w:rPr>
          <w:lang w:val="fr-FR"/>
        </w:rPr>
        <w:t>’</w:t>
      </w:r>
      <w:r>
        <w:rPr>
          <w:lang w:val="fr-FR"/>
        </w:rPr>
        <w:t>à la fourniture de produits et services climatologiques et l</w:t>
      </w:r>
      <w:r w:rsidR="005F6019">
        <w:rPr>
          <w:lang w:val="fr-FR"/>
        </w:rPr>
        <w:t>’</w:t>
      </w:r>
      <w:r>
        <w:rPr>
          <w:lang w:val="fr-FR"/>
        </w:rPr>
        <w:t>évaluation de leur valeur pour les utilisateurs finaux.</w:t>
      </w:r>
    </w:p>
    <w:p w14:paraId="4ADCD2C4" w14:textId="0FFB9977" w:rsidR="00770B34" w:rsidRPr="004709AF" w:rsidRDefault="00770B34" w:rsidP="005F6019">
      <w:pPr>
        <w:pStyle w:val="WMOBodyText"/>
        <w:rPr>
          <w:lang w:val="fr-FR"/>
        </w:rPr>
      </w:pPr>
      <w:r>
        <w:rPr>
          <w:lang w:val="fr-FR"/>
        </w:rPr>
        <w:t>Un système de gestion de la qualité garantit que toutes les activités nécessaires pour concevoir, développer et fournir un produit ou un service sont menées de manière efficace et efficiente. Il se concentre sur la bonne qualité des produits et des services, ainsi que sur les moyens de l</w:t>
      </w:r>
      <w:r w:rsidR="005F6019">
        <w:rPr>
          <w:lang w:val="fr-FR"/>
        </w:rPr>
        <w:t>’</w:t>
      </w:r>
      <w:r>
        <w:rPr>
          <w:lang w:val="fr-FR"/>
        </w:rPr>
        <w:t>obtenir. Il est possible d</w:t>
      </w:r>
      <w:r w:rsidR="005F6019">
        <w:rPr>
          <w:lang w:val="fr-FR"/>
        </w:rPr>
        <w:t>’</w:t>
      </w:r>
      <w:r>
        <w:rPr>
          <w:lang w:val="fr-FR"/>
        </w:rPr>
        <w:t>obtenir une qualité constante en utilisant l</w:t>
      </w:r>
      <w:r w:rsidR="005F6019">
        <w:rPr>
          <w:lang w:val="fr-FR"/>
        </w:rPr>
        <w:t>’</w:t>
      </w:r>
      <w:r>
        <w:rPr>
          <w:lang w:val="fr-FR"/>
        </w:rPr>
        <w:t>assurance et le contrôle de la qualité des fonctions et des produits. Un système est motivé par la satisfaction des exigences des clients et des exigences légales et réglementaires applicables, et en facilitant les possibilités d</w:t>
      </w:r>
      <w:r w:rsidR="005F6019">
        <w:rPr>
          <w:lang w:val="fr-FR"/>
        </w:rPr>
        <w:t>’</w:t>
      </w:r>
      <w:r>
        <w:rPr>
          <w:lang w:val="fr-FR"/>
        </w:rPr>
        <w:t>améliorer la prestation de services. Bien que le contrôle et l</w:t>
      </w:r>
      <w:r w:rsidR="005F6019">
        <w:rPr>
          <w:lang w:val="fr-FR"/>
        </w:rPr>
        <w:t>’</w:t>
      </w:r>
      <w:r>
        <w:rPr>
          <w:lang w:val="fr-FR"/>
        </w:rPr>
        <w:t xml:space="preserve">assurance de la qualité soient depuis longtemps des concepts connus au sein des </w:t>
      </w:r>
      <w:proofErr w:type="spellStart"/>
      <w:r>
        <w:rPr>
          <w:lang w:val="fr-FR"/>
        </w:rPr>
        <w:t>NMHS</w:t>
      </w:r>
      <w:proofErr w:type="spellEnd"/>
      <w:r>
        <w:rPr>
          <w:lang w:val="fr-FR"/>
        </w:rPr>
        <w:t xml:space="preserve"> pour garantir l</w:t>
      </w:r>
      <w:r w:rsidR="005F6019">
        <w:rPr>
          <w:lang w:val="fr-FR"/>
        </w:rPr>
        <w:t>’</w:t>
      </w:r>
      <w:r>
        <w:rPr>
          <w:lang w:val="fr-FR"/>
        </w:rPr>
        <w:t>exactitude et la cohérence des données, le concept plus large d</w:t>
      </w:r>
      <w:r w:rsidR="005F6019">
        <w:rPr>
          <w:lang w:val="fr-FR"/>
        </w:rPr>
        <w:t>’</w:t>
      </w:r>
      <w:r>
        <w:rPr>
          <w:lang w:val="fr-FR"/>
        </w:rPr>
        <w:t>un système de gestion de la qualité, qui intègre également la planification de la qualité, les objectifs de qualité, l</w:t>
      </w:r>
      <w:r w:rsidR="005F6019">
        <w:rPr>
          <w:lang w:val="fr-FR"/>
        </w:rPr>
        <w:t>’</w:t>
      </w:r>
      <w:r>
        <w:rPr>
          <w:lang w:val="fr-FR"/>
        </w:rPr>
        <w:t>atténuation des risques et l</w:t>
      </w:r>
      <w:r w:rsidR="005F6019">
        <w:rPr>
          <w:lang w:val="fr-FR"/>
        </w:rPr>
        <w:t>’</w:t>
      </w:r>
      <w:r>
        <w:rPr>
          <w:lang w:val="fr-FR"/>
        </w:rPr>
        <w:t>amélioration de la qualité, est moins connu et moins largement exploité. Les impératifs qui motivent l</w:t>
      </w:r>
      <w:r w:rsidR="005F6019">
        <w:rPr>
          <w:lang w:val="fr-FR"/>
        </w:rPr>
        <w:t>’</w:t>
      </w:r>
      <w:r>
        <w:rPr>
          <w:lang w:val="fr-FR"/>
        </w:rPr>
        <w:t>adoption d</w:t>
      </w:r>
      <w:r w:rsidR="005F6019">
        <w:rPr>
          <w:lang w:val="fr-FR"/>
        </w:rPr>
        <w:t>’</w:t>
      </w:r>
      <w:r>
        <w:rPr>
          <w:lang w:val="fr-FR"/>
        </w:rPr>
        <w:t xml:space="preserve">un tel système pour la fourniture de produits et de services par les </w:t>
      </w:r>
      <w:proofErr w:type="spellStart"/>
      <w:r>
        <w:rPr>
          <w:lang w:val="fr-FR"/>
        </w:rPr>
        <w:t>NMHS</w:t>
      </w:r>
      <w:proofErr w:type="spellEnd"/>
      <w:r>
        <w:rPr>
          <w:lang w:val="fr-FR"/>
        </w:rPr>
        <w:t xml:space="preserve"> sont les suivants: </w:t>
      </w:r>
    </w:p>
    <w:p w14:paraId="148E9733" w14:textId="77777777" w:rsidR="00770B34" w:rsidRPr="004709AF" w:rsidRDefault="00770B34" w:rsidP="00052518">
      <w:pPr>
        <w:pStyle w:val="WMOIndent1"/>
        <w:numPr>
          <w:ilvl w:val="0"/>
          <w:numId w:val="13"/>
        </w:numPr>
        <w:ind w:left="567" w:hanging="567"/>
        <w:rPr>
          <w:lang w:val="fr-FR"/>
        </w:rPr>
      </w:pPr>
      <w:r>
        <w:rPr>
          <w:lang w:val="fr-FR"/>
        </w:rPr>
        <w:t xml:space="preserve">Nécessité de se conformer aux exigences réglementaires; </w:t>
      </w:r>
    </w:p>
    <w:p w14:paraId="3D4B4BE1" w14:textId="77777777" w:rsidR="00770B34" w:rsidRPr="004709AF" w:rsidRDefault="00770B34" w:rsidP="005F6019">
      <w:pPr>
        <w:pStyle w:val="WMOIndent1"/>
        <w:numPr>
          <w:ilvl w:val="0"/>
          <w:numId w:val="13"/>
        </w:numPr>
        <w:ind w:left="567" w:hanging="567"/>
        <w:rPr>
          <w:lang w:val="fr-FR"/>
        </w:rPr>
      </w:pPr>
      <w:r>
        <w:rPr>
          <w:lang w:val="fr-FR"/>
        </w:rPr>
        <w:lastRenderedPageBreak/>
        <w:t xml:space="preserve">Nécessité de développer des pratiques de gestion saines et cohérentes; et </w:t>
      </w:r>
    </w:p>
    <w:p w14:paraId="0CAAD41A" w14:textId="72D264B2" w:rsidR="00770B34" w:rsidRPr="004709AF" w:rsidRDefault="00770B34" w:rsidP="005F6019">
      <w:pPr>
        <w:pStyle w:val="WMOIndent1"/>
        <w:numPr>
          <w:ilvl w:val="0"/>
          <w:numId w:val="13"/>
        </w:numPr>
        <w:ind w:left="567" w:hanging="567"/>
        <w:rPr>
          <w:lang w:val="fr-FR"/>
        </w:rPr>
      </w:pPr>
      <w:r>
        <w:rPr>
          <w:lang w:val="fr-FR"/>
        </w:rPr>
        <w:t>Présence d</w:t>
      </w:r>
      <w:r w:rsidR="005F6019">
        <w:rPr>
          <w:lang w:val="fr-FR"/>
        </w:rPr>
        <w:t>’</w:t>
      </w:r>
      <w:r>
        <w:rPr>
          <w:lang w:val="fr-FR"/>
        </w:rPr>
        <w:t>une pression croissante pour répondre aux exigences et aux attentes des parties prenantes et des clients.</w:t>
      </w:r>
    </w:p>
    <w:p w14:paraId="1097A95D" w14:textId="2F4FB3BF" w:rsidR="00770B34" w:rsidRPr="004709AF" w:rsidRDefault="00770B34" w:rsidP="005F6019">
      <w:pPr>
        <w:pStyle w:val="WMOBodyText"/>
        <w:rPr>
          <w:lang w:val="fr-FR"/>
        </w:rPr>
      </w:pPr>
      <w:r>
        <w:rPr>
          <w:lang w:val="fr-FR"/>
        </w:rPr>
        <w:t>Depuis sa création en 2009, le Cadre mondial pour les services climatologiques (</w:t>
      </w:r>
      <w:proofErr w:type="spellStart"/>
      <w:r>
        <w:rPr>
          <w:lang w:val="fr-FR"/>
        </w:rPr>
        <w:t>CMSC</w:t>
      </w:r>
      <w:proofErr w:type="spellEnd"/>
      <w:r>
        <w:rPr>
          <w:lang w:val="fr-FR"/>
        </w:rPr>
        <w:t>) a été reconnu comme un moteur permettant d</w:t>
      </w:r>
      <w:r w:rsidR="005F6019">
        <w:rPr>
          <w:lang w:val="fr-FR"/>
        </w:rPr>
        <w:t>’</w:t>
      </w:r>
      <w:r>
        <w:rPr>
          <w:lang w:val="fr-FR"/>
        </w:rPr>
        <w:t>identifier et d</w:t>
      </w:r>
      <w:r w:rsidR="005F6019">
        <w:rPr>
          <w:lang w:val="fr-FR"/>
        </w:rPr>
        <w:t>’</w:t>
      </w:r>
      <w:r>
        <w:rPr>
          <w:lang w:val="fr-FR"/>
        </w:rPr>
        <w:t>aligner les investissements pour soutenir la mise en œuvre de la chaîne de valeur des services climatologiques de manière plus cohérente, par le biais de plusieurs projets internationaux liés au climat et d</w:t>
      </w:r>
      <w:r w:rsidR="005F6019">
        <w:rPr>
          <w:lang w:val="fr-FR"/>
        </w:rPr>
        <w:t>’</w:t>
      </w:r>
      <w:r>
        <w:rPr>
          <w:lang w:val="fr-FR"/>
        </w:rPr>
        <w:t>initiatives d</w:t>
      </w:r>
      <w:r w:rsidR="005F6019">
        <w:rPr>
          <w:lang w:val="fr-FR"/>
        </w:rPr>
        <w:t>’</w:t>
      </w:r>
      <w:r>
        <w:rPr>
          <w:lang w:val="fr-FR"/>
        </w:rPr>
        <w:t>applications connexes. En 2022 et 2023, le Conseil exécutif et le Congrès météorologique mondial de l</w:t>
      </w:r>
      <w:r w:rsidR="005F6019">
        <w:rPr>
          <w:lang w:val="fr-FR"/>
        </w:rPr>
        <w:t>’</w:t>
      </w:r>
      <w:r>
        <w:rPr>
          <w:lang w:val="fr-FR"/>
        </w:rPr>
        <w:t>OMM examineront des mesures visant à renforcer la visibilité, l</w:t>
      </w:r>
      <w:r w:rsidR="005F6019">
        <w:rPr>
          <w:lang w:val="fr-FR"/>
        </w:rPr>
        <w:t>’</w:t>
      </w:r>
      <w:r>
        <w:rPr>
          <w:lang w:val="fr-FR"/>
        </w:rPr>
        <w:t xml:space="preserve">efficacité et la mise en œuvre du </w:t>
      </w:r>
      <w:proofErr w:type="spellStart"/>
      <w:r>
        <w:rPr>
          <w:lang w:val="fr-FR"/>
        </w:rPr>
        <w:t>CMSC</w:t>
      </w:r>
      <w:proofErr w:type="spellEnd"/>
      <w:r>
        <w:rPr>
          <w:lang w:val="fr-FR"/>
        </w:rPr>
        <w:t xml:space="preserve">. Le système de gestion de la qualité, pour les services climatiques, garantira que les services fournis à la communauté des utilisateurs présenteront une qualité élevée, une cohérence et une fiabilité dans tous les secteurs, nations et régions. </w:t>
      </w:r>
    </w:p>
    <w:p w14:paraId="254905F1" w14:textId="2B54727D" w:rsidR="00770B34" w:rsidRPr="004709AF" w:rsidRDefault="00770B34" w:rsidP="005F6019">
      <w:pPr>
        <w:pStyle w:val="WMOBodyText"/>
        <w:rPr>
          <w:lang w:val="fr-FR"/>
        </w:rPr>
      </w:pPr>
      <w:r>
        <w:rPr>
          <w:lang w:val="fr-FR"/>
        </w:rPr>
        <w:t>L</w:t>
      </w:r>
      <w:r w:rsidR="005F6019">
        <w:rPr>
          <w:lang w:val="fr-FR"/>
        </w:rPr>
        <w:t>’</w:t>
      </w:r>
      <w:r>
        <w:rPr>
          <w:lang w:val="fr-FR"/>
        </w:rPr>
        <w:t>une des principales fonctions de ce système est l</w:t>
      </w:r>
      <w:r w:rsidR="005F6019">
        <w:rPr>
          <w:lang w:val="fr-FR"/>
        </w:rPr>
        <w:t>’</w:t>
      </w:r>
      <w:r>
        <w:rPr>
          <w:lang w:val="fr-FR"/>
        </w:rPr>
        <w:t>assurance de la qualité des données sur la capacité des services climatologiques des Membres. Une liste de contrôle des services climatologiques élaborée par le mécanisme de contribution de l</w:t>
      </w:r>
      <w:r w:rsidR="005F6019">
        <w:rPr>
          <w:lang w:val="fr-FR"/>
        </w:rPr>
        <w:t>’</w:t>
      </w:r>
      <w:r>
        <w:rPr>
          <w:lang w:val="fr-FR"/>
        </w:rPr>
        <w:t xml:space="preserve">OMM au </w:t>
      </w:r>
      <w:proofErr w:type="spellStart"/>
      <w:r>
        <w:rPr>
          <w:lang w:val="fr-FR"/>
        </w:rPr>
        <w:t>CMSC</w:t>
      </w:r>
      <w:proofErr w:type="spellEnd"/>
      <w:r>
        <w:rPr>
          <w:lang w:val="fr-FR"/>
        </w:rPr>
        <w:t>, sur la base des critères de l</w:t>
      </w:r>
      <w:r w:rsidR="005F6019">
        <w:rPr>
          <w:lang w:val="fr-FR"/>
        </w:rPr>
        <w:t>’</w:t>
      </w:r>
      <w:r>
        <w:rPr>
          <w:lang w:val="fr-FR"/>
        </w:rPr>
        <w:t>Organisation s</w:t>
      </w:r>
      <w:r w:rsidR="005F6019">
        <w:rPr>
          <w:lang w:val="fr-FR"/>
        </w:rPr>
        <w:t>’</w:t>
      </w:r>
      <w:r>
        <w:rPr>
          <w:lang w:val="fr-FR"/>
        </w:rPr>
        <w:t>il devient réglementaire, fournirait un moyen par lequel les niveaux de service climatologique peuvent être certifiés sur la base des règlements de l</w:t>
      </w:r>
      <w:r w:rsidR="005F6019">
        <w:rPr>
          <w:lang w:val="fr-FR"/>
        </w:rPr>
        <w:t>’</w:t>
      </w:r>
      <w:r>
        <w:rPr>
          <w:lang w:val="fr-FR"/>
        </w:rPr>
        <w:t xml:space="preserve">OMM. En raison de la prolifération des services du secteur privé, les gouvernements pourraient certifier les services et les prestataires de services en tant que régulateurs. </w:t>
      </w:r>
    </w:p>
    <w:p w14:paraId="7D75A804" w14:textId="0E62D271" w:rsidR="00283ECF" w:rsidRPr="004709AF" w:rsidRDefault="00770B34" w:rsidP="00052518">
      <w:pPr>
        <w:pStyle w:val="WMOBodyText"/>
        <w:rPr>
          <w:lang w:val="fr-FR"/>
        </w:rPr>
      </w:pPr>
      <w:r>
        <w:rPr>
          <w:lang w:val="fr-FR"/>
        </w:rPr>
        <w:t xml:space="preserve">Cette feuille de route vise à fournir aux </w:t>
      </w:r>
      <w:proofErr w:type="spellStart"/>
      <w:r>
        <w:rPr>
          <w:lang w:val="fr-FR"/>
        </w:rPr>
        <w:t>CMSC</w:t>
      </w:r>
      <w:proofErr w:type="spellEnd"/>
      <w:r>
        <w:rPr>
          <w:lang w:val="fr-FR"/>
        </w:rPr>
        <w:t xml:space="preserve"> des lignes directrices et des guides des bonnes pratiques pour la mise en œuvre d</w:t>
      </w:r>
      <w:r w:rsidR="005F6019">
        <w:rPr>
          <w:lang w:val="fr-FR"/>
        </w:rPr>
        <w:t>’</w:t>
      </w:r>
      <w:r>
        <w:rPr>
          <w:lang w:val="fr-FR"/>
        </w:rPr>
        <w:t>un système de gestion de la qualité dans leurs services climatologiques dans le cadre de la norme ISO 9001 «Systèmes de management de la qualité – Cadre des normes d</w:t>
      </w:r>
      <w:r w:rsidR="005F6019">
        <w:rPr>
          <w:lang w:val="fr-FR"/>
        </w:rPr>
        <w:t>’</w:t>
      </w:r>
      <w:r>
        <w:rPr>
          <w:lang w:val="fr-FR"/>
        </w:rPr>
        <w:t>exigence». Il présente trois options, allant d</w:t>
      </w:r>
      <w:r w:rsidR="005F6019">
        <w:rPr>
          <w:lang w:val="fr-FR"/>
        </w:rPr>
        <w:t>’</w:t>
      </w:r>
      <w:r>
        <w:rPr>
          <w:lang w:val="fr-FR"/>
        </w:rPr>
        <w:t>une certification ISO de la conformité du système de gestion de l</w:t>
      </w:r>
      <w:r w:rsidR="005F6019">
        <w:rPr>
          <w:lang w:val="fr-FR"/>
        </w:rPr>
        <w:t>’</w:t>
      </w:r>
      <w:r>
        <w:rPr>
          <w:lang w:val="fr-FR"/>
        </w:rPr>
        <w:t xml:space="preserve">ensemble des </w:t>
      </w:r>
      <w:proofErr w:type="spellStart"/>
      <w:r>
        <w:rPr>
          <w:lang w:val="fr-FR"/>
        </w:rPr>
        <w:t>SMHN</w:t>
      </w:r>
      <w:proofErr w:type="spellEnd"/>
      <w:r>
        <w:rPr>
          <w:lang w:val="fr-FR"/>
        </w:rPr>
        <w:t>, ou d</w:t>
      </w:r>
      <w:r w:rsidR="005F6019">
        <w:rPr>
          <w:lang w:val="fr-FR"/>
        </w:rPr>
        <w:t>’</w:t>
      </w:r>
      <w:r>
        <w:rPr>
          <w:lang w:val="fr-FR"/>
        </w:rPr>
        <w:t>un programme spécifique, à un parcours facilité par l</w:t>
      </w:r>
      <w:r w:rsidR="005F6019">
        <w:rPr>
          <w:lang w:val="fr-FR"/>
        </w:rPr>
        <w:t>’</w:t>
      </w:r>
      <w:r>
        <w:rPr>
          <w:lang w:val="fr-FR"/>
        </w:rPr>
        <w:t>OMM pour la conformité des services climatiques aux exigences réglementaires de l</w:t>
      </w:r>
      <w:r w:rsidR="005F6019">
        <w:rPr>
          <w:lang w:val="fr-FR"/>
        </w:rPr>
        <w:t>’</w:t>
      </w:r>
      <w:r>
        <w:rPr>
          <w:lang w:val="fr-FR"/>
        </w:rPr>
        <w:t xml:space="preserve">OMM. Cette dernière option est formulée en fonction des exigences de temps, des limitations procédurales et des ressources disponibles. </w:t>
      </w:r>
    </w:p>
    <w:p w14:paraId="25BBADDF" w14:textId="77777777" w:rsidR="00770B34" w:rsidRPr="004709AF" w:rsidRDefault="00770B34" w:rsidP="000C7AE4">
      <w:pPr>
        <w:pStyle w:val="Heading3"/>
        <w:rPr>
          <w:lang w:val="fr-FR"/>
        </w:rPr>
      </w:pPr>
      <w:r>
        <w:rPr>
          <w:lang w:val="fr-FR"/>
        </w:rPr>
        <w:t>Contexte</w:t>
      </w:r>
    </w:p>
    <w:p w14:paraId="2C0A06C6" w14:textId="33FE52D7" w:rsidR="00770B34" w:rsidRPr="004709AF" w:rsidRDefault="00770B34" w:rsidP="00052518">
      <w:pPr>
        <w:pStyle w:val="WMOBodyText"/>
        <w:rPr>
          <w:lang w:val="fr-FR"/>
        </w:rPr>
      </w:pPr>
      <w:r>
        <w:rPr>
          <w:lang w:val="fr-FR"/>
        </w:rPr>
        <w:t>Le</w:t>
      </w:r>
      <w:r w:rsidRPr="005F6019">
        <w:rPr>
          <w:i/>
          <w:iCs/>
          <w:lang w:val="fr-FR"/>
        </w:rPr>
        <w:t xml:space="preserve"> </w:t>
      </w:r>
      <w:r w:rsidRPr="00C02FD5">
        <w:rPr>
          <w:rStyle w:val="Hyperlink"/>
          <w:i/>
          <w:iCs/>
        </w:rPr>
        <w:t>Guide de l</w:t>
      </w:r>
      <w:r w:rsidR="005F6019" w:rsidRPr="00C02FD5">
        <w:rPr>
          <w:rStyle w:val="Hyperlink"/>
          <w:i/>
          <w:iCs/>
        </w:rPr>
        <w:t>’</w:t>
      </w:r>
      <w:r w:rsidRPr="00C02FD5">
        <w:rPr>
          <w:rStyle w:val="Hyperlink"/>
          <w:i/>
          <w:iCs/>
        </w:rPr>
        <w:t>OMM sur la mise en œuvre de systèmes de gestion de la qualité pour les Services météorologiques et hydrologiques nationaux et autres prestataires de services concernés</w:t>
      </w:r>
      <w:r>
        <w:rPr>
          <w:lang w:val="fr-FR"/>
        </w:rPr>
        <w:t xml:space="preserve"> (OMM-N° 1100 (2017)), fournit une description générique détaillée de la mise en œuvre d</w:t>
      </w:r>
      <w:r w:rsidR="005F6019">
        <w:rPr>
          <w:lang w:val="fr-FR"/>
        </w:rPr>
        <w:t>’</w:t>
      </w:r>
      <w:r>
        <w:rPr>
          <w:lang w:val="fr-FR"/>
        </w:rPr>
        <w:t>un tel système dans un service météorologique, indépendamment de son programme technique ou de son domaine de travail propre. Le guide ci-dessus et les normes ISO 9001 doivent être utilisés lors de la mise en œuvre d</w:t>
      </w:r>
      <w:r w:rsidR="005F6019">
        <w:rPr>
          <w:lang w:val="fr-FR"/>
        </w:rPr>
        <w:t>’</w:t>
      </w:r>
      <w:r>
        <w:rPr>
          <w:lang w:val="fr-FR"/>
        </w:rPr>
        <w:t xml:space="preserve">un système de gestion de la qualité dans un </w:t>
      </w:r>
      <w:proofErr w:type="spellStart"/>
      <w:r>
        <w:rPr>
          <w:lang w:val="fr-FR"/>
        </w:rPr>
        <w:t>SMHN</w:t>
      </w:r>
      <w:proofErr w:type="spellEnd"/>
      <w:r>
        <w:rPr>
          <w:lang w:val="fr-FR"/>
        </w:rPr>
        <w:t>. Il complète la documentation générale fournie par les normes ISO 9000 et d</w:t>
      </w:r>
      <w:r w:rsidR="005F6019">
        <w:rPr>
          <w:lang w:val="fr-FR"/>
        </w:rPr>
        <w:t>’</w:t>
      </w:r>
      <w:r>
        <w:rPr>
          <w:lang w:val="fr-FR"/>
        </w:rPr>
        <w:t xml:space="preserve">autres publications, en se concentrant sur les besoins et les processus de fourniture de services et de produits climatologiques au sein des </w:t>
      </w:r>
      <w:proofErr w:type="spellStart"/>
      <w:r>
        <w:rPr>
          <w:lang w:val="fr-FR"/>
        </w:rPr>
        <w:t>SMHN</w:t>
      </w:r>
      <w:proofErr w:type="spellEnd"/>
      <w:r>
        <w:rPr>
          <w:lang w:val="fr-FR"/>
        </w:rPr>
        <w:t>, notamment ceux liés aux données climatologiques, à la surveillance du climat, aux prévisions climatiques et à la fourniture de services.</w:t>
      </w:r>
    </w:p>
    <w:p w14:paraId="17B2ADB4" w14:textId="53D75AE6" w:rsidR="00770B34" w:rsidRPr="004709AF" w:rsidRDefault="00770B34" w:rsidP="00052518">
      <w:pPr>
        <w:pStyle w:val="WMOBodyText"/>
        <w:rPr>
          <w:lang w:val="fr-FR"/>
        </w:rPr>
      </w:pPr>
      <w:r>
        <w:rPr>
          <w:lang w:val="fr-FR"/>
        </w:rPr>
        <w:t>En plus de l</w:t>
      </w:r>
      <w:r w:rsidR="005F6019">
        <w:rPr>
          <w:lang w:val="fr-FR"/>
        </w:rPr>
        <w:t>’</w:t>
      </w:r>
      <w:r>
        <w:rPr>
          <w:lang w:val="fr-FR"/>
        </w:rPr>
        <w:t xml:space="preserve">OMM-N° 1100, les </w:t>
      </w:r>
      <w:r w:rsidRPr="00C02FD5">
        <w:rPr>
          <w:rStyle w:val="Hyperlink"/>
          <w:i/>
          <w:iCs/>
        </w:rPr>
        <w:t>Guidelines on Quality Management in Climate Services</w:t>
      </w:r>
      <w:r>
        <w:rPr>
          <w:lang w:val="fr-FR"/>
        </w:rPr>
        <w:t xml:space="preserve"> (</w:t>
      </w:r>
      <w:proofErr w:type="spellStart"/>
      <w:r>
        <w:rPr>
          <w:lang w:val="fr-FR"/>
        </w:rPr>
        <w:t>WMO</w:t>
      </w:r>
      <w:proofErr w:type="spellEnd"/>
      <w:r>
        <w:rPr>
          <w:lang w:val="fr-FR"/>
        </w:rPr>
        <w:t>-No. 1221 (2018)) (Lignes directrices sur la gestion de la qualité des services climatologiques) guident la manière d</w:t>
      </w:r>
      <w:r w:rsidR="005F6019">
        <w:rPr>
          <w:lang w:val="fr-FR"/>
        </w:rPr>
        <w:t>’</w:t>
      </w:r>
      <w:r>
        <w:rPr>
          <w:lang w:val="fr-FR"/>
        </w:rPr>
        <w:t>appliquer l</w:t>
      </w:r>
      <w:r w:rsidR="005F6019">
        <w:rPr>
          <w:lang w:val="fr-FR"/>
        </w:rPr>
        <w:t>’</w:t>
      </w:r>
      <w:r>
        <w:rPr>
          <w:lang w:val="fr-FR"/>
        </w:rPr>
        <w:t xml:space="preserve">approche processus ISO dans les domaines des services climatologiques, englobant les données climatologiques, la surveillance du climat, les prévisions climatiques et la prestation de services. </w:t>
      </w:r>
    </w:p>
    <w:p w14:paraId="3CBE88B7" w14:textId="0678DCF7" w:rsidR="00770B34" w:rsidRPr="00C02FD5" w:rsidRDefault="00B36F3C" w:rsidP="00C56689">
      <w:pPr>
        <w:pStyle w:val="ListParagraph"/>
        <w:numPr>
          <w:ilvl w:val="0"/>
          <w:numId w:val="13"/>
        </w:numPr>
        <w:spacing w:before="240" w:line="252" w:lineRule="auto"/>
        <w:ind w:left="567" w:hanging="567"/>
        <w:rPr>
          <w:rFonts w:ascii="Verdana" w:hAnsi="Verdana"/>
          <w:sz w:val="20"/>
          <w:szCs w:val="20"/>
          <w:lang w:val="fr-FR"/>
        </w:rPr>
      </w:pPr>
      <w:hyperlink r:id="rId12" w:anchor="page=161" w:history="1">
        <w:r w:rsidR="001F18A7" w:rsidRPr="00C02FD5">
          <w:rPr>
            <w:rStyle w:val="Hyperlink"/>
            <w:rFonts w:ascii="Verdana" w:eastAsia="Verdana" w:hAnsi="Verdana" w:cs="Verdana"/>
            <w:sz w:val="20"/>
            <w:szCs w:val="20"/>
            <w:lang w:val="en-GB" w:eastAsia="zh-TW"/>
          </w:rPr>
          <w:t>Rés</w:t>
        </w:r>
        <w:r w:rsidR="001F18A7" w:rsidRPr="00C02FD5">
          <w:rPr>
            <w:rStyle w:val="Hyperlink"/>
            <w:rFonts w:ascii="Verdana" w:eastAsia="Verdana" w:hAnsi="Verdana" w:cs="Verdana"/>
            <w:sz w:val="20"/>
            <w:szCs w:val="20"/>
            <w:lang w:val="en-GB" w:eastAsia="zh-TW"/>
          </w:rPr>
          <w:t>o</w:t>
        </w:r>
        <w:r w:rsidR="001F18A7" w:rsidRPr="00C02FD5">
          <w:rPr>
            <w:rStyle w:val="Hyperlink"/>
            <w:rFonts w:ascii="Verdana" w:eastAsia="Verdana" w:hAnsi="Verdana" w:cs="Verdana"/>
            <w:sz w:val="20"/>
            <w:szCs w:val="20"/>
            <w:lang w:val="en-GB" w:eastAsia="zh-TW"/>
          </w:rPr>
          <w:t>lution 19 (EC-69)</w:t>
        </w:r>
        <w:r w:rsidR="001F18A7" w:rsidRPr="00C02FD5">
          <w:rPr>
            <w:rFonts w:ascii="Verdana" w:hAnsi="Verdana"/>
            <w:sz w:val="20"/>
            <w:szCs w:val="20"/>
            <w:lang w:val="fr-FR"/>
          </w:rPr>
          <w:t xml:space="preserve"> – Politique qualité de l</w:t>
        </w:r>
        <w:r w:rsidR="005F6019" w:rsidRPr="00C02FD5">
          <w:rPr>
            <w:rFonts w:ascii="Verdana" w:hAnsi="Verdana"/>
            <w:sz w:val="20"/>
            <w:szCs w:val="20"/>
            <w:lang w:val="fr-FR"/>
          </w:rPr>
          <w:t>’</w:t>
        </w:r>
        <w:r w:rsidR="001F18A7" w:rsidRPr="00C02FD5">
          <w:rPr>
            <w:rFonts w:ascii="Verdana" w:hAnsi="Verdana"/>
            <w:sz w:val="20"/>
            <w:szCs w:val="20"/>
            <w:lang w:val="fr-FR"/>
          </w:rPr>
          <w:t>OMM et son annexe (Politique)</w:t>
        </w:r>
      </w:hyperlink>
    </w:p>
    <w:p w14:paraId="748FA267" w14:textId="19A13051" w:rsidR="00770B34" w:rsidRPr="004709AF" w:rsidRDefault="00770B34" w:rsidP="00012937">
      <w:pPr>
        <w:pStyle w:val="WMOBodyText"/>
        <w:ind w:right="-170"/>
        <w:rPr>
          <w:lang w:val="fr-FR"/>
        </w:rPr>
      </w:pPr>
      <w:r>
        <w:rPr>
          <w:lang w:val="fr-FR"/>
        </w:rPr>
        <w:t>La résolution 19 (EC-69) et son annexe sur la politique qualité de l</w:t>
      </w:r>
      <w:r w:rsidR="005F6019">
        <w:rPr>
          <w:lang w:val="fr-FR"/>
        </w:rPr>
        <w:t>’</w:t>
      </w:r>
      <w:r>
        <w:rPr>
          <w:lang w:val="fr-FR"/>
        </w:rPr>
        <w:t>OMM reflètent l</w:t>
      </w:r>
      <w:r w:rsidR="005F6019">
        <w:rPr>
          <w:lang w:val="fr-FR"/>
        </w:rPr>
        <w:t>’</w:t>
      </w:r>
      <w:r>
        <w:rPr>
          <w:lang w:val="fr-FR"/>
        </w:rPr>
        <w:t>évolution des exigences et de la nature du cadre du système de gestion de la qualité, reconnaissant que l</w:t>
      </w:r>
      <w:r w:rsidR="005F6019">
        <w:rPr>
          <w:lang w:val="fr-FR"/>
        </w:rPr>
        <w:t>’</w:t>
      </w:r>
      <w:r>
        <w:rPr>
          <w:lang w:val="fr-FR"/>
        </w:rPr>
        <w:t xml:space="preserve">assurance de la qualité, la fiabilité et la cohérence des informations et des services fournis aux utilisateurs deviennent des facteurs de réussite essentiels, compte tenu de la concurrence croissante dans la fourniture de services météorologiques, hydrologiques et climatologiques. </w:t>
      </w:r>
    </w:p>
    <w:p w14:paraId="45564606" w14:textId="547905D3" w:rsidR="00770B34" w:rsidRPr="004709AF" w:rsidRDefault="00770B34" w:rsidP="00012937">
      <w:pPr>
        <w:pStyle w:val="WMOBodyText"/>
        <w:ind w:right="-170"/>
        <w:rPr>
          <w:lang w:val="fr-FR"/>
        </w:rPr>
      </w:pPr>
      <w:r>
        <w:rPr>
          <w:lang w:val="fr-FR"/>
        </w:rPr>
        <w:lastRenderedPageBreak/>
        <w:t>Par ses programmes et activités, l</w:t>
      </w:r>
      <w:r w:rsidR="005F6019">
        <w:rPr>
          <w:lang w:val="fr-FR"/>
        </w:rPr>
        <w:t>’</w:t>
      </w:r>
      <w:r>
        <w:rPr>
          <w:lang w:val="fr-FR"/>
        </w:rPr>
        <w:t>OMM aspire à garantir le plus haut degré de qualité pour l</w:t>
      </w:r>
      <w:r w:rsidR="005F6019">
        <w:rPr>
          <w:lang w:val="fr-FR"/>
        </w:rPr>
        <w:t>’</w:t>
      </w:r>
      <w:r>
        <w:rPr>
          <w:lang w:val="fr-FR"/>
        </w:rPr>
        <w:t>intégralité des données, produits et services météorologiques, climatologiques, hydrologiques, maritimes ou relevant d</w:t>
      </w:r>
      <w:r w:rsidR="005F6019">
        <w:rPr>
          <w:lang w:val="fr-FR"/>
        </w:rPr>
        <w:t>’</w:t>
      </w:r>
      <w:r>
        <w:rPr>
          <w:lang w:val="fr-FR"/>
        </w:rPr>
        <w:t>autres domaines de l</w:t>
      </w:r>
      <w:r w:rsidR="005F6019">
        <w:rPr>
          <w:lang w:val="fr-FR"/>
        </w:rPr>
        <w:t>’</w:t>
      </w:r>
      <w:r>
        <w:rPr>
          <w:lang w:val="fr-FR"/>
        </w:rPr>
        <w:t>environnement, en particulier ceux qui concourent à la protection des personnes et des biens, à la sécurité sur terre, en mer et dans les airs, au développement économique durable et à la protection de l</w:t>
      </w:r>
      <w:r w:rsidR="005F6019">
        <w:rPr>
          <w:lang w:val="fr-FR"/>
        </w:rPr>
        <w:t>’</w:t>
      </w:r>
      <w:r>
        <w:rPr>
          <w:lang w:val="fr-FR"/>
        </w:rPr>
        <w:t>environnement. Pour atteindre cet objectif, l</w:t>
      </w:r>
      <w:r w:rsidR="005F6019">
        <w:rPr>
          <w:lang w:val="fr-FR"/>
        </w:rPr>
        <w:t>’</w:t>
      </w:r>
      <w:r>
        <w:rPr>
          <w:lang w:val="fr-FR"/>
        </w:rPr>
        <w:t>OMM s</w:t>
      </w:r>
      <w:r w:rsidR="005F6019">
        <w:rPr>
          <w:lang w:val="fr-FR"/>
        </w:rPr>
        <w:t>’</w:t>
      </w:r>
      <w:r>
        <w:rPr>
          <w:lang w:val="fr-FR"/>
        </w:rPr>
        <w:t>engage à adopter un dispositif de gestion de la qualité et à l</w:t>
      </w:r>
      <w:r w:rsidR="005F6019">
        <w:rPr>
          <w:lang w:val="fr-FR"/>
        </w:rPr>
        <w:t>’</w:t>
      </w:r>
      <w:r>
        <w:rPr>
          <w:lang w:val="fr-FR"/>
        </w:rPr>
        <w:t>appliquer dans l</w:t>
      </w:r>
      <w:r w:rsidR="005F6019">
        <w:rPr>
          <w:lang w:val="fr-FR"/>
        </w:rPr>
        <w:t>’</w:t>
      </w:r>
      <w:r>
        <w:rPr>
          <w:lang w:val="fr-FR"/>
        </w:rPr>
        <w:t>ensemble de l</w:t>
      </w:r>
      <w:r w:rsidR="005F6019">
        <w:rPr>
          <w:lang w:val="fr-FR"/>
        </w:rPr>
        <w:t>’</w:t>
      </w:r>
      <w:r>
        <w:rPr>
          <w:lang w:val="fr-FR"/>
        </w:rPr>
        <w:t xml:space="preserve">Organisation, tout en respectant ses principaux objectifs et priorités stratégiques. </w:t>
      </w:r>
    </w:p>
    <w:p w14:paraId="19C930B8" w14:textId="1AE171FB" w:rsidR="00770B34" w:rsidRPr="004709AF" w:rsidRDefault="00770B34" w:rsidP="00012937">
      <w:pPr>
        <w:pStyle w:val="WMOBodyText"/>
        <w:ind w:right="-170"/>
        <w:rPr>
          <w:lang w:val="fr-FR"/>
        </w:rPr>
      </w:pPr>
      <w:r>
        <w:rPr>
          <w:lang w:val="fr-FR"/>
        </w:rPr>
        <w:t xml:space="preserve">Ce dispositif donne aux </w:t>
      </w:r>
      <w:proofErr w:type="spellStart"/>
      <w:r>
        <w:rPr>
          <w:lang w:val="fr-FR"/>
        </w:rPr>
        <w:t>SMHN</w:t>
      </w:r>
      <w:proofErr w:type="spellEnd"/>
      <w:r>
        <w:rPr>
          <w:lang w:val="fr-FR"/>
        </w:rPr>
        <w:t xml:space="preserve"> des Membres de l</w:t>
      </w:r>
      <w:r w:rsidR="005F6019">
        <w:rPr>
          <w:lang w:val="fr-FR"/>
        </w:rPr>
        <w:t>’</w:t>
      </w:r>
      <w:r>
        <w:rPr>
          <w:lang w:val="fr-FR"/>
        </w:rPr>
        <w:t>OMM et à d</w:t>
      </w:r>
      <w:r w:rsidR="005F6019">
        <w:rPr>
          <w:lang w:val="fr-FR"/>
        </w:rPr>
        <w:t>’</w:t>
      </w:r>
      <w:r>
        <w:rPr>
          <w:lang w:val="fr-FR"/>
        </w:rPr>
        <w:t xml:space="preserve">autres parties prenantes un cadre les aidant à: </w:t>
      </w:r>
    </w:p>
    <w:p w14:paraId="565EC2D5" w14:textId="10415420" w:rsidR="00770B34" w:rsidRPr="004709AF" w:rsidRDefault="00770B34" w:rsidP="00C56689">
      <w:pPr>
        <w:pStyle w:val="WMOIndent2"/>
        <w:rPr>
          <w:lang w:val="fr-FR"/>
        </w:rPr>
      </w:pPr>
      <w:r>
        <w:rPr>
          <w:lang w:val="fr-FR"/>
        </w:rPr>
        <w:t>a)</w:t>
      </w:r>
      <w:r>
        <w:rPr>
          <w:lang w:val="fr-FR"/>
        </w:rPr>
        <w:tab/>
        <w:t xml:space="preserve">Comprendre leur mission ainsi que le contexte national et international dans lequel ils mènent leurs activités; </w:t>
      </w:r>
    </w:p>
    <w:p w14:paraId="0C6543DE" w14:textId="35451649" w:rsidR="00770B34" w:rsidRPr="004709AF" w:rsidRDefault="00770B34" w:rsidP="00C56689">
      <w:pPr>
        <w:pStyle w:val="WMOIndent2"/>
        <w:rPr>
          <w:lang w:val="fr-FR"/>
        </w:rPr>
      </w:pPr>
      <w:r>
        <w:rPr>
          <w:lang w:val="fr-FR"/>
        </w:rPr>
        <w:t>b)</w:t>
      </w:r>
      <w:r>
        <w:rPr>
          <w:lang w:val="fr-FR"/>
        </w:rPr>
        <w:tab/>
        <w:t xml:space="preserve">Planifier et établir leur orientation stratégique; </w:t>
      </w:r>
    </w:p>
    <w:p w14:paraId="23E95100" w14:textId="3674AD03" w:rsidR="00770B34" w:rsidRPr="004709AF" w:rsidRDefault="00770B34" w:rsidP="00C56689">
      <w:pPr>
        <w:pStyle w:val="WMOIndent2"/>
        <w:rPr>
          <w:lang w:val="fr-FR"/>
        </w:rPr>
      </w:pPr>
      <w:r>
        <w:rPr>
          <w:lang w:val="fr-FR"/>
        </w:rPr>
        <w:t>c)</w:t>
      </w:r>
      <w:r>
        <w:rPr>
          <w:lang w:val="fr-FR"/>
        </w:rPr>
        <w:tab/>
        <w:t xml:space="preserve">Déterminer et allouer les ressources qui conviennent pour parvenir aux objectifs prévus; </w:t>
      </w:r>
    </w:p>
    <w:p w14:paraId="48D52D10" w14:textId="351E124C" w:rsidR="00770B34" w:rsidRPr="004709AF" w:rsidRDefault="00770B34" w:rsidP="00C56689">
      <w:pPr>
        <w:pStyle w:val="WMOIndent2"/>
        <w:rPr>
          <w:lang w:val="fr-FR"/>
        </w:rPr>
      </w:pPr>
      <w:r>
        <w:rPr>
          <w:lang w:val="fr-FR"/>
        </w:rPr>
        <w:t>d)</w:t>
      </w:r>
      <w:r>
        <w:rPr>
          <w:lang w:val="fr-FR"/>
        </w:rPr>
        <w:tab/>
        <w:t xml:space="preserve">Assurer la gestion systématique de produits et services de qualité; et </w:t>
      </w:r>
    </w:p>
    <w:p w14:paraId="352EA444" w14:textId="5DB0CF04" w:rsidR="00770B34" w:rsidRPr="004709AF" w:rsidRDefault="00770B34" w:rsidP="00C56689">
      <w:pPr>
        <w:pStyle w:val="WMOIndent2"/>
        <w:rPr>
          <w:lang w:val="fr-FR"/>
        </w:rPr>
      </w:pPr>
      <w:r>
        <w:rPr>
          <w:lang w:val="fr-FR"/>
        </w:rPr>
        <w:t>e)</w:t>
      </w:r>
      <w:r>
        <w:rPr>
          <w:lang w:val="fr-FR"/>
        </w:rPr>
        <w:tab/>
        <w:t>Évaluer et réviser leurs pratiques, procédures et processus organisationnels pour s</w:t>
      </w:r>
      <w:r w:rsidR="005F6019">
        <w:rPr>
          <w:lang w:val="fr-FR"/>
        </w:rPr>
        <w:t>’</w:t>
      </w:r>
      <w:r>
        <w:rPr>
          <w:lang w:val="fr-FR"/>
        </w:rPr>
        <w:t xml:space="preserve">améliorer constamment. </w:t>
      </w:r>
    </w:p>
    <w:p w14:paraId="59609C4B" w14:textId="184C8216" w:rsidR="00770B34" w:rsidRPr="004709AF" w:rsidRDefault="00770B34" w:rsidP="00052518">
      <w:pPr>
        <w:pStyle w:val="WMOBodyText"/>
        <w:rPr>
          <w:lang w:val="fr-FR"/>
        </w:rPr>
      </w:pPr>
      <w:r>
        <w:rPr>
          <w:lang w:val="fr-FR"/>
        </w:rPr>
        <w:t>La présente Politique qualité de l</w:t>
      </w:r>
      <w:r w:rsidR="005F6019">
        <w:rPr>
          <w:lang w:val="fr-FR"/>
        </w:rPr>
        <w:t>’</w:t>
      </w:r>
      <w:r>
        <w:rPr>
          <w:lang w:val="fr-FR"/>
        </w:rPr>
        <w:t>OMM respecte les textes réglementaires et d</w:t>
      </w:r>
      <w:r w:rsidR="005F6019">
        <w:rPr>
          <w:lang w:val="fr-FR"/>
        </w:rPr>
        <w:t>’</w:t>
      </w:r>
      <w:r>
        <w:rPr>
          <w:lang w:val="fr-FR"/>
        </w:rPr>
        <w:t>orientation de l</w:t>
      </w:r>
      <w:r w:rsidR="005F6019">
        <w:rPr>
          <w:lang w:val="fr-FR"/>
        </w:rPr>
        <w:t>’</w:t>
      </w:r>
      <w:r>
        <w:rPr>
          <w:lang w:val="fr-FR"/>
        </w:rPr>
        <w:t>OMM et sera durablement étayée par le respect des exigences règlementaires au plan national et international ainsi que par l</w:t>
      </w:r>
      <w:r w:rsidR="005F6019">
        <w:rPr>
          <w:lang w:val="fr-FR"/>
        </w:rPr>
        <w:t>’</w:t>
      </w:r>
      <w:r>
        <w:rPr>
          <w:lang w:val="fr-FR"/>
        </w:rPr>
        <w:t>application pratique des principes de management de la qualité suivants</w:t>
      </w:r>
      <w:r w:rsidRPr="00897B41">
        <w:rPr>
          <w:vertAlign w:val="superscript"/>
          <w:lang w:val="fr-FR"/>
        </w:rPr>
        <w:footnoteReference w:id="2"/>
      </w:r>
      <w:r>
        <w:rPr>
          <w:lang w:val="fr-FR"/>
        </w:rPr>
        <w:t xml:space="preserve">: </w:t>
      </w:r>
    </w:p>
    <w:p w14:paraId="6A58D00C" w14:textId="509B0F1B" w:rsidR="00770B34" w:rsidRPr="00897B41" w:rsidRDefault="00770B34" w:rsidP="00D66CC3">
      <w:pPr>
        <w:spacing w:before="240"/>
        <w:ind w:left="1134" w:hanging="567"/>
        <w:jc w:val="left"/>
        <w:rPr>
          <w:i/>
          <w:iCs/>
        </w:rPr>
      </w:pPr>
      <w:r w:rsidRPr="004709AF">
        <w:rPr>
          <w:i/>
          <w:iCs/>
          <w:lang w:val="en-AU"/>
        </w:rPr>
        <w:t>a)</w:t>
      </w:r>
      <w:r w:rsidRPr="004709AF">
        <w:rPr>
          <w:lang w:val="en-AU"/>
        </w:rPr>
        <w:tab/>
      </w:r>
      <w:r w:rsidRPr="004709AF">
        <w:rPr>
          <w:i/>
          <w:iCs/>
          <w:lang w:val="en-AU"/>
        </w:rPr>
        <w:t xml:space="preserve">Orientation </w:t>
      </w:r>
      <w:proofErr w:type="gramStart"/>
      <w:r w:rsidRPr="004709AF">
        <w:rPr>
          <w:i/>
          <w:iCs/>
          <w:lang w:val="en-AU"/>
        </w:rPr>
        <w:t>client;</w:t>
      </w:r>
      <w:proofErr w:type="gramEnd"/>
      <w:r w:rsidRPr="004709AF">
        <w:rPr>
          <w:lang w:val="en-AU"/>
        </w:rPr>
        <w:t xml:space="preserve"> </w:t>
      </w:r>
    </w:p>
    <w:p w14:paraId="6C323E4A" w14:textId="679F623D" w:rsidR="00770B34" w:rsidRPr="00897B41" w:rsidRDefault="00770B34" w:rsidP="00D66CC3">
      <w:pPr>
        <w:spacing w:before="240"/>
        <w:ind w:left="1134" w:hanging="567"/>
        <w:jc w:val="left"/>
        <w:rPr>
          <w:i/>
          <w:iCs/>
        </w:rPr>
      </w:pPr>
      <w:r w:rsidRPr="004709AF">
        <w:rPr>
          <w:i/>
          <w:iCs/>
          <w:lang w:val="en-AU"/>
        </w:rPr>
        <w:t>b)</w:t>
      </w:r>
      <w:r w:rsidRPr="004709AF">
        <w:rPr>
          <w:lang w:val="en-AU"/>
        </w:rPr>
        <w:tab/>
      </w:r>
      <w:proofErr w:type="gramStart"/>
      <w:r w:rsidRPr="004709AF">
        <w:rPr>
          <w:i/>
          <w:iCs/>
          <w:lang w:val="en-AU"/>
        </w:rPr>
        <w:t>Leadership;</w:t>
      </w:r>
      <w:proofErr w:type="gramEnd"/>
      <w:r w:rsidRPr="004709AF">
        <w:rPr>
          <w:lang w:val="en-AU"/>
        </w:rPr>
        <w:t xml:space="preserve"> </w:t>
      </w:r>
    </w:p>
    <w:p w14:paraId="5E8C863B" w14:textId="6AF062B5" w:rsidR="00770B34" w:rsidRPr="004709AF" w:rsidRDefault="00770B34" w:rsidP="00D66CC3">
      <w:pPr>
        <w:spacing w:before="240"/>
        <w:ind w:left="1134" w:hanging="567"/>
        <w:jc w:val="left"/>
        <w:rPr>
          <w:i/>
          <w:iCs/>
          <w:lang w:val="fr-FR"/>
        </w:rPr>
      </w:pPr>
      <w:r>
        <w:rPr>
          <w:i/>
          <w:iCs/>
          <w:lang w:val="fr-FR"/>
        </w:rPr>
        <w:t>c)</w:t>
      </w:r>
      <w:r>
        <w:rPr>
          <w:lang w:val="fr-FR"/>
        </w:rPr>
        <w:tab/>
      </w:r>
      <w:r>
        <w:rPr>
          <w:i/>
          <w:iCs/>
          <w:lang w:val="fr-FR"/>
        </w:rPr>
        <w:t>Implication du personnel;</w:t>
      </w:r>
    </w:p>
    <w:p w14:paraId="50066E42" w14:textId="2307A43B" w:rsidR="00770B34" w:rsidRPr="004709AF" w:rsidRDefault="00770B34" w:rsidP="00D66CC3">
      <w:pPr>
        <w:spacing w:before="240"/>
        <w:ind w:left="1134" w:hanging="567"/>
        <w:jc w:val="left"/>
        <w:rPr>
          <w:i/>
          <w:iCs/>
          <w:lang w:val="fr-FR"/>
        </w:rPr>
      </w:pPr>
      <w:r>
        <w:rPr>
          <w:i/>
          <w:iCs/>
          <w:lang w:val="fr-FR"/>
        </w:rPr>
        <w:t>d)</w:t>
      </w:r>
      <w:r>
        <w:rPr>
          <w:lang w:val="fr-FR"/>
        </w:rPr>
        <w:tab/>
      </w:r>
      <w:r>
        <w:rPr>
          <w:i/>
          <w:iCs/>
          <w:lang w:val="fr-FR"/>
        </w:rPr>
        <w:t>Approche processus;</w:t>
      </w:r>
      <w:r>
        <w:rPr>
          <w:lang w:val="fr-FR"/>
        </w:rPr>
        <w:t xml:space="preserve"> </w:t>
      </w:r>
    </w:p>
    <w:p w14:paraId="21C0B83D" w14:textId="77342341" w:rsidR="00770B34" w:rsidRPr="004709AF" w:rsidRDefault="00770B34" w:rsidP="00D66CC3">
      <w:pPr>
        <w:spacing w:before="240"/>
        <w:ind w:left="1134" w:hanging="567"/>
        <w:jc w:val="left"/>
        <w:rPr>
          <w:i/>
          <w:iCs/>
          <w:lang w:val="fr-FR"/>
        </w:rPr>
      </w:pPr>
      <w:r>
        <w:rPr>
          <w:i/>
          <w:iCs/>
          <w:lang w:val="fr-FR"/>
        </w:rPr>
        <w:t>e)</w:t>
      </w:r>
      <w:r>
        <w:rPr>
          <w:lang w:val="fr-FR"/>
        </w:rPr>
        <w:tab/>
      </w:r>
      <w:r>
        <w:rPr>
          <w:i/>
          <w:iCs/>
          <w:lang w:val="fr-FR"/>
        </w:rPr>
        <w:t>Amélioration;</w:t>
      </w:r>
      <w:r>
        <w:rPr>
          <w:lang w:val="fr-FR"/>
        </w:rPr>
        <w:t xml:space="preserve"> </w:t>
      </w:r>
    </w:p>
    <w:p w14:paraId="7968C2F7" w14:textId="26395AD1" w:rsidR="00770B34" w:rsidRPr="004709AF" w:rsidRDefault="00770B34" w:rsidP="00D66CC3">
      <w:pPr>
        <w:spacing w:before="240"/>
        <w:ind w:left="1134" w:hanging="567"/>
        <w:jc w:val="left"/>
        <w:rPr>
          <w:i/>
          <w:iCs/>
          <w:lang w:val="fr-FR"/>
        </w:rPr>
      </w:pPr>
      <w:r>
        <w:rPr>
          <w:i/>
          <w:iCs/>
          <w:lang w:val="fr-FR"/>
        </w:rPr>
        <w:t>f)</w:t>
      </w:r>
      <w:r>
        <w:rPr>
          <w:lang w:val="fr-FR"/>
        </w:rPr>
        <w:tab/>
      </w:r>
      <w:r>
        <w:rPr>
          <w:i/>
          <w:iCs/>
          <w:lang w:val="fr-FR"/>
        </w:rPr>
        <w:t>Prise de décision fondée sur des preuves;</w:t>
      </w:r>
      <w:r>
        <w:rPr>
          <w:lang w:val="fr-FR"/>
        </w:rPr>
        <w:t xml:space="preserve"> et </w:t>
      </w:r>
    </w:p>
    <w:p w14:paraId="430C7085" w14:textId="015DD47A" w:rsidR="00770B34" w:rsidRPr="004709AF" w:rsidRDefault="00770B34" w:rsidP="00E16E5C">
      <w:pPr>
        <w:spacing w:before="240" w:after="240"/>
        <w:ind w:left="1134" w:hanging="567"/>
        <w:jc w:val="left"/>
        <w:rPr>
          <w:b/>
          <w:bCs/>
          <w:i/>
          <w:iCs/>
          <w:lang w:val="fr-FR"/>
        </w:rPr>
      </w:pPr>
      <w:r>
        <w:rPr>
          <w:i/>
          <w:iCs/>
          <w:lang w:val="fr-FR"/>
        </w:rPr>
        <w:t>g)</w:t>
      </w:r>
      <w:r>
        <w:rPr>
          <w:lang w:val="fr-FR"/>
        </w:rPr>
        <w:tab/>
      </w:r>
      <w:r>
        <w:rPr>
          <w:i/>
          <w:iCs/>
          <w:lang w:val="fr-FR"/>
        </w:rPr>
        <w:t>Management des relations avec les parties intéressées.</w:t>
      </w:r>
    </w:p>
    <w:p w14:paraId="4F4582A5" w14:textId="2475F862" w:rsidR="00770B34" w:rsidRPr="001B651F" w:rsidRDefault="00B36F3C" w:rsidP="00F270C3">
      <w:pPr>
        <w:pStyle w:val="ListParagraph"/>
        <w:numPr>
          <w:ilvl w:val="0"/>
          <w:numId w:val="5"/>
        </w:numPr>
        <w:spacing w:before="240" w:after="240" w:line="240" w:lineRule="auto"/>
        <w:ind w:left="567" w:right="-170" w:hanging="567"/>
        <w:contextualSpacing w:val="0"/>
        <w:rPr>
          <w:rFonts w:ascii="Verdana" w:hAnsi="Verdana"/>
          <w:sz w:val="20"/>
          <w:szCs w:val="20"/>
          <w:lang w:val="fr-FR"/>
        </w:rPr>
      </w:pPr>
      <w:hyperlink r:id="rId13" w:anchor="page=163" w:history="1">
        <w:r w:rsidR="001F18A7" w:rsidRPr="001B651F">
          <w:rPr>
            <w:rFonts w:ascii="Verdana" w:hAnsi="Verdana"/>
            <w:color w:val="0000FF"/>
            <w:sz w:val="20"/>
            <w:szCs w:val="20"/>
            <w:lang w:val="fr-FR"/>
          </w:rPr>
          <w:t>Résolution 20 (EC-69)</w:t>
        </w:r>
        <w:r w:rsidR="001F18A7" w:rsidRPr="001B651F">
          <w:rPr>
            <w:rFonts w:ascii="Verdana" w:hAnsi="Verdana"/>
            <w:sz w:val="20"/>
            <w:szCs w:val="20"/>
            <w:lang w:val="fr-FR"/>
          </w:rPr>
          <w:t xml:space="preserve"> – Modification du </w:t>
        </w:r>
        <w:r w:rsidR="001F18A7" w:rsidRPr="001B651F">
          <w:rPr>
            <w:rFonts w:ascii="Verdana" w:hAnsi="Verdana"/>
            <w:i/>
            <w:iCs/>
            <w:sz w:val="20"/>
            <w:szCs w:val="20"/>
            <w:lang w:val="fr-FR"/>
          </w:rPr>
          <w:t>Règlement technique</w:t>
        </w:r>
        <w:r w:rsidR="001F18A7" w:rsidRPr="001B651F">
          <w:rPr>
            <w:rFonts w:ascii="Verdana" w:hAnsi="Verdana"/>
            <w:sz w:val="20"/>
            <w:szCs w:val="20"/>
            <w:lang w:val="fr-FR"/>
          </w:rPr>
          <w:t xml:space="preserve"> (OMM-N° 49), Volume I – Pratiques météorologiques générales normalisées et recommandées (dispositions sur la gestion de la qualité.</w:t>
        </w:r>
      </w:hyperlink>
    </w:p>
    <w:p w14:paraId="38B1D619" w14:textId="3FFBC250" w:rsidR="00770B34" w:rsidRPr="004709AF" w:rsidRDefault="00770B34" w:rsidP="00F270C3">
      <w:pPr>
        <w:pStyle w:val="WMOBodyText"/>
        <w:spacing w:after="240"/>
        <w:ind w:right="-170"/>
        <w:rPr>
          <w:spacing w:val="-2"/>
          <w:lang w:val="fr-FR"/>
        </w:rPr>
      </w:pPr>
      <w:r>
        <w:rPr>
          <w:lang w:val="fr-FR"/>
        </w:rPr>
        <w:t xml:space="preserve">La </w:t>
      </w:r>
      <w:r w:rsidRPr="005B5B85">
        <w:rPr>
          <w:rStyle w:val="Hyperlink"/>
          <w:lang w:val="fr-FR"/>
        </w:rPr>
        <w:t>résolution 20 (EC-69)</w:t>
      </w:r>
      <w:r>
        <w:rPr>
          <w:lang w:val="fr-FR"/>
        </w:rPr>
        <w:t xml:space="preserve"> sur l</w:t>
      </w:r>
      <w:r w:rsidR="005F6019">
        <w:rPr>
          <w:lang w:val="fr-FR"/>
        </w:rPr>
        <w:t>’</w:t>
      </w:r>
      <w:r>
        <w:rPr>
          <w:lang w:val="fr-FR"/>
        </w:rPr>
        <w:t xml:space="preserve">amendement au </w:t>
      </w:r>
      <w:r w:rsidRPr="005B5B85">
        <w:rPr>
          <w:rStyle w:val="Hyperlink"/>
          <w:i/>
          <w:iCs/>
          <w:lang w:val="fr-FR"/>
        </w:rPr>
        <w:t>Règlement technique, Volume I: Normes météorologiques générales normalisées et recommandées</w:t>
      </w:r>
      <w:r>
        <w:rPr>
          <w:lang w:val="fr-FR"/>
        </w:rPr>
        <w:t xml:space="preserve"> (OMM-N° 49), identifie le besoin d</w:t>
      </w:r>
      <w:r w:rsidR="005F6019">
        <w:rPr>
          <w:lang w:val="fr-FR"/>
        </w:rPr>
        <w:t>’</w:t>
      </w:r>
      <w:r>
        <w:rPr>
          <w:lang w:val="fr-FR"/>
        </w:rPr>
        <w:t>améliorer les documents réglementaires et d</w:t>
      </w:r>
      <w:r w:rsidR="005F6019">
        <w:rPr>
          <w:lang w:val="fr-FR"/>
        </w:rPr>
        <w:t>’</w:t>
      </w:r>
      <w:r>
        <w:rPr>
          <w:lang w:val="fr-FR"/>
        </w:rPr>
        <w:t>orientation de l</w:t>
      </w:r>
      <w:r w:rsidR="005F6019">
        <w:rPr>
          <w:lang w:val="fr-FR"/>
        </w:rPr>
        <w:t>’</w:t>
      </w:r>
      <w:r>
        <w:rPr>
          <w:lang w:val="fr-FR"/>
        </w:rPr>
        <w:t xml:space="preserve">OMM sur la gestion de la qualité, conformément aux exigences et aux orientations stratégiques existantes, telles que la </w:t>
      </w:r>
      <w:r w:rsidR="00F8391B" w:rsidRPr="005B5B85">
        <w:rPr>
          <w:rStyle w:val="Hyperlink"/>
          <w:i/>
          <w:iCs/>
          <w:lang w:val="fr-FR"/>
        </w:rPr>
        <w:t xml:space="preserve">Stratégie </w:t>
      </w:r>
      <w:r w:rsidRPr="005B5B85">
        <w:rPr>
          <w:rStyle w:val="Hyperlink"/>
          <w:i/>
          <w:iCs/>
          <w:lang w:val="fr-FR"/>
        </w:rPr>
        <w:t>de l</w:t>
      </w:r>
      <w:r w:rsidR="005F6019" w:rsidRPr="005B5B85">
        <w:rPr>
          <w:rStyle w:val="Hyperlink"/>
          <w:i/>
          <w:iCs/>
          <w:lang w:val="fr-FR"/>
        </w:rPr>
        <w:t>’</w:t>
      </w:r>
      <w:r w:rsidRPr="005B5B85">
        <w:rPr>
          <w:rStyle w:val="Hyperlink"/>
          <w:i/>
          <w:iCs/>
          <w:lang w:val="fr-FR"/>
        </w:rPr>
        <w:t xml:space="preserve">OMM en matière de prestation de services </w:t>
      </w:r>
      <w:r>
        <w:rPr>
          <w:lang w:val="fr-FR"/>
        </w:rPr>
        <w:t>(OMM-N° 1129).</w:t>
      </w:r>
    </w:p>
    <w:p w14:paraId="196F54FA" w14:textId="77777777" w:rsidR="00770B34" w:rsidRPr="004709AF" w:rsidRDefault="00770B34" w:rsidP="000C7AE4">
      <w:pPr>
        <w:pStyle w:val="Heading3"/>
        <w:rPr>
          <w:lang w:val="fr-FR"/>
        </w:rPr>
      </w:pPr>
      <w:r>
        <w:rPr>
          <w:lang w:val="fr-FR"/>
        </w:rPr>
        <w:lastRenderedPageBreak/>
        <w:t>Options pour la certification de la gestion de la qualité des services climatologiques</w:t>
      </w:r>
    </w:p>
    <w:p w14:paraId="5F1BB0C4" w14:textId="77777777" w:rsidR="00770B34" w:rsidRPr="004709AF" w:rsidRDefault="00770B34" w:rsidP="00EA101C">
      <w:pPr>
        <w:pStyle w:val="WMOSubTitle1"/>
        <w:rPr>
          <w:lang w:val="fr-FR"/>
        </w:rPr>
      </w:pPr>
      <w:r>
        <w:rPr>
          <w:lang w:val="fr-FR"/>
        </w:rPr>
        <w:t xml:space="preserve">Option 1 (ISO 9001) </w:t>
      </w:r>
    </w:p>
    <w:p w14:paraId="44594703" w14:textId="50398233" w:rsidR="00770B34" w:rsidRPr="004709AF" w:rsidRDefault="00770B34" w:rsidP="00052518">
      <w:pPr>
        <w:pStyle w:val="WMOBodyText"/>
        <w:rPr>
          <w:lang w:val="fr-FR"/>
        </w:rPr>
      </w:pPr>
      <w:r>
        <w:rPr>
          <w:lang w:val="fr-FR"/>
        </w:rPr>
        <w:t>La norme ISO 9001 Systèmes de management de la qualité – Exigences (ISO 9001) est la seule norme de la famille des normes ISO 9001 dont un organisme peut obtenir la certification de conformité par un audit externe réalisé par un organisme de certification des systèmes de management de la qualité accrédité. L</w:t>
      </w:r>
      <w:r w:rsidR="005F6019">
        <w:rPr>
          <w:lang w:val="fr-FR"/>
        </w:rPr>
        <w:t>’</w:t>
      </w:r>
      <w:r>
        <w:rPr>
          <w:lang w:val="fr-FR"/>
        </w:rPr>
        <w:t>ISO 9001 fournit le cadre général permettant d</w:t>
      </w:r>
      <w:r w:rsidR="005F6019">
        <w:rPr>
          <w:lang w:val="fr-FR"/>
        </w:rPr>
        <w:t>’</w:t>
      </w:r>
      <w:r>
        <w:rPr>
          <w:lang w:val="fr-FR"/>
        </w:rPr>
        <w:t>assurer une gestion saine et cohérente de tout programme ou processus technique, qui conduit à la production de résultats et à leur livraison à la communauté des utilisateurs; il s</w:t>
      </w:r>
      <w:r w:rsidR="005F6019">
        <w:rPr>
          <w:lang w:val="fr-FR"/>
        </w:rPr>
        <w:t>’</w:t>
      </w:r>
      <w:r>
        <w:rPr>
          <w:lang w:val="fr-FR"/>
        </w:rPr>
        <w:t>agit de la norme générale et globale. Il s</w:t>
      </w:r>
      <w:r w:rsidR="005F6019">
        <w:rPr>
          <w:lang w:val="fr-FR"/>
        </w:rPr>
        <w:t>’</w:t>
      </w:r>
      <w:r>
        <w:rPr>
          <w:lang w:val="fr-FR"/>
        </w:rPr>
        <w:t>agit d</w:t>
      </w:r>
      <w:r w:rsidR="005F6019">
        <w:rPr>
          <w:lang w:val="fr-FR"/>
        </w:rPr>
        <w:t>’</w:t>
      </w:r>
      <w:r>
        <w:rPr>
          <w:lang w:val="fr-FR"/>
        </w:rPr>
        <w:t>une norme générique qui peut être appliquée à toute organisation, tant dans le secteur privé que public. Indépendamment des produits ou des services fournis par une organisation, elle garantit la gestion cohérente des processus, des pratiques et des procédures qui sous-tendent la production du produit et des services et les ressources nécessaires pour répondre aux normes de gestion internationales reconnues et acceptées fournies par l</w:t>
      </w:r>
      <w:r w:rsidR="005F6019">
        <w:rPr>
          <w:lang w:val="fr-FR"/>
        </w:rPr>
        <w:t>’</w:t>
      </w:r>
      <w:r>
        <w:rPr>
          <w:lang w:val="fr-FR"/>
        </w:rPr>
        <w:t>ISO 9001 et qui ont été certifiées par un organisme de certification accrédité au niveau international.</w:t>
      </w:r>
    </w:p>
    <w:p w14:paraId="300628F0" w14:textId="31698B0B" w:rsidR="00770B34" w:rsidRPr="004709AF" w:rsidRDefault="00770B34" w:rsidP="00052518">
      <w:pPr>
        <w:pStyle w:val="WMOBodyText"/>
        <w:rPr>
          <w:lang w:val="fr-FR"/>
        </w:rPr>
      </w:pPr>
      <w:r>
        <w:rPr>
          <w:lang w:val="fr-FR"/>
        </w:rPr>
        <w:t>La norme ISO 9001 a été adoptée avec succès par un nombre considérable de Membres de l</w:t>
      </w:r>
      <w:r w:rsidR="005F6019">
        <w:rPr>
          <w:lang w:val="fr-FR"/>
        </w:rPr>
        <w:t>’</w:t>
      </w:r>
      <w:r>
        <w:rPr>
          <w:lang w:val="fr-FR"/>
        </w:rPr>
        <w:t>OMM pour la fourniture de services météorologiques aéronautiques répondant aux exigences de l</w:t>
      </w:r>
      <w:r w:rsidR="005F6019">
        <w:rPr>
          <w:lang w:val="fr-FR"/>
        </w:rPr>
        <w:t>’</w:t>
      </w:r>
      <w:r>
        <w:rPr>
          <w:lang w:val="fr-FR"/>
        </w:rPr>
        <w:t>Annexe 3 de l</w:t>
      </w:r>
      <w:r w:rsidR="005F6019">
        <w:rPr>
          <w:lang w:val="fr-FR"/>
        </w:rPr>
        <w:t>’</w:t>
      </w:r>
      <w:r>
        <w:rPr>
          <w:lang w:val="fr-FR"/>
        </w:rPr>
        <w:t>Organisation de l</w:t>
      </w:r>
      <w:r w:rsidR="005F6019">
        <w:rPr>
          <w:lang w:val="fr-FR"/>
        </w:rPr>
        <w:t>’</w:t>
      </w:r>
      <w:r>
        <w:rPr>
          <w:lang w:val="fr-FR"/>
        </w:rPr>
        <w:t>aviation civile internationale (</w:t>
      </w:r>
      <w:proofErr w:type="spellStart"/>
      <w:r>
        <w:rPr>
          <w:lang w:val="fr-FR"/>
        </w:rPr>
        <w:t>OACI</w:t>
      </w:r>
      <w:proofErr w:type="spellEnd"/>
      <w:r>
        <w:rPr>
          <w:lang w:val="fr-FR"/>
        </w:rPr>
        <w:t xml:space="preserve">) et du </w:t>
      </w:r>
      <w:r w:rsidRPr="005B5B85">
        <w:rPr>
          <w:i/>
          <w:iCs/>
          <w:color w:val="0000FF"/>
          <w:lang w:val="fr-FR"/>
        </w:rPr>
        <w:t xml:space="preserve">Règlement technique, Volume II: Assistance météorologique à la navigation aérienne internationale </w:t>
      </w:r>
      <w:r>
        <w:rPr>
          <w:lang w:val="fr-FR"/>
        </w:rPr>
        <w:t xml:space="preserve">(OMM-N° 49). La norme fournit une approche holistique et précieuse de la manière dont les </w:t>
      </w:r>
      <w:proofErr w:type="spellStart"/>
      <w:r>
        <w:rPr>
          <w:lang w:val="fr-FR"/>
        </w:rPr>
        <w:t>SMHN</w:t>
      </w:r>
      <w:proofErr w:type="spellEnd"/>
      <w:r>
        <w:rPr>
          <w:lang w:val="fr-FR"/>
        </w:rPr>
        <w:t xml:space="preserve"> doivent gérer leurs activités. </w:t>
      </w:r>
    </w:p>
    <w:p w14:paraId="775D59C6" w14:textId="5589F5F2" w:rsidR="00770B34" w:rsidRPr="004709AF" w:rsidRDefault="00770B34" w:rsidP="00052518">
      <w:pPr>
        <w:pStyle w:val="WMOBodyText"/>
        <w:rPr>
          <w:lang w:val="fr-FR"/>
        </w:rPr>
      </w:pPr>
      <w:r>
        <w:rPr>
          <w:lang w:val="fr-FR"/>
        </w:rPr>
        <w:t>Il n</w:t>
      </w:r>
      <w:r w:rsidR="005F6019">
        <w:rPr>
          <w:lang w:val="fr-FR"/>
        </w:rPr>
        <w:t>’</w:t>
      </w:r>
      <w:r>
        <w:rPr>
          <w:lang w:val="fr-FR"/>
        </w:rPr>
        <w:t>existe pas de document conjoint ISO-OMM concernant la fourniture de services climatologiques, mais la norme ISO 9001 fournira le cadre essentiel pour assurer une gestion saine de tout programme ou processus technique conduisant à la production de résultats et à leur fourniture à la communauté des utilisateurs; il s</w:t>
      </w:r>
      <w:r w:rsidR="005F6019">
        <w:rPr>
          <w:lang w:val="fr-FR"/>
        </w:rPr>
        <w:t>’</w:t>
      </w:r>
      <w:r>
        <w:rPr>
          <w:lang w:val="fr-FR"/>
        </w:rPr>
        <w:t>agit d</w:t>
      </w:r>
      <w:r w:rsidR="005F6019">
        <w:rPr>
          <w:lang w:val="fr-FR"/>
        </w:rPr>
        <w:t>’</w:t>
      </w:r>
      <w:r>
        <w:rPr>
          <w:lang w:val="fr-FR"/>
        </w:rPr>
        <w:t xml:space="preserve">une norme générale et globale. La publication </w:t>
      </w:r>
      <w:proofErr w:type="spellStart"/>
      <w:r>
        <w:rPr>
          <w:lang w:val="fr-FR"/>
        </w:rPr>
        <w:t>WMO</w:t>
      </w:r>
      <w:proofErr w:type="spellEnd"/>
      <w:r>
        <w:rPr>
          <w:lang w:val="fr-FR"/>
        </w:rPr>
        <w:t xml:space="preserve">-No. 1221 (2018) détaille le cadre ISO 9001 dans le contexte de la chaîne de valeur des services climatologiques. </w:t>
      </w:r>
    </w:p>
    <w:p w14:paraId="5349F1EC" w14:textId="61D7632F" w:rsidR="00770B34" w:rsidRPr="004709AF" w:rsidRDefault="00770B34" w:rsidP="00052518">
      <w:pPr>
        <w:pStyle w:val="WMOBodyText"/>
        <w:rPr>
          <w:lang w:val="fr-FR"/>
        </w:rPr>
      </w:pPr>
      <w:r>
        <w:rPr>
          <w:lang w:val="fr-FR"/>
        </w:rPr>
        <w:t>La figure 1 (ci-dessous) donne un aperçu hiérarchique de la structure d</w:t>
      </w:r>
      <w:r w:rsidR="005F6019">
        <w:rPr>
          <w:lang w:val="fr-FR"/>
        </w:rPr>
        <w:t>’</w:t>
      </w:r>
      <w:r>
        <w:rPr>
          <w:lang w:val="fr-FR"/>
        </w:rPr>
        <w:t xml:space="preserve">accréditation et de certification qui fournit la certification aux </w:t>
      </w:r>
      <w:proofErr w:type="spellStart"/>
      <w:r>
        <w:rPr>
          <w:lang w:val="fr-FR"/>
        </w:rPr>
        <w:t>SMHN</w:t>
      </w:r>
      <w:proofErr w:type="spellEnd"/>
      <w:r>
        <w:rPr>
          <w:lang w:val="fr-FR"/>
        </w:rPr>
        <w:t>. Note: L</w:t>
      </w:r>
      <w:r w:rsidR="005F6019">
        <w:rPr>
          <w:lang w:val="fr-FR"/>
        </w:rPr>
        <w:t>’</w:t>
      </w:r>
      <w:r>
        <w:rPr>
          <w:lang w:val="fr-FR"/>
        </w:rPr>
        <w:t>ISO ne fournit pas de services d</w:t>
      </w:r>
      <w:r w:rsidR="005F6019">
        <w:rPr>
          <w:lang w:val="fr-FR"/>
        </w:rPr>
        <w:t>’</w:t>
      </w:r>
      <w:r>
        <w:rPr>
          <w:lang w:val="fr-FR"/>
        </w:rPr>
        <w:t xml:space="preserve">accréditation ou de certification. </w:t>
      </w:r>
    </w:p>
    <w:p w14:paraId="56D2C147" w14:textId="77777777" w:rsidR="00770B34" w:rsidRPr="00897B41" w:rsidRDefault="00770B34" w:rsidP="00054A7B">
      <w:pPr>
        <w:spacing w:before="240" w:line="252" w:lineRule="auto"/>
        <w:jc w:val="center"/>
      </w:pPr>
      <w:r w:rsidRPr="00897B41">
        <w:rPr>
          <w:noProof/>
        </w:rPr>
        <w:drawing>
          <wp:inline distT="0" distB="0" distL="0" distR="0" wp14:anchorId="42B27FCE" wp14:editId="54DDD169">
            <wp:extent cx="2143125" cy="2552606"/>
            <wp:effectExtent l="0" t="0" r="0" b="0"/>
            <wp:docPr id="823518589" name="Picture 8235185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18589" name="Picture 823518589"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2552606"/>
                    </a:xfrm>
                    <a:prstGeom prst="rect">
                      <a:avLst/>
                    </a:prstGeom>
                  </pic:spPr>
                </pic:pic>
              </a:graphicData>
            </a:graphic>
          </wp:inline>
        </w:drawing>
      </w:r>
    </w:p>
    <w:p w14:paraId="6E4D92C3" w14:textId="66741512" w:rsidR="00770B34" w:rsidRPr="001B651F" w:rsidRDefault="00770B34" w:rsidP="005A0C91">
      <w:pPr>
        <w:spacing w:before="240" w:line="252" w:lineRule="auto"/>
        <w:jc w:val="center"/>
        <w:rPr>
          <w:b/>
          <w:bCs/>
          <w:sz w:val="18"/>
          <w:szCs w:val="18"/>
          <w:lang w:val="fr-FR"/>
        </w:rPr>
      </w:pPr>
      <w:r w:rsidRPr="001B651F">
        <w:rPr>
          <w:b/>
          <w:bCs/>
          <w:lang w:val="fr-FR"/>
        </w:rPr>
        <w:t>Figure 1: Aperçu hiérarchique de la structure d</w:t>
      </w:r>
      <w:r w:rsidR="005F6019" w:rsidRPr="001B651F">
        <w:rPr>
          <w:b/>
          <w:bCs/>
          <w:lang w:val="fr-FR"/>
        </w:rPr>
        <w:t>’</w:t>
      </w:r>
      <w:r w:rsidRPr="001B651F">
        <w:rPr>
          <w:b/>
          <w:bCs/>
          <w:lang w:val="fr-FR"/>
        </w:rPr>
        <w:t>accréditation et de certification</w:t>
      </w:r>
      <w:r w:rsidR="001B651F">
        <w:rPr>
          <w:b/>
          <w:bCs/>
          <w:lang w:val="fr-FR"/>
        </w:rPr>
        <w:br/>
      </w:r>
      <w:r w:rsidRPr="001B651F">
        <w:rPr>
          <w:b/>
          <w:bCs/>
          <w:lang w:val="fr-FR"/>
        </w:rPr>
        <w:t xml:space="preserve">qui fournit la certification aux </w:t>
      </w:r>
      <w:proofErr w:type="spellStart"/>
      <w:r w:rsidRPr="001B651F">
        <w:rPr>
          <w:b/>
          <w:bCs/>
          <w:lang w:val="fr-FR"/>
        </w:rPr>
        <w:t>SMHN</w:t>
      </w:r>
      <w:proofErr w:type="spellEnd"/>
      <w:r w:rsidRPr="001B651F">
        <w:rPr>
          <w:b/>
          <w:bCs/>
          <w:lang w:val="fr-FR"/>
        </w:rPr>
        <w:t>.</w:t>
      </w:r>
    </w:p>
    <w:p w14:paraId="3104381B" w14:textId="77777777" w:rsidR="00770B34" w:rsidRPr="004709AF" w:rsidRDefault="00770B34" w:rsidP="00EA101C">
      <w:pPr>
        <w:pStyle w:val="WMOSubTitle1"/>
        <w:rPr>
          <w:lang w:val="fr-FR"/>
        </w:rPr>
      </w:pPr>
      <w:r>
        <w:rPr>
          <w:lang w:val="fr-FR"/>
        </w:rPr>
        <w:lastRenderedPageBreak/>
        <w:t>Option 2 (norme climatologique commune ISO-OMM)</w:t>
      </w:r>
    </w:p>
    <w:p w14:paraId="09E921A1" w14:textId="30F07EA8" w:rsidR="00770B34" w:rsidRPr="004709AF" w:rsidRDefault="00770B34" w:rsidP="00052518">
      <w:pPr>
        <w:pStyle w:val="WMOBodyText"/>
        <w:rPr>
          <w:lang w:val="fr-FR"/>
        </w:rPr>
      </w:pPr>
      <w:r>
        <w:rPr>
          <w:lang w:val="fr-FR"/>
        </w:rPr>
        <w:t>En ce qui concerne la fourniture de services climatiques, il n</w:t>
      </w:r>
      <w:r w:rsidR="005F6019">
        <w:rPr>
          <w:lang w:val="fr-FR"/>
        </w:rPr>
        <w:t>’</w:t>
      </w:r>
      <w:r>
        <w:rPr>
          <w:lang w:val="fr-FR"/>
        </w:rPr>
        <w:t>existe actuellement pas de norme commune ISO-OMM sur les services climatologiques. La norme ISO 9001 fournit le cadre général permettant d</w:t>
      </w:r>
      <w:r w:rsidR="005F6019">
        <w:rPr>
          <w:lang w:val="fr-FR"/>
        </w:rPr>
        <w:t>’</w:t>
      </w:r>
      <w:r>
        <w:rPr>
          <w:lang w:val="fr-FR"/>
        </w:rPr>
        <w:t>assurer une gestion saine et cohérente de tout programme ou processus technique conduisant à la production de résultats et à leur diffusion auprès de la communauté des utilisateurs.</w:t>
      </w:r>
    </w:p>
    <w:p w14:paraId="4FBBCB58" w14:textId="58C2F1AE" w:rsidR="00770B34" w:rsidRPr="004709AF" w:rsidRDefault="00770B34" w:rsidP="0084185D">
      <w:pPr>
        <w:pStyle w:val="WMOBodyText"/>
        <w:ind w:right="-170"/>
        <w:rPr>
          <w:lang w:val="fr-FR"/>
        </w:rPr>
      </w:pPr>
      <w:r>
        <w:rPr>
          <w:lang w:val="fr-FR"/>
        </w:rPr>
        <w:t>L</w:t>
      </w:r>
      <w:r w:rsidR="005F6019">
        <w:rPr>
          <w:lang w:val="fr-FR"/>
        </w:rPr>
        <w:t>’</w:t>
      </w:r>
      <w:r>
        <w:rPr>
          <w:lang w:val="fr-FR"/>
        </w:rPr>
        <w:t>élaboration d</w:t>
      </w:r>
      <w:r w:rsidR="005F6019">
        <w:rPr>
          <w:lang w:val="fr-FR"/>
        </w:rPr>
        <w:t>’</w:t>
      </w:r>
      <w:r>
        <w:rPr>
          <w:lang w:val="fr-FR"/>
        </w:rPr>
        <w:t>une norme climatologique commune ISO-OMM prendrait un temps considérable. Cette option peut être requise lorsqu</w:t>
      </w:r>
      <w:r w:rsidR="005F6019">
        <w:rPr>
          <w:lang w:val="fr-FR"/>
        </w:rPr>
        <w:t>’</w:t>
      </w:r>
      <w:r>
        <w:rPr>
          <w:lang w:val="fr-FR"/>
        </w:rPr>
        <w:t>il existe un avantage reconnu pour toutes les parties prenantes. Toutefois, en l</w:t>
      </w:r>
      <w:r w:rsidR="005F6019">
        <w:rPr>
          <w:lang w:val="fr-FR"/>
        </w:rPr>
        <w:t>’</w:t>
      </w:r>
      <w:r>
        <w:rPr>
          <w:lang w:val="fr-FR"/>
        </w:rPr>
        <w:t>absence d</w:t>
      </w:r>
      <w:r w:rsidR="005F6019">
        <w:rPr>
          <w:lang w:val="fr-FR"/>
        </w:rPr>
        <w:t>’</w:t>
      </w:r>
      <w:r>
        <w:rPr>
          <w:lang w:val="fr-FR"/>
        </w:rPr>
        <w:t>une telle exigence pour les services climatologiques, la norme ISO 9001 fournirait les exigences d</w:t>
      </w:r>
      <w:r w:rsidR="005F6019">
        <w:rPr>
          <w:lang w:val="fr-FR"/>
        </w:rPr>
        <w:t>’</w:t>
      </w:r>
      <w:r>
        <w:rPr>
          <w:lang w:val="fr-FR"/>
        </w:rPr>
        <w:t>un cadre de gestion global (voir option 1). Elle ne fournirait pas les exigences techniques détaillées et complètes applicables à la fourniture de produits et services climatologiques, mais permettrait toutefois d</w:t>
      </w:r>
      <w:r w:rsidR="005F6019">
        <w:rPr>
          <w:lang w:val="fr-FR"/>
        </w:rPr>
        <w:t>’</w:t>
      </w:r>
      <w:r>
        <w:rPr>
          <w:lang w:val="fr-FR"/>
        </w:rPr>
        <w:t xml:space="preserve">adopter une approche large et cohérente de la fourniture de produits et services climatologiques dans un cadre ISO 9001. </w:t>
      </w:r>
    </w:p>
    <w:p w14:paraId="7274CF19" w14:textId="4CD9E455" w:rsidR="00770B34" w:rsidRPr="004709AF" w:rsidRDefault="00770B34" w:rsidP="005A0D41">
      <w:pPr>
        <w:pStyle w:val="WMOBodyText"/>
        <w:ind w:right="-170"/>
        <w:rPr>
          <w:lang w:val="fr-FR"/>
        </w:rPr>
      </w:pPr>
      <w:r>
        <w:rPr>
          <w:lang w:val="fr-FR"/>
        </w:rPr>
        <w:t>L</w:t>
      </w:r>
      <w:r w:rsidR="005F6019">
        <w:rPr>
          <w:lang w:val="fr-FR"/>
        </w:rPr>
        <w:t>’</w:t>
      </w:r>
      <w:r>
        <w:rPr>
          <w:lang w:val="fr-FR"/>
        </w:rPr>
        <w:t>ensemble des documents réglementaires climatologiques de l</w:t>
      </w:r>
      <w:r w:rsidR="005F6019">
        <w:rPr>
          <w:lang w:val="fr-FR"/>
        </w:rPr>
        <w:t>’</w:t>
      </w:r>
      <w:r>
        <w:rPr>
          <w:lang w:val="fr-FR"/>
        </w:rPr>
        <w:t>OMM «Guides, Manuels, Directives, Orientations, et autres documents» fournirait les «références normatives» dans le cadre d</w:t>
      </w:r>
      <w:r w:rsidR="005F6019">
        <w:rPr>
          <w:lang w:val="fr-FR"/>
        </w:rPr>
        <w:t>’</w:t>
      </w:r>
      <w:r>
        <w:rPr>
          <w:lang w:val="fr-FR"/>
        </w:rPr>
        <w:t>un système de management de la qualité ISO 9001. Leur consolidation dans une norme commune ISO-OMM leur conférerait le statut et la crédibilité internationale dont la communauté climatologique de l</w:t>
      </w:r>
      <w:r w:rsidR="005F6019">
        <w:rPr>
          <w:lang w:val="fr-FR"/>
        </w:rPr>
        <w:t>’</w:t>
      </w:r>
      <w:r>
        <w:rPr>
          <w:lang w:val="fr-FR"/>
        </w:rPr>
        <w:t xml:space="preserve">OMM a besoin, dans cette voie, si elle est choisie. </w:t>
      </w:r>
    </w:p>
    <w:p w14:paraId="0639F403" w14:textId="7FB1FADA" w:rsidR="00770B34" w:rsidRPr="004709AF" w:rsidRDefault="00770B34" w:rsidP="00052518">
      <w:pPr>
        <w:pStyle w:val="WMOBodyText"/>
        <w:rPr>
          <w:lang w:val="fr-FR"/>
        </w:rPr>
      </w:pPr>
      <w:r>
        <w:rPr>
          <w:lang w:val="fr-FR"/>
        </w:rPr>
        <w:t>L</w:t>
      </w:r>
      <w:r w:rsidR="005F6019">
        <w:rPr>
          <w:lang w:val="fr-FR"/>
        </w:rPr>
        <w:t>’</w:t>
      </w:r>
      <w:r>
        <w:rPr>
          <w:lang w:val="fr-FR"/>
        </w:rPr>
        <w:t>OMM ayant déjà conclu un accord avec l</w:t>
      </w:r>
      <w:r w:rsidR="005F6019">
        <w:rPr>
          <w:lang w:val="fr-FR"/>
        </w:rPr>
        <w:t>’</w:t>
      </w:r>
      <w:r>
        <w:rPr>
          <w:lang w:val="fr-FR"/>
        </w:rPr>
        <w:t>ISO, l</w:t>
      </w:r>
      <w:r w:rsidR="005F6019">
        <w:rPr>
          <w:lang w:val="fr-FR"/>
        </w:rPr>
        <w:t>’</w:t>
      </w:r>
      <w:r>
        <w:rPr>
          <w:lang w:val="fr-FR"/>
        </w:rPr>
        <w:t>élaboration d</w:t>
      </w:r>
      <w:r w:rsidR="005F6019">
        <w:rPr>
          <w:lang w:val="fr-FR"/>
        </w:rPr>
        <w:t>’</w:t>
      </w:r>
      <w:r>
        <w:rPr>
          <w:lang w:val="fr-FR"/>
        </w:rPr>
        <w:t>une norme climatologique devrait en principe être relativement simple. Toutefois, comme indiqué précédemment, il y aurait un travail important à faire pour consolider et, le cas échéant, développer l</w:t>
      </w:r>
      <w:r w:rsidR="005F6019">
        <w:rPr>
          <w:lang w:val="fr-FR"/>
        </w:rPr>
        <w:t>’</w:t>
      </w:r>
      <w:r>
        <w:rPr>
          <w:lang w:val="fr-FR"/>
        </w:rPr>
        <w:t>ensemble actuel de documents réglementaires climatologiques de l</w:t>
      </w:r>
      <w:r w:rsidR="005F6019">
        <w:rPr>
          <w:lang w:val="fr-FR"/>
        </w:rPr>
        <w:t>’</w:t>
      </w:r>
      <w:r>
        <w:rPr>
          <w:lang w:val="fr-FR"/>
        </w:rPr>
        <w:t>OMM dans le format et la structure ISO dans lesquels les exigences seraient articulées. Par exemple, l</w:t>
      </w:r>
      <w:r w:rsidR="005F6019">
        <w:rPr>
          <w:lang w:val="fr-FR"/>
        </w:rPr>
        <w:t>’</w:t>
      </w:r>
      <w:r>
        <w:rPr>
          <w:lang w:val="fr-FR"/>
        </w:rPr>
        <w:t>utilisation des formes «doit» et «devrait» en termes d</w:t>
      </w:r>
      <w:r w:rsidR="005F6019">
        <w:rPr>
          <w:lang w:val="fr-FR"/>
        </w:rPr>
        <w:t>’</w:t>
      </w:r>
      <w:r>
        <w:rPr>
          <w:lang w:val="fr-FR"/>
        </w:rPr>
        <w:t>exigences, devrait être clarifiée.</w:t>
      </w:r>
    </w:p>
    <w:p w14:paraId="7852C95D" w14:textId="174C68A6" w:rsidR="00770B34" w:rsidRPr="004709AF" w:rsidRDefault="00770B34" w:rsidP="00052518">
      <w:pPr>
        <w:spacing w:before="240"/>
        <w:jc w:val="left"/>
        <w:rPr>
          <w:rStyle w:val="Hyperlink"/>
          <w:lang w:val="fr-FR"/>
        </w:rPr>
      </w:pPr>
      <w:r>
        <w:rPr>
          <w:lang w:val="fr-FR"/>
        </w:rPr>
        <w:t>Le lien suivant vers le site Web approprié de l</w:t>
      </w:r>
      <w:r w:rsidR="005F6019">
        <w:rPr>
          <w:lang w:val="fr-FR"/>
        </w:rPr>
        <w:t>’</w:t>
      </w:r>
      <w:r>
        <w:rPr>
          <w:lang w:val="fr-FR"/>
        </w:rPr>
        <w:t>ISO (voir ci-dessous) fournit un aperçu de cette discussion. Dans le cadre de cette option, une consultation approfondie entre l</w:t>
      </w:r>
      <w:r w:rsidR="005F6019">
        <w:rPr>
          <w:lang w:val="fr-FR"/>
        </w:rPr>
        <w:t>’</w:t>
      </w:r>
      <w:r>
        <w:rPr>
          <w:lang w:val="fr-FR"/>
        </w:rPr>
        <w:t>ISO et l</w:t>
      </w:r>
      <w:r w:rsidR="005F6019">
        <w:rPr>
          <w:lang w:val="fr-FR"/>
        </w:rPr>
        <w:t>’</w:t>
      </w:r>
      <w:r>
        <w:rPr>
          <w:lang w:val="fr-FR"/>
        </w:rPr>
        <w:t xml:space="preserve">OMM serait nécessaire. </w:t>
      </w:r>
      <w:hyperlink r:id="rId15" w:history="1">
        <w:r w:rsidR="001B651F" w:rsidRPr="00E62EDE">
          <w:rPr>
            <w:rStyle w:val="Hyperlink"/>
            <w:lang w:val="fr-FR"/>
          </w:rPr>
          <w:t>https://</w:t>
        </w:r>
        <w:proofErr w:type="spellStart"/>
        <w:r w:rsidR="001B651F" w:rsidRPr="00E62EDE">
          <w:rPr>
            <w:rStyle w:val="Hyperlink"/>
            <w:lang w:val="fr-FR"/>
          </w:rPr>
          <w:t>www.iso.org</w:t>
        </w:r>
        <w:proofErr w:type="spellEnd"/>
        <w:r w:rsidR="001B651F" w:rsidRPr="00E62EDE">
          <w:rPr>
            <w:rStyle w:val="Hyperlink"/>
            <w:lang w:val="fr-FR"/>
          </w:rPr>
          <w:t>/</w:t>
        </w:r>
        <w:proofErr w:type="spellStart"/>
        <w:r w:rsidR="001B651F" w:rsidRPr="00E62EDE">
          <w:rPr>
            <w:rStyle w:val="Hyperlink"/>
            <w:lang w:val="fr-FR"/>
          </w:rPr>
          <w:t>developing-standards.html</w:t>
        </w:r>
        <w:proofErr w:type="spellEnd"/>
      </w:hyperlink>
    </w:p>
    <w:p w14:paraId="1B03F06B" w14:textId="77777777" w:rsidR="00770B34" w:rsidRPr="00897B41" w:rsidRDefault="00770B34" w:rsidP="00054A7B">
      <w:pPr>
        <w:spacing w:before="240" w:line="252" w:lineRule="auto"/>
        <w:jc w:val="center"/>
      </w:pPr>
      <w:r w:rsidRPr="00897B41">
        <w:rPr>
          <w:noProof/>
        </w:rPr>
        <w:drawing>
          <wp:inline distT="0" distB="0" distL="0" distR="0" wp14:anchorId="5CB77F3C" wp14:editId="069915B0">
            <wp:extent cx="2849999" cy="3102040"/>
            <wp:effectExtent l="0" t="0" r="0" b="0"/>
            <wp:docPr id="2056406229" name="Picture 20564062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6229" name="Picture 2056406229"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9999" cy="3102040"/>
                    </a:xfrm>
                    <a:prstGeom prst="rect">
                      <a:avLst/>
                    </a:prstGeom>
                  </pic:spPr>
                </pic:pic>
              </a:graphicData>
            </a:graphic>
          </wp:inline>
        </w:drawing>
      </w:r>
    </w:p>
    <w:p w14:paraId="012B07A0" w14:textId="673A2395" w:rsidR="00770B34" w:rsidRPr="001B651F" w:rsidRDefault="00770B34" w:rsidP="005A0C91">
      <w:pPr>
        <w:spacing w:before="240" w:line="252" w:lineRule="auto"/>
        <w:jc w:val="center"/>
        <w:rPr>
          <w:b/>
          <w:bCs/>
          <w:sz w:val="18"/>
          <w:szCs w:val="18"/>
          <w:lang w:val="fr-FR"/>
        </w:rPr>
      </w:pPr>
      <w:r w:rsidRPr="001B651F">
        <w:rPr>
          <w:b/>
          <w:bCs/>
          <w:lang w:val="fr-FR"/>
        </w:rPr>
        <w:t>Figure 2: Une voie potentielle ISO-OMM pour établir une norme</w:t>
      </w:r>
      <w:r w:rsidR="001B651F">
        <w:rPr>
          <w:b/>
          <w:bCs/>
          <w:lang w:val="fr-FR"/>
        </w:rPr>
        <w:br/>
      </w:r>
      <w:r w:rsidRPr="001B651F">
        <w:rPr>
          <w:b/>
          <w:bCs/>
          <w:lang w:val="fr-FR"/>
        </w:rPr>
        <w:t>climatologique commune</w:t>
      </w:r>
    </w:p>
    <w:p w14:paraId="6AD034ED" w14:textId="7589ABF8" w:rsidR="00770B34" w:rsidRPr="001B651F" w:rsidRDefault="00770B34" w:rsidP="0084185D">
      <w:pPr>
        <w:pStyle w:val="ListParagraph"/>
        <w:numPr>
          <w:ilvl w:val="0"/>
          <w:numId w:val="5"/>
        </w:numPr>
        <w:spacing w:before="240" w:after="240" w:line="240" w:lineRule="auto"/>
        <w:ind w:left="567" w:hanging="567"/>
        <w:contextualSpacing w:val="0"/>
        <w:rPr>
          <w:rFonts w:ascii="Verdana" w:hAnsi="Verdana"/>
          <w:i/>
          <w:iCs/>
          <w:sz w:val="20"/>
          <w:szCs w:val="20"/>
          <w:u w:val="single"/>
          <w:lang w:val="fr-FR"/>
        </w:rPr>
      </w:pPr>
      <w:r w:rsidRPr="001B651F">
        <w:rPr>
          <w:rFonts w:ascii="Verdana" w:hAnsi="Verdana"/>
          <w:i/>
          <w:iCs/>
          <w:sz w:val="20"/>
          <w:szCs w:val="20"/>
          <w:lang w:val="fr-FR"/>
        </w:rPr>
        <w:lastRenderedPageBreak/>
        <w:t>Annexe SL (Note: le SL</w:t>
      </w:r>
      <w:r w:rsidRPr="001B651F">
        <w:rPr>
          <w:rStyle w:val="FootnoteReference"/>
          <w:rFonts w:ascii="Verdana" w:hAnsi="Verdana"/>
          <w:i/>
          <w:iCs/>
          <w:sz w:val="20"/>
          <w:szCs w:val="20"/>
          <w:lang w:val="fr-FR"/>
        </w:rPr>
        <w:footnoteReference w:id="3"/>
      </w:r>
      <w:r w:rsidRPr="001B651F">
        <w:rPr>
          <w:rFonts w:ascii="Verdana" w:hAnsi="Verdana"/>
          <w:i/>
          <w:iCs/>
          <w:sz w:val="20"/>
          <w:szCs w:val="20"/>
          <w:lang w:val="fr-FR"/>
        </w:rPr>
        <w:t xml:space="preserve"> n</w:t>
      </w:r>
      <w:r w:rsidR="005F6019" w:rsidRPr="001B651F">
        <w:rPr>
          <w:rFonts w:ascii="Verdana" w:hAnsi="Verdana"/>
          <w:i/>
          <w:iCs/>
          <w:sz w:val="20"/>
          <w:szCs w:val="20"/>
          <w:lang w:val="fr-FR"/>
        </w:rPr>
        <w:t>’</w:t>
      </w:r>
      <w:r w:rsidRPr="001B651F">
        <w:rPr>
          <w:rFonts w:ascii="Verdana" w:hAnsi="Verdana"/>
          <w:i/>
          <w:iCs/>
          <w:sz w:val="20"/>
          <w:szCs w:val="20"/>
          <w:lang w:val="fr-FR"/>
        </w:rPr>
        <w:t>est pas un acronyme)</w:t>
      </w:r>
    </w:p>
    <w:p w14:paraId="508B63F4" w14:textId="39C9D85C" w:rsidR="00770B34" w:rsidRPr="00897B41" w:rsidRDefault="00770B34" w:rsidP="00052518">
      <w:pPr>
        <w:pStyle w:val="WMOBodyText"/>
      </w:pPr>
      <w:r>
        <w:rPr>
          <w:lang w:val="fr-FR"/>
        </w:rPr>
        <w:t>L</w:t>
      </w:r>
      <w:r w:rsidR="005F6019">
        <w:rPr>
          <w:lang w:val="fr-FR"/>
        </w:rPr>
        <w:t>’</w:t>
      </w:r>
      <w:r>
        <w:rPr>
          <w:lang w:val="fr-FR"/>
        </w:rPr>
        <w:t>annexe SL fournit une structure de haut niveau pour les normes de systèmes de management de l</w:t>
      </w:r>
      <w:r w:rsidR="005F6019">
        <w:rPr>
          <w:lang w:val="fr-FR"/>
        </w:rPr>
        <w:t>’</w:t>
      </w:r>
      <w:r>
        <w:rPr>
          <w:lang w:val="fr-FR"/>
        </w:rPr>
        <w:t>ISO, et elle a été créée pour introduire un texte de base identique et des termes et définitions communs. Elle assure également la cohérence et la compatibilité entre les différentes normes du système de gestion. Elle aura pour mission de:</w:t>
      </w:r>
    </w:p>
    <w:p w14:paraId="0E8676C3" w14:textId="77777777" w:rsidR="00770B34" w:rsidRPr="00444EFB" w:rsidRDefault="003307A4" w:rsidP="002F1568">
      <w:pPr>
        <w:pStyle w:val="ListParagraph"/>
        <w:numPr>
          <w:ilvl w:val="0"/>
          <w:numId w:val="16"/>
        </w:numPr>
        <w:spacing w:before="240" w:after="120"/>
        <w:ind w:left="1134" w:hanging="567"/>
        <w:rPr>
          <w:rFonts w:ascii="Verdana" w:hAnsi="Verdana"/>
          <w:sz w:val="20"/>
          <w:szCs w:val="20"/>
        </w:rPr>
      </w:pPr>
      <w:r w:rsidRPr="00444EFB">
        <w:rPr>
          <w:rFonts w:ascii="Verdana" w:hAnsi="Verdana"/>
          <w:sz w:val="20"/>
          <w:szCs w:val="20"/>
          <w:lang w:val="fr-FR"/>
        </w:rPr>
        <w:t xml:space="preserve">Rationaliser les normes; </w:t>
      </w:r>
    </w:p>
    <w:p w14:paraId="5786D8A0" w14:textId="77777777" w:rsidR="00770B34" w:rsidRPr="00444EFB" w:rsidRDefault="003307A4" w:rsidP="002F1568">
      <w:pPr>
        <w:pStyle w:val="ListParagraph"/>
        <w:numPr>
          <w:ilvl w:val="0"/>
          <w:numId w:val="16"/>
        </w:numPr>
        <w:spacing w:before="240" w:after="120"/>
        <w:ind w:left="1134" w:hanging="567"/>
        <w:rPr>
          <w:rFonts w:ascii="Verdana" w:hAnsi="Verdana"/>
          <w:sz w:val="20"/>
          <w:szCs w:val="20"/>
        </w:rPr>
      </w:pPr>
      <w:r w:rsidRPr="00444EFB">
        <w:rPr>
          <w:rFonts w:ascii="Verdana" w:hAnsi="Verdana"/>
          <w:sz w:val="20"/>
          <w:szCs w:val="20"/>
          <w:lang w:val="fr-FR"/>
        </w:rPr>
        <w:t xml:space="preserve">Encourager la normalisation; et </w:t>
      </w:r>
    </w:p>
    <w:p w14:paraId="6B315E65" w14:textId="7014771C" w:rsidR="00770B34" w:rsidRPr="00444EFB" w:rsidRDefault="003307A4" w:rsidP="002F1568">
      <w:pPr>
        <w:pStyle w:val="ListParagraph"/>
        <w:numPr>
          <w:ilvl w:val="0"/>
          <w:numId w:val="16"/>
        </w:numPr>
        <w:spacing w:before="240" w:after="120"/>
        <w:ind w:left="1134" w:hanging="567"/>
        <w:rPr>
          <w:rFonts w:ascii="Verdana" w:hAnsi="Verdana"/>
          <w:sz w:val="20"/>
          <w:szCs w:val="20"/>
          <w:lang w:val="fr-FR"/>
        </w:rPr>
      </w:pPr>
      <w:r w:rsidRPr="00444EFB">
        <w:rPr>
          <w:rFonts w:ascii="Verdana" w:hAnsi="Verdana"/>
          <w:sz w:val="20"/>
          <w:szCs w:val="20"/>
          <w:lang w:val="fr-FR"/>
        </w:rPr>
        <w:t>Faciliter l</w:t>
      </w:r>
      <w:r w:rsidR="005F6019" w:rsidRPr="00444EFB">
        <w:rPr>
          <w:rFonts w:ascii="Verdana" w:hAnsi="Verdana"/>
          <w:sz w:val="20"/>
          <w:szCs w:val="20"/>
          <w:lang w:val="fr-FR"/>
        </w:rPr>
        <w:t>’</w:t>
      </w:r>
      <w:r w:rsidRPr="00444EFB">
        <w:rPr>
          <w:rFonts w:ascii="Verdana" w:hAnsi="Verdana"/>
          <w:sz w:val="20"/>
          <w:szCs w:val="20"/>
          <w:lang w:val="fr-FR"/>
        </w:rPr>
        <w:t>intégration des systèmes de gestion</w:t>
      </w:r>
    </w:p>
    <w:p w14:paraId="5FFF3496" w14:textId="6A50CBA9" w:rsidR="00770B34" w:rsidRPr="004709AF" w:rsidRDefault="00770B34" w:rsidP="00052518">
      <w:pPr>
        <w:pStyle w:val="WMOBodyText"/>
        <w:rPr>
          <w:lang w:val="fr-FR"/>
        </w:rPr>
      </w:pPr>
      <w:r>
        <w:rPr>
          <w:lang w:val="fr-FR"/>
        </w:rPr>
        <w:t>Il est prévu que les clauses principales de haut niveau d</w:t>
      </w:r>
      <w:r w:rsidR="005F6019">
        <w:rPr>
          <w:lang w:val="fr-FR"/>
        </w:rPr>
        <w:t>’</w:t>
      </w:r>
      <w:r>
        <w:rPr>
          <w:lang w:val="fr-FR"/>
        </w:rPr>
        <w:t>une norme climatologique commune reflètent les clauses actuelles de l</w:t>
      </w:r>
      <w:r w:rsidR="005F6019">
        <w:rPr>
          <w:lang w:val="fr-FR"/>
        </w:rPr>
        <w:t>’</w:t>
      </w:r>
      <w:r>
        <w:rPr>
          <w:lang w:val="fr-FR"/>
        </w:rPr>
        <w:t>ISO 9001, mais qu</w:t>
      </w:r>
      <w:r w:rsidR="005F6019">
        <w:rPr>
          <w:lang w:val="fr-FR"/>
        </w:rPr>
        <w:t>’</w:t>
      </w:r>
      <w:r>
        <w:rPr>
          <w:lang w:val="fr-FR"/>
        </w:rPr>
        <w:t xml:space="preserve">elles soient, le cas échéant, renommées pour refléter le sujet climatologique abordé dans les domaines suivants: </w:t>
      </w:r>
    </w:p>
    <w:p w14:paraId="5C914DE9" w14:textId="4D0CB334"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Ampleur </w:t>
      </w:r>
    </w:p>
    <w:p w14:paraId="4D66C14E" w14:textId="7B43BB50"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Références normatives </w:t>
      </w:r>
    </w:p>
    <w:p w14:paraId="7A12A91F" w14:textId="7075DBB4"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Termes et définitions climatologiques </w:t>
      </w:r>
    </w:p>
    <w:p w14:paraId="38EEF7A8" w14:textId="3A96C170"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Contexte de l</w:t>
      </w:r>
      <w:r w:rsidR="005F6019" w:rsidRPr="00444EFB">
        <w:rPr>
          <w:rFonts w:ascii="Verdana" w:hAnsi="Verdana"/>
          <w:sz w:val="20"/>
          <w:szCs w:val="20"/>
          <w:lang w:val="fr-FR"/>
        </w:rPr>
        <w:t>’</w:t>
      </w:r>
      <w:r w:rsidRPr="00444EFB">
        <w:rPr>
          <w:rFonts w:ascii="Verdana" w:hAnsi="Verdana"/>
          <w:sz w:val="20"/>
          <w:szCs w:val="20"/>
          <w:lang w:val="fr-FR"/>
        </w:rPr>
        <w:t xml:space="preserve">organisation </w:t>
      </w:r>
    </w:p>
    <w:p w14:paraId="429FC95D" w14:textId="19D1983F"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Leadership </w:t>
      </w:r>
    </w:p>
    <w:p w14:paraId="06FCCCC1" w14:textId="18CA6FD9"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Planification </w:t>
      </w:r>
    </w:p>
    <w:p w14:paraId="2B47C508" w14:textId="29318BD6"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Appui </w:t>
      </w:r>
    </w:p>
    <w:p w14:paraId="7B5E913B" w14:textId="6CCE4677" w:rsidR="00770B34" w:rsidRPr="00444EFB" w:rsidRDefault="00770B34" w:rsidP="00B649BA">
      <w:pPr>
        <w:pStyle w:val="ListParagraph"/>
        <w:numPr>
          <w:ilvl w:val="0"/>
          <w:numId w:val="17"/>
        </w:numPr>
        <w:spacing w:before="240" w:after="120"/>
        <w:ind w:left="1134" w:hanging="567"/>
        <w:rPr>
          <w:rFonts w:ascii="Verdana" w:hAnsi="Verdana"/>
          <w:sz w:val="20"/>
          <w:szCs w:val="20"/>
          <w:lang w:val="fr-FR"/>
        </w:rPr>
      </w:pPr>
      <w:r w:rsidRPr="00444EFB">
        <w:rPr>
          <w:rFonts w:ascii="Verdana" w:hAnsi="Verdana"/>
          <w:sz w:val="20"/>
          <w:szCs w:val="20"/>
          <w:lang w:val="fr-FR"/>
        </w:rPr>
        <w:t xml:space="preserve">Exploitation (ou: Pratiques et procédures climatologiques) </w:t>
      </w:r>
    </w:p>
    <w:p w14:paraId="75F66FA7" w14:textId="40722623"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 xml:space="preserve">Évaluation des services </w:t>
      </w:r>
    </w:p>
    <w:p w14:paraId="0A26572D" w14:textId="77777777" w:rsidR="00770B34" w:rsidRPr="00444EFB" w:rsidRDefault="00770B34" w:rsidP="00B649BA">
      <w:pPr>
        <w:pStyle w:val="ListParagraph"/>
        <w:numPr>
          <w:ilvl w:val="0"/>
          <w:numId w:val="17"/>
        </w:numPr>
        <w:spacing w:before="240" w:after="120"/>
        <w:ind w:left="1134" w:hanging="567"/>
        <w:rPr>
          <w:rFonts w:ascii="Verdana" w:hAnsi="Verdana"/>
          <w:sz w:val="20"/>
          <w:szCs w:val="20"/>
        </w:rPr>
      </w:pPr>
      <w:r w:rsidRPr="00444EFB">
        <w:rPr>
          <w:rFonts w:ascii="Verdana" w:hAnsi="Verdana"/>
          <w:sz w:val="20"/>
          <w:szCs w:val="20"/>
          <w:lang w:val="fr-FR"/>
        </w:rPr>
        <w:t>Amélioration</w:t>
      </w:r>
    </w:p>
    <w:p w14:paraId="7BEB1669" w14:textId="273B8AAC" w:rsidR="00770B34" w:rsidRPr="004709AF" w:rsidRDefault="00770B34" w:rsidP="00052518">
      <w:pPr>
        <w:pStyle w:val="WMOBodyText"/>
        <w:rPr>
          <w:lang w:val="fr-FR"/>
        </w:rPr>
      </w:pPr>
      <w:r>
        <w:rPr>
          <w:lang w:val="fr-FR"/>
        </w:rPr>
        <w:t>En tant que telle, il semblerait approprié que toute nouvelle norme climatologique commune ISO-OMM soit élaborée dans le format de l</w:t>
      </w:r>
      <w:r w:rsidR="005F6019">
        <w:rPr>
          <w:lang w:val="fr-FR"/>
        </w:rPr>
        <w:t>’</w:t>
      </w:r>
      <w:r>
        <w:rPr>
          <w:lang w:val="fr-FR"/>
        </w:rPr>
        <w:t xml:space="preserve">annexe SL. </w:t>
      </w:r>
    </w:p>
    <w:p w14:paraId="04C7BBC6" w14:textId="0D798A87" w:rsidR="00770B34" w:rsidRPr="004709AF" w:rsidRDefault="00770B34" w:rsidP="00052518">
      <w:pPr>
        <w:pStyle w:val="WMOBodyText"/>
        <w:rPr>
          <w:lang w:val="fr-FR"/>
        </w:rPr>
      </w:pPr>
      <w:r>
        <w:rPr>
          <w:lang w:val="fr-FR"/>
        </w:rPr>
        <w:t>Si tel était le cas, on pourrait prévoir qu</w:t>
      </w:r>
      <w:r w:rsidR="005F6019">
        <w:rPr>
          <w:lang w:val="fr-FR"/>
        </w:rPr>
        <w:t>’</w:t>
      </w:r>
      <w:r>
        <w:rPr>
          <w:lang w:val="fr-FR"/>
        </w:rPr>
        <w:t>une nouvelle norme climatologique commune ISO-OMM, si elle est jugée certifiable, pourrait potentiellement remplacer (pour la fourniture de produits et de services climatologiques) la norme de gestion générique ISO 9001 à l</w:t>
      </w:r>
      <w:r w:rsidR="005F6019">
        <w:rPr>
          <w:lang w:val="fr-FR"/>
        </w:rPr>
        <w:t>’</w:t>
      </w:r>
      <w:r>
        <w:rPr>
          <w:lang w:val="fr-FR"/>
        </w:rPr>
        <w:t>avenir. Toutefois, dans l</w:t>
      </w:r>
      <w:r w:rsidR="005F6019">
        <w:rPr>
          <w:lang w:val="fr-FR"/>
        </w:rPr>
        <w:t>’</w:t>
      </w:r>
      <w:r>
        <w:rPr>
          <w:lang w:val="fr-FR"/>
        </w:rPr>
        <w:t>intervalle (quelques années, selon nous), il est impératif d</w:t>
      </w:r>
      <w:r w:rsidR="005F6019">
        <w:rPr>
          <w:lang w:val="fr-FR"/>
        </w:rPr>
        <w:t>’</w:t>
      </w:r>
      <w:r>
        <w:rPr>
          <w:lang w:val="fr-FR"/>
        </w:rPr>
        <w:t xml:space="preserve">adopter une approche de gestion de la qualité dans le cadre de la norme ISO 9001. On peut penser que le passage à la nouvelle norme climatologique ISO-OMM serait relativement simple pour les services climatologiques déjà certifiés conformes à la norme ISO 9001. </w:t>
      </w:r>
    </w:p>
    <w:p w14:paraId="7D7B57B1" w14:textId="77777777" w:rsidR="00770B34" w:rsidRPr="00444EFB" w:rsidRDefault="00770B34" w:rsidP="00B649BA">
      <w:pPr>
        <w:pStyle w:val="ListParagraph"/>
        <w:numPr>
          <w:ilvl w:val="0"/>
          <w:numId w:val="5"/>
        </w:numPr>
        <w:spacing w:before="240" w:line="252" w:lineRule="auto"/>
        <w:ind w:left="567" w:hanging="567"/>
        <w:rPr>
          <w:rFonts w:ascii="Verdana" w:hAnsi="Verdana"/>
          <w:i/>
          <w:iCs/>
          <w:sz w:val="20"/>
          <w:szCs w:val="20"/>
          <w:lang w:val="fr-FR"/>
        </w:rPr>
      </w:pPr>
      <w:r w:rsidRPr="00444EFB">
        <w:rPr>
          <w:rFonts w:ascii="Verdana" w:hAnsi="Verdana"/>
          <w:i/>
          <w:iCs/>
          <w:sz w:val="20"/>
          <w:szCs w:val="20"/>
          <w:lang w:val="fr-FR"/>
        </w:rPr>
        <w:t>Audit et certification de la nouvelle norme climatologique commune ISO-OMM</w:t>
      </w:r>
    </w:p>
    <w:p w14:paraId="7FE02D6A" w14:textId="772EDE6C" w:rsidR="00770B34" w:rsidRPr="004709AF" w:rsidRDefault="00770B34" w:rsidP="00444EFB">
      <w:pPr>
        <w:pStyle w:val="WMOBodyText"/>
        <w:rPr>
          <w:lang w:val="fr-FR"/>
        </w:rPr>
      </w:pPr>
      <w:r>
        <w:rPr>
          <w:lang w:val="fr-FR"/>
        </w:rPr>
        <w:t>Si l</w:t>
      </w:r>
      <w:r w:rsidR="005F6019">
        <w:rPr>
          <w:lang w:val="fr-FR"/>
        </w:rPr>
        <w:t>’</w:t>
      </w:r>
      <w:r>
        <w:rPr>
          <w:lang w:val="fr-FR"/>
        </w:rPr>
        <w:t>on suppose que l</w:t>
      </w:r>
      <w:r w:rsidR="005F6019">
        <w:rPr>
          <w:lang w:val="fr-FR"/>
        </w:rPr>
        <w:t>’</w:t>
      </w:r>
      <w:r>
        <w:rPr>
          <w:lang w:val="fr-FR"/>
        </w:rPr>
        <w:t>OMM souhaite que la nouvelle norme climatologique conjointe ISO-OMM soit certifiable par un organisme d</w:t>
      </w:r>
      <w:r w:rsidR="005F6019">
        <w:rPr>
          <w:lang w:val="fr-FR"/>
        </w:rPr>
        <w:t>’</w:t>
      </w:r>
      <w:r>
        <w:rPr>
          <w:lang w:val="fr-FR"/>
        </w:rPr>
        <w:t>audit externe, il sera difficile d</w:t>
      </w:r>
      <w:r w:rsidR="005F6019">
        <w:rPr>
          <w:lang w:val="fr-FR"/>
        </w:rPr>
        <w:t>’</w:t>
      </w:r>
      <w:r>
        <w:rPr>
          <w:lang w:val="fr-FR"/>
        </w:rPr>
        <w:t>identifier un organisme de certification approprié possédant un niveau spécifique d</w:t>
      </w:r>
      <w:r w:rsidR="005F6019">
        <w:rPr>
          <w:lang w:val="fr-FR"/>
        </w:rPr>
        <w:t>’</w:t>
      </w:r>
      <w:r>
        <w:rPr>
          <w:lang w:val="fr-FR"/>
        </w:rPr>
        <w:t>expertise technique dans le domaine des services climatologiques. Par conséquent, une partie de ce processus devrait également inclure la formation du personnel approprié pour qu</w:t>
      </w:r>
      <w:r w:rsidR="005F6019">
        <w:rPr>
          <w:lang w:val="fr-FR"/>
        </w:rPr>
        <w:t>’</w:t>
      </w:r>
      <w:r>
        <w:rPr>
          <w:lang w:val="fr-FR"/>
        </w:rPr>
        <w:t>il soit capable d</w:t>
      </w:r>
      <w:r w:rsidR="005F6019">
        <w:rPr>
          <w:lang w:val="fr-FR"/>
        </w:rPr>
        <w:t>’</w:t>
      </w:r>
      <w:r>
        <w:rPr>
          <w:lang w:val="fr-FR"/>
        </w:rPr>
        <w:t>effectuer des audits par rapport à la norme proposée. Voir la section 4</w:t>
      </w:r>
    </w:p>
    <w:p w14:paraId="563B2F1F" w14:textId="78D18FBC" w:rsidR="00770B34" w:rsidRPr="004709AF" w:rsidRDefault="00770B34" w:rsidP="00052518">
      <w:pPr>
        <w:pStyle w:val="WMOBodyText"/>
        <w:rPr>
          <w:lang w:val="fr-FR"/>
        </w:rPr>
      </w:pPr>
      <w:r>
        <w:rPr>
          <w:lang w:val="fr-FR"/>
        </w:rPr>
        <w:t>Il est fortement recommandé que la capacité d</w:t>
      </w:r>
      <w:r w:rsidR="005F6019">
        <w:rPr>
          <w:lang w:val="fr-FR"/>
        </w:rPr>
        <w:t>’</w:t>
      </w:r>
      <w:r>
        <w:rPr>
          <w:lang w:val="fr-FR"/>
        </w:rPr>
        <w:t>audit ne se fonde pas uniquement sur les qualifications universitaires et l</w:t>
      </w:r>
      <w:r w:rsidR="005F6019">
        <w:rPr>
          <w:lang w:val="fr-FR"/>
        </w:rPr>
        <w:t>’</w:t>
      </w:r>
      <w:r>
        <w:rPr>
          <w:lang w:val="fr-FR"/>
        </w:rPr>
        <w:t>expérience en climatologie, ainsi que les compétences et les connaissances climatologiques. Il est absolument impératif que le personnel assumant des fonctions d</w:t>
      </w:r>
      <w:r w:rsidR="005F6019">
        <w:rPr>
          <w:lang w:val="fr-FR"/>
        </w:rPr>
        <w:t>’</w:t>
      </w:r>
      <w:r>
        <w:rPr>
          <w:lang w:val="fr-FR"/>
        </w:rPr>
        <w:t>audit soit formé et qualifié en tant qu</w:t>
      </w:r>
      <w:r w:rsidR="005F6019">
        <w:rPr>
          <w:lang w:val="fr-FR"/>
        </w:rPr>
        <w:t>’</w:t>
      </w:r>
      <w:r>
        <w:rPr>
          <w:lang w:val="fr-FR"/>
        </w:rPr>
        <w:t>auditeur principal conformément aux normes internationales en vigueur, telles que celles reconnues par le Conseil des normes internationales d</w:t>
      </w:r>
      <w:r w:rsidR="005F6019">
        <w:rPr>
          <w:lang w:val="fr-FR"/>
        </w:rPr>
        <w:t>’</w:t>
      </w:r>
      <w:r>
        <w:rPr>
          <w:lang w:val="fr-FR"/>
        </w:rPr>
        <w:t>audit et d</w:t>
      </w:r>
      <w:r w:rsidR="005F6019">
        <w:rPr>
          <w:lang w:val="fr-FR"/>
        </w:rPr>
        <w:t>’</w:t>
      </w:r>
      <w:r>
        <w:rPr>
          <w:lang w:val="fr-FR"/>
        </w:rPr>
        <w:t>assurance et les exigences du Registre international des auditeurs certifiés (</w:t>
      </w:r>
      <w:proofErr w:type="spellStart"/>
      <w:r>
        <w:rPr>
          <w:lang w:val="fr-FR"/>
        </w:rPr>
        <w:t>IRCA</w:t>
      </w:r>
      <w:proofErr w:type="spellEnd"/>
      <w:r>
        <w:rPr>
          <w:lang w:val="fr-FR"/>
        </w:rPr>
        <w:t xml:space="preserve">). </w:t>
      </w:r>
    </w:p>
    <w:p w14:paraId="378B9C97" w14:textId="4DB4C4E1" w:rsidR="00770B34" w:rsidRPr="004709AF" w:rsidRDefault="00770B34" w:rsidP="00C56689">
      <w:pPr>
        <w:spacing w:before="240" w:line="252" w:lineRule="auto"/>
        <w:jc w:val="left"/>
        <w:rPr>
          <w:i/>
          <w:iCs/>
          <w:lang w:val="fr-FR"/>
        </w:rPr>
      </w:pPr>
      <w:r>
        <w:rPr>
          <w:lang w:val="fr-FR"/>
        </w:rPr>
        <w:lastRenderedPageBreak/>
        <w:t>Note: Tous les auditeurs effectuant des audits au nom de l</w:t>
      </w:r>
      <w:r w:rsidR="005F6019">
        <w:rPr>
          <w:lang w:val="fr-FR"/>
        </w:rPr>
        <w:t>’</w:t>
      </w:r>
      <w:r>
        <w:rPr>
          <w:lang w:val="fr-FR"/>
        </w:rPr>
        <w:t>OMM doivent être qualifiés d</w:t>
      </w:r>
      <w:r w:rsidR="005F6019">
        <w:rPr>
          <w:lang w:val="fr-FR"/>
        </w:rPr>
        <w:t>’</w:t>
      </w:r>
      <w:r>
        <w:rPr>
          <w:lang w:val="fr-FR"/>
        </w:rPr>
        <w:t xml:space="preserve">auditeurs principaux. </w:t>
      </w:r>
    </w:p>
    <w:p w14:paraId="02032F04" w14:textId="15B7C87E" w:rsidR="00770B34" w:rsidRPr="004709AF" w:rsidRDefault="00770B34" w:rsidP="00052518">
      <w:pPr>
        <w:pStyle w:val="WMOBodyText"/>
        <w:rPr>
          <w:lang w:val="fr-FR"/>
        </w:rPr>
      </w:pPr>
      <w:r>
        <w:rPr>
          <w:lang w:val="fr-FR"/>
        </w:rPr>
        <w:t>La combinaison des qualifications universitaires en climatologie, des niveaux de compétence reconnus par l</w:t>
      </w:r>
      <w:r w:rsidR="005F6019">
        <w:rPr>
          <w:lang w:val="fr-FR"/>
        </w:rPr>
        <w:t>’</w:t>
      </w:r>
      <w:r>
        <w:rPr>
          <w:lang w:val="fr-FR"/>
        </w:rPr>
        <w:t>OMM et des compétences de l</w:t>
      </w:r>
      <w:r w:rsidR="005F6019">
        <w:rPr>
          <w:lang w:val="fr-FR"/>
        </w:rPr>
        <w:t>’</w:t>
      </w:r>
      <w:r>
        <w:rPr>
          <w:lang w:val="fr-FR"/>
        </w:rPr>
        <w:t xml:space="preserve">auditeur principal permettra aux </w:t>
      </w:r>
      <w:proofErr w:type="spellStart"/>
      <w:r>
        <w:rPr>
          <w:lang w:val="fr-FR"/>
        </w:rPr>
        <w:t>SMHN</w:t>
      </w:r>
      <w:proofErr w:type="spellEnd"/>
      <w:r>
        <w:rPr>
          <w:lang w:val="fr-FR"/>
        </w:rPr>
        <w:t xml:space="preserve"> d</w:t>
      </w:r>
      <w:r w:rsidR="005F6019">
        <w:rPr>
          <w:lang w:val="fr-FR"/>
        </w:rPr>
        <w:t>’</w:t>
      </w:r>
      <w:r>
        <w:rPr>
          <w:lang w:val="fr-FR"/>
        </w:rPr>
        <w:t>exploiter les résultats d</w:t>
      </w:r>
      <w:r w:rsidR="005F6019">
        <w:rPr>
          <w:lang w:val="fr-FR"/>
        </w:rPr>
        <w:t>’</w:t>
      </w:r>
      <w:r>
        <w:rPr>
          <w:lang w:val="fr-FR"/>
        </w:rPr>
        <w:t>un audit professionnel afin de s</w:t>
      </w:r>
      <w:r w:rsidR="005F6019">
        <w:rPr>
          <w:lang w:val="fr-FR"/>
        </w:rPr>
        <w:t>’</w:t>
      </w:r>
      <w:r>
        <w:rPr>
          <w:lang w:val="fr-FR"/>
        </w:rPr>
        <w:t>améliorer continuellement et, surtout, de ne pas saper la crédibilité même de la norme climatologique proposée. Il permet également de s</w:t>
      </w:r>
      <w:r w:rsidR="005F6019">
        <w:rPr>
          <w:lang w:val="fr-FR"/>
        </w:rPr>
        <w:t>’</w:t>
      </w:r>
      <w:r>
        <w:rPr>
          <w:lang w:val="fr-FR"/>
        </w:rPr>
        <w:t>assurer que les auditeurs disposent des compétences et des capacités requises pour réaliser l</w:t>
      </w:r>
      <w:r w:rsidR="005F6019">
        <w:rPr>
          <w:lang w:val="fr-FR"/>
        </w:rPr>
        <w:t>’</w:t>
      </w:r>
      <w:r>
        <w:rPr>
          <w:lang w:val="fr-FR"/>
        </w:rPr>
        <w:t xml:space="preserve">audit de manière efficace. </w:t>
      </w:r>
    </w:p>
    <w:p w14:paraId="4F2F5DFB" w14:textId="1C17159A" w:rsidR="00770B34" w:rsidRPr="004709AF" w:rsidRDefault="00770B34" w:rsidP="00EA101C">
      <w:pPr>
        <w:pStyle w:val="WMOSubTitle1"/>
        <w:rPr>
          <w:lang w:val="fr-FR"/>
        </w:rPr>
      </w:pPr>
      <w:r>
        <w:rPr>
          <w:lang w:val="fr-FR"/>
        </w:rPr>
        <w:t>Option 3 (vérification du système de gestion de la qualité de l</w:t>
      </w:r>
      <w:r w:rsidR="005F6019">
        <w:rPr>
          <w:lang w:val="fr-FR"/>
        </w:rPr>
        <w:t>’</w:t>
      </w:r>
      <w:r>
        <w:rPr>
          <w:lang w:val="fr-FR"/>
        </w:rPr>
        <w:t xml:space="preserve">OMM et certification de la conformité des services climatologiques) </w:t>
      </w:r>
    </w:p>
    <w:p w14:paraId="6735427F" w14:textId="559E9F9F" w:rsidR="00770B34" w:rsidRPr="004709AF" w:rsidRDefault="00770B34" w:rsidP="00052518">
      <w:pPr>
        <w:pStyle w:val="WMOBodyText"/>
        <w:rPr>
          <w:lang w:val="fr-FR"/>
        </w:rPr>
      </w:pPr>
      <w:r>
        <w:rPr>
          <w:lang w:val="fr-FR"/>
        </w:rPr>
        <w:t>L</w:t>
      </w:r>
      <w:r w:rsidR="005F6019">
        <w:rPr>
          <w:lang w:val="fr-FR"/>
        </w:rPr>
        <w:t>’</w:t>
      </w:r>
      <w:r>
        <w:rPr>
          <w:lang w:val="fr-FR"/>
        </w:rPr>
        <w:t>option 3 encourage vivement les Membres de l</w:t>
      </w:r>
      <w:r w:rsidR="005F6019">
        <w:rPr>
          <w:lang w:val="fr-FR"/>
        </w:rPr>
        <w:t>’</w:t>
      </w:r>
      <w:r>
        <w:rPr>
          <w:lang w:val="fr-FR"/>
        </w:rPr>
        <w:t>OMM à adopter une approche de gestion de la qualité pour la fourniture de leurs produits et services climatologiques et à obtenir la certification de conformité à la norme ISO 9001. Toutefois, l</w:t>
      </w:r>
      <w:r w:rsidR="005F6019">
        <w:rPr>
          <w:lang w:val="fr-FR"/>
        </w:rPr>
        <w:t>’</w:t>
      </w:r>
      <w:r>
        <w:rPr>
          <w:lang w:val="fr-FR"/>
        </w:rPr>
        <w:t>OMM est un organisme de normalisation technique qui surveille la mise en œuvre du cadre réglementaire technique de l</w:t>
      </w:r>
      <w:r w:rsidR="005F6019">
        <w:rPr>
          <w:lang w:val="fr-FR"/>
        </w:rPr>
        <w:t>’</w:t>
      </w:r>
      <w:r>
        <w:rPr>
          <w:lang w:val="fr-FR"/>
        </w:rPr>
        <w:t>OMM et le développe de manière cohérente par tous les organes techniques concernés, tels que la Commission des observations, des infrastructures et des systèmes d</w:t>
      </w:r>
      <w:r w:rsidR="005F6019">
        <w:rPr>
          <w:lang w:val="fr-FR"/>
        </w:rPr>
        <w:t>’</w:t>
      </w:r>
      <w:r>
        <w:rPr>
          <w:lang w:val="fr-FR"/>
        </w:rPr>
        <w:t xml:space="preserve">information (Commission des infrastructures – </w:t>
      </w:r>
      <w:proofErr w:type="spellStart"/>
      <w:r>
        <w:rPr>
          <w:lang w:val="fr-FR"/>
        </w:rPr>
        <w:t>INFCOM</w:t>
      </w:r>
      <w:proofErr w:type="spellEnd"/>
      <w:r>
        <w:rPr>
          <w:lang w:val="fr-FR"/>
        </w:rPr>
        <w:t>) et la Commission des services et applications se rapportant au temps, au climat, à l</w:t>
      </w:r>
      <w:r w:rsidR="005F6019">
        <w:rPr>
          <w:lang w:val="fr-FR"/>
        </w:rPr>
        <w:t>’</w:t>
      </w:r>
      <w:r>
        <w:rPr>
          <w:lang w:val="fr-FR"/>
        </w:rPr>
        <w:t>eau et à l</w:t>
      </w:r>
      <w:r w:rsidR="005F6019">
        <w:rPr>
          <w:lang w:val="fr-FR"/>
        </w:rPr>
        <w:t>’</w:t>
      </w:r>
      <w:r>
        <w:rPr>
          <w:lang w:val="fr-FR"/>
        </w:rPr>
        <w:t xml:space="preserve">environnement (Commission des services – </w:t>
      </w:r>
      <w:proofErr w:type="spellStart"/>
      <w:r>
        <w:rPr>
          <w:lang w:val="fr-FR"/>
        </w:rPr>
        <w:t>SERCOM</w:t>
      </w:r>
      <w:proofErr w:type="spellEnd"/>
      <w:r>
        <w:rPr>
          <w:lang w:val="fr-FR"/>
        </w:rPr>
        <w:t>). Cette dernière contribuera à l</w:t>
      </w:r>
      <w:r w:rsidR="005F6019">
        <w:rPr>
          <w:lang w:val="fr-FR"/>
        </w:rPr>
        <w:t>’</w:t>
      </w:r>
      <w:r>
        <w:rPr>
          <w:lang w:val="fr-FR"/>
        </w:rPr>
        <w:t>élaboration, à la mise en œuvre et à la gestion continue de services et d</w:t>
      </w:r>
      <w:r w:rsidR="005F6019">
        <w:rPr>
          <w:lang w:val="fr-FR"/>
        </w:rPr>
        <w:t>’</w:t>
      </w:r>
      <w:r>
        <w:rPr>
          <w:lang w:val="fr-FR"/>
        </w:rPr>
        <w:t>applications se rapportant au temps, au climat, à l</w:t>
      </w:r>
      <w:r w:rsidR="005F6019">
        <w:rPr>
          <w:lang w:val="fr-FR"/>
        </w:rPr>
        <w:t>’</w:t>
      </w:r>
      <w:r>
        <w:rPr>
          <w:lang w:val="fr-FR"/>
        </w:rPr>
        <w:t>eau et à l</w:t>
      </w:r>
      <w:r w:rsidR="005F6019">
        <w:rPr>
          <w:lang w:val="fr-FR"/>
        </w:rPr>
        <w:t>’</w:t>
      </w:r>
      <w:r>
        <w:rPr>
          <w:lang w:val="fr-FR"/>
        </w:rPr>
        <w:t>environnement, harmonisés à l</w:t>
      </w:r>
      <w:r w:rsidR="005F6019">
        <w:rPr>
          <w:lang w:val="fr-FR"/>
        </w:rPr>
        <w:t>’</w:t>
      </w:r>
      <w:r>
        <w:rPr>
          <w:lang w:val="fr-FR"/>
        </w:rPr>
        <w:t>échelle du globe, qui seront propices à une prise de décision éclairée et procureront des avantages socio-économiques à tous les groupes d</w:t>
      </w:r>
      <w:r w:rsidR="005F6019">
        <w:rPr>
          <w:lang w:val="fr-FR"/>
        </w:rPr>
        <w:t>’</w:t>
      </w:r>
      <w:r>
        <w:rPr>
          <w:lang w:val="fr-FR"/>
        </w:rPr>
        <w:t>utilisateurs et à la société dans son ensemble.</w:t>
      </w:r>
    </w:p>
    <w:p w14:paraId="0144EA97" w14:textId="6023C504" w:rsidR="00770B34" w:rsidRPr="004709AF" w:rsidRDefault="00770B34" w:rsidP="00052518">
      <w:pPr>
        <w:pStyle w:val="WMOBodyText"/>
        <w:rPr>
          <w:lang w:val="fr-FR"/>
        </w:rPr>
      </w:pPr>
      <w:r>
        <w:rPr>
          <w:lang w:val="fr-FR"/>
        </w:rPr>
        <w:t>Dans le cadre de l</w:t>
      </w:r>
      <w:r w:rsidR="005F6019">
        <w:rPr>
          <w:lang w:val="fr-FR"/>
        </w:rPr>
        <w:t>’</w:t>
      </w:r>
      <w:r>
        <w:rPr>
          <w:lang w:val="fr-FR"/>
        </w:rPr>
        <w:t>option 3, les éléments suivants sont considérés comme des composantes essentielles d</w:t>
      </w:r>
      <w:r w:rsidR="005F6019">
        <w:rPr>
          <w:lang w:val="fr-FR"/>
        </w:rPr>
        <w:t>’</w:t>
      </w:r>
      <w:r>
        <w:rPr>
          <w:lang w:val="fr-FR"/>
        </w:rPr>
        <w:t>une norme climatologique «autonome» proposée par l</w:t>
      </w:r>
      <w:r w:rsidR="005F6019">
        <w:rPr>
          <w:lang w:val="fr-FR"/>
        </w:rPr>
        <w:t>’</w:t>
      </w:r>
      <w:r>
        <w:rPr>
          <w:lang w:val="fr-FR"/>
        </w:rPr>
        <w:t>OMM (élaborée indépendamment de l</w:t>
      </w:r>
      <w:r w:rsidR="005F6019">
        <w:rPr>
          <w:lang w:val="fr-FR"/>
        </w:rPr>
        <w:t>’</w:t>
      </w:r>
      <w:r>
        <w:rPr>
          <w:lang w:val="fr-FR"/>
        </w:rPr>
        <w:t>ISO):</w:t>
      </w:r>
    </w:p>
    <w:p w14:paraId="4BE85E46" w14:textId="77777777" w:rsidR="00C74600" w:rsidRPr="00897B41" w:rsidRDefault="00770B34" w:rsidP="00B649BA">
      <w:pPr>
        <w:pStyle w:val="WMOIndent1"/>
        <w:numPr>
          <w:ilvl w:val="2"/>
          <w:numId w:val="1"/>
        </w:numPr>
        <w:ind w:left="567" w:hanging="567"/>
      </w:pPr>
      <w:r>
        <w:rPr>
          <w:u w:val="single"/>
          <w:lang w:val="fr-FR"/>
        </w:rPr>
        <w:t>Approche processus</w:t>
      </w:r>
    </w:p>
    <w:p w14:paraId="2C757ED8" w14:textId="268854CF" w:rsidR="00770B34" w:rsidRPr="00897B41" w:rsidRDefault="00770B34" w:rsidP="00C74600">
      <w:pPr>
        <w:pStyle w:val="WMOIndent1"/>
        <w:ind w:firstLine="0"/>
      </w:pPr>
      <w:r>
        <w:rPr>
          <w:lang w:val="fr-FR"/>
        </w:rPr>
        <w:t>Dans ce cas, les processus, pratiques et procédures climatiques reconnus/approuvés par l</w:t>
      </w:r>
      <w:r w:rsidR="005F6019">
        <w:rPr>
          <w:lang w:val="fr-FR"/>
        </w:rPr>
        <w:t>’</w:t>
      </w:r>
      <w:r>
        <w:rPr>
          <w:lang w:val="fr-FR"/>
        </w:rPr>
        <w:t>OMM sont adoptés/adaptés dans le cadre d</w:t>
      </w:r>
      <w:r w:rsidR="005F6019">
        <w:rPr>
          <w:lang w:val="fr-FR"/>
        </w:rPr>
        <w:t>’</w:t>
      </w:r>
      <w:r>
        <w:rPr>
          <w:lang w:val="fr-FR"/>
        </w:rPr>
        <w:t xml:space="preserve">un système de management de la qualité ISO 9001 et sont appliqués plus spécifiquement aux services climatologiques dans les domaines des données, de la surveillance, des prévisions et de la prestation de services. Les processus pour chacun de ces domaines sont élaborés dans la publication </w:t>
      </w:r>
      <w:proofErr w:type="spellStart"/>
      <w:r>
        <w:rPr>
          <w:lang w:val="fr-FR"/>
        </w:rPr>
        <w:t>WMO</w:t>
      </w:r>
      <w:proofErr w:type="spellEnd"/>
      <w:r>
        <w:rPr>
          <w:lang w:val="fr-FR"/>
        </w:rPr>
        <w:t xml:space="preserve">-No. 1221 (2018). </w:t>
      </w:r>
    </w:p>
    <w:p w14:paraId="328FFA7D" w14:textId="77777777" w:rsidR="00040C6E" w:rsidRPr="00897B41" w:rsidRDefault="00770B34" w:rsidP="00071363">
      <w:pPr>
        <w:pStyle w:val="WMOIndent1"/>
        <w:keepNext/>
        <w:keepLines/>
        <w:numPr>
          <w:ilvl w:val="2"/>
          <w:numId w:val="1"/>
        </w:numPr>
        <w:ind w:left="567" w:hanging="567"/>
        <w:rPr>
          <w:u w:val="single"/>
        </w:rPr>
      </w:pPr>
      <w:r>
        <w:rPr>
          <w:u w:val="single"/>
          <w:lang w:val="fr-FR"/>
        </w:rPr>
        <w:t>Normes techniques</w:t>
      </w:r>
    </w:p>
    <w:p w14:paraId="588954F7" w14:textId="69402F50" w:rsidR="00040C6E" w:rsidRPr="004709AF" w:rsidRDefault="00770B34" w:rsidP="00444EFB">
      <w:pPr>
        <w:pStyle w:val="WMOIndent1"/>
        <w:ind w:firstLine="0"/>
        <w:rPr>
          <w:lang w:val="fr-FR"/>
        </w:rPr>
      </w:pPr>
      <w:r>
        <w:rPr>
          <w:lang w:val="fr-FR"/>
        </w:rPr>
        <w:t>L</w:t>
      </w:r>
      <w:r w:rsidR="005F6019">
        <w:rPr>
          <w:lang w:val="fr-FR"/>
        </w:rPr>
        <w:t>’</w:t>
      </w:r>
      <w:r>
        <w:rPr>
          <w:lang w:val="fr-FR"/>
        </w:rPr>
        <w:t xml:space="preserve">OMM a publié des règlementations techniques, qui </w:t>
      </w:r>
      <w:r w:rsidRPr="00E724B1">
        <w:rPr>
          <w:i/>
          <w:iCs/>
          <w:u w:val="single"/>
          <w:lang w:val="fr-FR"/>
        </w:rPr>
        <w:t>doivent</w:t>
      </w:r>
      <w:r>
        <w:rPr>
          <w:lang w:val="fr-FR"/>
        </w:rPr>
        <w:t xml:space="preserve"> être mis en œuvre par les </w:t>
      </w:r>
      <w:proofErr w:type="spellStart"/>
      <w:r>
        <w:rPr>
          <w:lang w:val="fr-FR"/>
        </w:rPr>
        <w:t>SMHN</w:t>
      </w:r>
      <w:proofErr w:type="spellEnd"/>
      <w:r>
        <w:rPr>
          <w:lang w:val="fr-FR"/>
        </w:rPr>
        <w:t>, complétés par un grand nombre de guides, de manuels et de documents d</w:t>
      </w:r>
      <w:r w:rsidR="005F6019">
        <w:rPr>
          <w:lang w:val="fr-FR"/>
        </w:rPr>
        <w:t>’</w:t>
      </w:r>
      <w:r>
        <w:rPr>
          <w:lang w:val="fr-FR"/>
        </w:rPr>
        <w:t xml:space="preserve">orientation qui doivent être pris en considération en tant que pratiques générales </w:t>
      </w:r>
      <w:proofErr w:type="spellStart"/>
      <w:r>
        <w:rPr>
          <w:lang w:val="fr-FR"/>
        </w:rPr>
        <w:t>normatisées</w:t>
      </w:r>
      <w:proofErr w:type="spellEnd"/>
      <w:r>
        <w:rPr>
          <w:lang w:val="fr-FR"/>
        </w:rPr>
        <w:t xml:space="preserve"> et recommandées. Ces documents constituent collectivement la base réglementaire et décrivent les bonnes pratiques, les procédures et les spécifications que les Membres sont encouragés à appliquer dans leurs services pour assurer la conformité ou le respect des normes de l</w:t>
      </w:r>
      <w:r w:rsidR="005F6019">
        <w:rPr>
          <w:lang w:val="fr-FR"/>
        </w:rPr>
        <w:t>’</w:t>
      </w:r>
      <w:r>
        <w:rPr>
          <w:lang w:val="fr-FR"/>
        </w:rPr>
        <w:t xml:space="preserve">OMM. </w:t>
      </w:r>
    </w:p>
    <w:p w14:paraId="7893F0CD" w14:textId="1FB48BA8" w:rsidR="00770B34" w:rsidRPr="00444EFB" w:rsidRDefault="00770B34" w:rsidP="00444EFB">
      <w:pPr>
        <w:pStyle w:val="WMOIndent1"/>
        <w:ind w:firstLine="0"/>
        <w:rPr>
          <w:lang w:val="fr-FR"/>
        </w:rPr>
      </w:pPr>
      <w:r>
        <w:rPr>
          <w:lang w:val="fr-FR"/>
        </w:rPr>
        <w:t>Pour une liste non exhaustive des normes climatologiques et des pratiques recommandées de l</w:t>
      </w:r>
      <w:r w:rsidR="005F6019">
        <w:rPr>
          <w:lang w:val="fr-FR"/>
        </w:rPr>
        <w:t>’</w:t>
      </w:r>
      <w:r>
        <w:rPr>
          <w:lang w:val="fr-FR"/>
        </w:rPr>
        <w:t>OMM, voir l</w:t>
      </w:r>
      <w:r w:rsidR="005F6019">
        <w:rPr>
          <w:lang w:val="fr-FR"/>
        </w:rPr>
        <w:t>’</w:t>
      </w:r>
      <w:r>
        <w:rPr>
          <w:lang w:val="fr-FR"/>
        </w:rPr>
        <w:t>annexe I. L</w:t>
      </w:r>
      <w:r w:rsidR="005F6019">
        <w:rPr>
          <w:lang w:val="fr-FR"/>
        </w:rPr>
        <w:t>’</w:t>
      </w:r>
      <w:r>
        <w:rPr>
          <w:lang w:val="fr-FR"/>
        </w:rPr>
        <w:t>inventaire des documents réglementaires de l</w:t>
      </w:r>
      <w:r w:rsidR="005F6019">
        <w:rPr>
          <w:lang w:val="fr-FR"/>
        </w:rPr>
        <w:t>’</w:t>
      </w:r>
      <w:r>
        <w:rPr>
          <w:lang w:val="fr-FR"/>
        </w:rPr>
        <w:t>OMM relatifs aux pratiques climatologiques sera complété en consultation avec les équipes d</w:t>
      </w:r>
      <w:r w:rsidR="005F6019">
        <w:rPr>
          <w:lang w:val="fr-FR"/>
        </w:rPr>
        <w:t>’</w:t>
      </w:r>
      <w:r>
        <w:rPr>
          <w:lang w:val="fr-FR"/>
        </w:rPr>
        <w:t>experts dans le cadre de la composition du SC-CLI afin de faire correspondre au mieux les publications de l</w:t>
      </w:r>
      <w:r w:rsidR="005F6019">
        <w:rPr>
          <w:lang w:val="fr-FR"/>
        </w:rPr>
        <w:t>’</w:t>
      </w:r>
      <w:r>
        <w:rPr>
          <w:lang w:val="fr-FR"/>
        </w:rPr>
        <w:t xml:space="preserve">OMM avec chacun des processus indiqués pour les données, la surveillance, la prévision et la prestation de services dans la publication </w:t>
      </w:r>
      <w:proofErr w:type="spellStart"/>
      <w:r>
        <w:rPr>
          <w:lang w:val="fr-FR"/>
        </w:rPr>
        <w:t>WMO</w:t>
      </w:r>
      <w:proofErr w:type="spellEnd"/>
      <w:r>
        <w:rPr>
          <w:lang w:val="fr-FR"/>
        </w:rPr>
        <w:t xml:space="preserve">-No. 1221 (2018). </w:t>
      </w:r>
    </w:p>
    <w:p w14:paraId="5E89CE60" w14:textId="77777777" w:rsidR="00040C6E" w:rsidRPr="00897B41" w:rsidRDefault="00770B34" w:rsidP="00E724B1">
      <w:pPr>
        <w:pStyle w:val="WMOIndent1"/>
        <w:keepNext/>
        <w:keepLines/>
        <w:numPr>
          <w:ilvl w:val="2"/>
          <w:numId w:val="1"/>
        </w:numPr>
        <w:spacing w:after="240"/>
        <w:ind w:left="567" w:hanging="567"/>
        <w:rPr>
          <w:u w:val="single"/>
        </w:rPr>
      </w:pPr>
      <w:r>
        <w:rPr>
          <w:u w:val="single"/>
          <w:lang w:val="fr-FR"/>
        </w:rPr>
        <w:lastRenderedPageBreak/>
        <w:t>Formation axée sur les compétences</w:t>
      </w:r>
    </w:p>
    <w:p w14:paraId="67BF13E9" w14:textId="33011058" w:rsidR="00770B34" w:rsidRPr="0097571E" w:rsidRDefault="00770B34" w:rsidP="00E724B1">
      <w:pPr>
        <w:pStyle w:val="ListParagraph"/>
        <w:keepNext/>
        <w:keepLines/>
        <w:spacing w:before="240" w:after="240" w:line="240" w:lineRule="auto"/>
        <w:ind w:left="567"/>
        <w:contextualSpacing w:val="0"/>
        <w:rPr>
          <w:rFonts w:ascii="Verdana" w:hAnsi="Verdana"/>
          <w:sz w:val="20"/>
          <w:szCs w:val="20"/>
          <w:u w:val="single"/>
        </w:rPr>
      </w:pPr>
      <w:r w:rsidRPr="0097571E">
        <w:rPr>
          <w:rFonts w:ascii="Verdana" w:hAnsi="Verdana"/>
          <w:sz w:val="20"/>
          <w:szCs w:val="20"/>
          <w:lang w:val="fr-FR"/>
        </w:rPr>
        <w:t>L</w:t>
      </w:r>
      <w:r w:rsidR="005F6019" w:rsidRPr="0097571E">
        <w:rPr>
          <w:rFonts w:ascii="Verdana" w:hAnsi="Verdana"/>
          <w:sz w:val="20"/>
          <w:szCs w:val="20"/>
          <w:lang w:val="fr-FR"/>
        </w:rPr>
        <w:t>’</w:t>
      </w:r>
      <w:r w:rsidRPr="0097571E">
        <w:rPr>
          <w:rFonts w:ascii="Verdana" w:hAnsi="Verdana"/>
          <w:sz w:val="20"/>
          <w:szCs w:val="20"/>
          <w:lang w:val="fr-FR"/>
        </w:rPr>
        <w:t>OMM a adopté le Répertoire des cadres de compétences pour les services climatologiques (</w:t>
      </w:r>
      <w:proofErr w:type="spellStart"/>
      <w:r w:rsidRPr="0097571E">
        <w:rPr>
          <w:rFonts w:ascii="Verdana" w:hAnsi="Verdana"/>
          <w:sz w:val="20"/>
          <w:szCs w:val="20"/>
          <w:lang w:val="fr-FR"/>
        </w:rPr>
        <w:t>Competency</w:t>
      </w:r>
      <w:proofErr w:type="spellEnd"/>
      <w:r w:rsidRPr="0097571E">
        <w:rPr>
          <w:rFonts w:ascii="Verdana" w:hAnsi="Verdana"/>
          <w:sz w:val="20"/>
          <w:szCs w:val="20"/>
          <w:lang w:val="fr-FR"/>
        </w:rPr>
        <w:t xml:space="preserve"> Framework for </w:t>
      </w:r>
      <w:proofErr w:type="spellStart"/>
      <w:r w:rsidRPr="0097571E">
        <w:rPr>
          <w:rFonts w:ascii="Verdana" w:hAnsi="Verdana"/>
          <w:sz w:val="20"/>
          <w:szCs w:val="20"/>
          <w:lang w:val="fr-FR"/>
        </w:rPr>
        <w:t>Climate</w:t>
      </w:r>
      <w:proofErr w:type="spellEnd"/>
      <w:r w:rsidRPr="0097571E">
        <w:rPr>
          <w:rFonts w:ascii="Verdana" w:hAnsi="Verdana"/>
          <w:sz w:val="20"/>
          <w:szCs w:val="20"/>
          <w:lang w:val="fr-FR"/>
        </w:rPr>
        <w:t xml:space="preserve"> Services), comme indiqué dans le Règlement technique n° 49 (Vol. I), OMM-N° 1205 et OMM-N° 1209. Cela constitue la base pour garantir que le personnel désigné dans chaque domaine des services climatologiques, à savoir les données, la surveillance, les prévisions, la prestation de services et les communications, possède des compétences suffisantes dans un ou plusieurs domaines pour fournir des produits standard. En vue de la mise en œuvre du système de gestion de la qualité dans les services climatologiques, l</w:t>
      </w:r>
      <w:r w:rsidR="005F6019" w:rsidRPr="0097571E">
        <w:rPr>
          <w:rFonts w:ascii="Verdana" w:hAnsi="Verdana"/>
          <w:sz w:val="20"/>
          <w:szCs w:val="20"/>
          <w:lang w:val="fr-FR"/>
        </w:rPr>
        <w:t>’</w:t>
      </w:r>
      <w:r w:rsidRPr="0097571E">
        <w:rPr>
          <w:rFonts w:ascii="Verdana" w:hAnsi="Verdana"/>
          <w:sz w:val="20"/>
          <w:szCs w:val="20"/>
          <w:lang w:val="fr-FR"/>
        </w:rPr>
        <w:t xml:space="preserve">OMM a commencé à former des experts désignés par les </w:t>
      </w:r>
      <w:proofErr w:type="spellStart"/>
      <w:r w:rsidRPr="0097571E">
        <w:rPr>
          <w:rFonts w:ascii="Verdana" w:hAnsi="Verdana"/>
          <w:sz w:val="20"/>
          <w:szCs w:val="20"/>
          <w:lang w:val="fr-FR"/>
        </w:rPr>
        <w:t>SMHN</w:t>
      </w:r>
      <w:proofErr w:type="spellEnd"/>
      <w:r w:rsidRPr="0097571E">
        <w:rPr>
          <w:rFonts w:ascii="Verdana" w:hAnsi="Verdana"/>
          <w:sz w:val="20"/>
          <w:szCs w:val="20"/>
          <w:lang w:val="fr-FR"/>
        </w:rPr>
        <w:t xml:space="preserve"> pour qu</w:t>
      </w:r>
      <w:r w:rsidR="005F6019" w:rsidRPr="0097571E">
        <w:rPr>
          <w:rFonts w:ascii="Verdana" w:hAnsi="Verdana"/>
          <w:sz w:val="20"/>
          <w:szCs w:val="20"/>
          <w:lang w:val="fr-FR"/>
        </w:rPr>
        <w:t>’</w:t>
      </w:r>
      <w:r w:rsidRPr="0097571E">
        <w:rPr>
          <w:rFonts w:ascii="Verdana" w:hAnsi="Verdana"/>
          <w:sz w:val="20"/>
          <w:szCs w:val="20"/>
          <w:lang w:val="fr-FR"/>
        </w:rPr>
        <w:t xml:space="preserve">ils deviennent des auditeurs principaux/en interne dans leurs </w:t>
      </w:r>
      <w:proofErr w:type="spellStart"/>
      <w:r w:rsidRPr="0097571E">
        <w:rPr>
          <w:rFonts w:ascii="Verdana" w:hAnsi="Verdana"/>
          <w:sz w:val="20"/>
          <w:szCs w:val="20"/>
          <w:lang w:val="fr-FR"/>
        </w:rPr>
        <w:t>SMHN</w:t>
      </w:r>
      <w:proofErr w:type="spellEnd"/>
      <w:r w:rsidRPr="0097571E">
        <w:rPr>
          <w:rFonts w:ascii="Verdana" w:hAnsi="Verdana"/>
          <w:sz w:val="20"/>
          <w:szCs w:val="20"/>
          <w:lang w:val="fr-FR"/>
        </w:rPr>
        <w:t xml:space="preserve"> respectifs. Voir la section 4</w:t>
      </w:r>
      <w:r w:rsidR="0097571E">
        <w:rPr>
          <w:rFonts w:ascii="Verdana" w:hAnsi="Verdana"/>
          <w:sz w:val="20"/>
          <w:szCs w:val="20"/>
          <w:lang w:val="fr-FR"/>
        </w:rPr>
        <w:t>.</w:t>
      </w:r>
    </w:p>
    <w:p w14:paraId="286BC616" w14:textId="77777777" w:rsidR="00040C6E" w:rsidRPr="0097571E" w:rsidRDefault="00770B34" w:rsidP="00071363">
      <w:pPr>
        <w:pStyle w:val="WMOIndent1"/>
        <w:numPr>
          <w:ilvl w:val="2"/>
          <w:numId w:val="1"/>
        </w:numPr>
        <w:spacing w:after="240"/>
        <w:ind w:left="567" w:hanging="567"/>
        <w:rPr>
          <w:u w:val="single"/>
          <w:lang w:val="fr-FR"/>
        </w:rPr>
      </w:pPr>
      <w:r w:rsidRPr="0097571E">
        <w:rPr>
          <w:u w:val="single"/>
          <w:lang w:val="fr-FR"/>
        </w:rPr>
        <w:t>Identification de la vérification des pratiques et procédures climatologiques déclarées</w:t>
      </w:r>
    </w:p>
    <w:p w14:paraId="499AF7CF" w14:textId="67CCB322" w:rsidR="00770B34" w:rsidRPr="0097571E" w:rsidRDefault="00770B34" w:rsidP="00071363">
      <w:pPr>
        <w:pStyle w:val="ListParagraph"/>
        <w:spacing w:before="240" w:after="240" w:line="240" w:lineRule="auto"/>
        <w:ind w:left="567"/>
        <w:contextualSpacing w:val="0"/>
        <w:rPr>
          <w:rFonts w:ascii="Verdana" w:hAnsi="Verdana"/>
          <w:sz w:val="20"/>
          <w:szCs w:val="20"/>
          <w:u w:val="single"/>
          <w:lang w:val="fr-FR"/>
        </w:rPr>
      </w:pPr>
      <w:r w:rsidRPr="0097571E">
        <w:rPr>
          <w:rFonts w:ascii="Verdana" w:hAnsi="Verdana"/>
          <w:sz w:val="20"/>
          <w:szCs w:val="20"/>
          <w:lang w:val="fr-FR"/>
        </w:rPr>
        <w:t>La liste de contrôle de l</w:t>
      </w:r>
      <w:r w:rsidR="005F6019" w:rsidRPr="0097571E">
        <w:rPr>
          <w:rFonts w:ascii="Verdana" w:hAnsi="Verdana"/>
          <w:sz w:val="20"/>
          <w:szCs w:val="20"/>
          <w:lang w:val="fr-FR"/>
        </w:rPr>
        <w:t>’</w:t>
      </w:r>
      <w:r w:rsidRPr="0097571E">
        <w:rPr>
          <w:rFonts w:ascii="Verdana" w:hAnsi="Verdana"/>
          <w:sz w:val="20"/>
          <w:szCs w:val="20"/>
          <w:lang w:val="fr-FR"/>
        </w:rPr>
        <w:t xml:space="preserve">OMM pour la mise en œuvre des services climatologiques sert de base pour vérifier les réponses des </w:t>
      </w:r>
      <w:proofErr w:type="spellStart"/>
      <w:r w:rsidRPr="0097571E">
        <w:rPr>
          <w:rFonts w:ascii="Verdana" w:hAnsi="Verdana"/>
          <w:sz w:val="20"/>
          <w:szCs w:val="20"/>
          <w:lang w:val="fr-FR"/>
        </w:rPr>
        <w:t>SMHN</w:t>
      </w:r>
      <w:proofErr w:type="spellEnd"/>
      <w:r w:rsidRPr="0097571E">
        <w:rPr>
          <w:rFonts w:ascii="Verdana" w:hAnsi="Verdana"/>
          <w:sz w:val="20"/>
          <w:szCs w:val="20"/>
          <w:lang w:val="fr-FR"/>
        </w:rPr>
        <w:t xml:space="preserve"> par rapport aux artefacts dans le cadre d</w:t>
      </w:r>
      <w:r w:rsidR="005F6019" w:rsidRPr="0097571E">
        <w:rPr>
          <w:rFonts w:ascii="Verdana" w:hAnsi="Verdana"/>
          <w:sz w:val="20"/>
          <w:szCs w:val="20"/>
          <w:lang w:val="fr-FR"/>
        </w:rPr>
        <w:t>’</w:t>
      </w:r>
      <w:r w:rsidRPr="0097571E">
        <w:rPr>
          <w:rFonts w:ascii="Verdana" w:hAnsi="Verdana"/>
          <w:sz w:val="20"/>
          <w:szCs w:val="20"/>
          <w:lang w:val="fr-FR"/>
        </w:rPr>
        <w:t>un processus d</w:t>
      </w:r>
      <w:r w:rsidR="005F6019" w:rsidRPr="0097571E">
        <w:rPr>
          <w:rFonts w:ascii="Verdana" w:hAnsi="Verdana"/>
          <w:sz w:val="20"/>
          <w:szCs w:val="20"/>
          <w:lang w:val="fr-FR"/>
        </w:rPr>
        <w:t>’</w:t>
      </w:r>
      <w:r w:rsidRPr="0097571E">
        <w:rPr>
          <w:rFonts w:ascii="Verdana" w:hAnsi="Verdana"/>
          <w:sz w:val="20"/>
          <w:szCs w:val="20"/>
          <w:lang w:val="fr-FR"/>
        </w:rPr>
        <w:t>audit qui aboutit à la préparation de rapports axés sur la norme ISO 9001 et formatés. Ces rapports identifient les écarts, les non-conformités entre le système de gestion actuel et les exigences de la liste de contrôle des services climatologiques et de la norme ISO 9001. Les actions correctives proposées sont identifiées pour combler les lacunes et fournir une classification initiale des services climatologiques dans les catégories basique, essentielle, complète et avancée. L</w:t>
      </w:r>
      <w:r w:rsidR="005F6019" w:rsidRPr="0097571E">
        <w:rPr>
          <w:rFonts w:ascii="Verdana" w:hAnsi="Verdana"/>
          <w:sz w:val="20"/>
          <w:szCs w:val="20"/>
          <w:lang w:val="fr-FR"/>
        </w:rPr>
        <w:t>’</w:t>
      </w:r>
      <w:r w:rsidRPr="0097571E">
        <w:rPr>
          <w:rFonts w:ascii="Verdana" w:hAnsi="Verdana"/>
          <w:sz w:val="20"/>
          <w:szCs w:val="20"/>
          <w:lang w:val="fr-FR"/>
        </w:rPr>
        <w:t>annexe I de la présente feuille de route explique la méthodologie relative à l</w:t>
      </w:r>
      <w:r w:rsidR="005F6019" w:rsidRPr="0097571E">
        <w:rPr>
          <w:rFonts w:ascii="Verdana" w:hAnsi="Verdana"/>
          <w:sz w:val="20"/>
          <w:szCs w:val="20"/>
          <w:lang w:val="fr-FR"/>
        </w:rPr>
        <w:t>’</w:t>
      </w:r>
      <w:r w:rsidRPr="0097571E">
        <w:rPr>
          <w:rFonts w:ascii="Verdana" w:hAnsi="Verdana"/>
          <w:sz w:val="20"/>
          <w:szCs w:val="20"/>
          <w:lang w:val="fr-FR"/>
        </w:rPr>
        <w:t>identification des sources de preuves, à leur évaluation et aux conclusions des auditeurs principaux des Membres de l</w:t>
      </w:r>
      <w:r w:rsidR="005F6019" w:rsidRPr="0097571E">
        <w:rPr>
          <w:rFonts w:ascii="Verdana" w:hAnsi="Verdana"/>
          <w:sz w:val="20"/>
          <w:szCs w:val="20"/>
          <w:lang w:val="fr-FR"/>
        </w:rPr>
        <w:t>’</w:t>
      </w:r>
      <w:r w:rsidRPr="0097571E">
        <w:rPr>
          <w:rFonts w:ascii="Verdana" w:hAnsi="Verdana"/>
          <w:sz w:val="20"/>
          <w:szCs w:val="20"/>
          <w:lang w:val="fr-FR"/>
        </w:rPr>
        <w:t>OMM.</w:t>
      </w:r>
    </w:p>
    <w:p w14:paraId="5921946B" w14:textId="77777777" w:rsidR="00040C6E" w:rsidRPr="0097571E" w:rsidRDefault="00770B34" w:rsidP="00071363">
      <w:pPr>
        <w:pStyle w:val="WMOIndent1"/>
        <w:numPr>
          <w:ilvl w:val="2"/>
          <w:numId w:val="1"/>
        </w:numPr>
        <w:spacing w:after="240"/>
        <w:ind w:left="567" w:hanging="567"/>
        <w:rPr>
          <w:u w:val="single"/>
          <w:lang w:val="fr-FR"/>
        </w:rPr>
      </w:pPr>
      <w:r w:rsidRPr="0097571E">
        <w:rPr>
          <w:u w:val="single"/>
          <w:lang w:val="fr-FR"/>
        </w:rPr>
        <w:t>Identification des procédures de certification</w:t>
      </w:r>
    </w:p>
    <w:p w14:paraId="7847AD00" w14:textId="489719FC" w:rsidR="00770B34" w:rsidRPr="0097571E" w:rsidRDefault="00770B34" w:rsidP="00071363">
      <w:pPr>
        <w:pStyle w:val="ListParagraph"/>
        <w:spacing w:before="240" w:after="240" w:line="240" w:lineRule="auto"/>
        <w:ind w:left="567"/>
        <w:contextualSpacing w:val="0"/>
        <w:rPr>
          <w:rFonts w:ascii="Verdana" w:hAnsi="Verdana"/>
          <w:sz w:val="20"/>
          <w:szCs w:val="20"/>
          <w:u w:val="single"/>
          <w:lang w:val="fr-FR"/>
        </w:rPr>
      </w:pPr>
      <w:r w:rsidRPr="0097571E">
        <w:rPr>
          <w:rFonts w:ascii="Verdana" w:hAnsi="Verdana"/>
          <w:sz w:val="20"/>
          <w:szCs w:val="20"/>
          <w:lang w:val="fr-FR"/>
        </w:rPr>
        <w:t xml:space="preserve">Le Comité permanent des services climatologiques (SC-CLI) de la </w:t>
      </w:r>
      <w:proofErr w:type="spellStart"/>
      <w:r w:rsidRPr="0097571E">
        <w:rPr>
          <w:rFonts w:ascii="Verdana" w:hAnsi="Verdana"/>
          <w:sz w:val="20"/>
          <w:szCs w:val="20"/>
          <w:lang w:val="fr-FR"/>
        </w:rPr>
        <w:t>SERCOM</w:t>
      </w:r>
      <w:proofErr w:type="spellEnd"/>
      <w:r w:rsidRPr="0097571E">
        <w:rPr>
          <w:rFonts w:ascii="Verdana" w:hAnsi="Verdana"/>
          <w:sz w:val="20"/>
          <w:szCs w:val="20"/>
          <w:lang w:val="fr-FR"/>
        </w:rPr>
        <w:t xml:space="preserve"> discutera des procédures d</w:t>
      </w:r>
      <w:r w:rsidR="005F6019" w:rsidRPr="0097571E">
        <w:rPr>
          <w:rFonts w:ascii="Verdana" w:hAnsi="Verdana"/>
          <w:sz w:val="20"/>
          <w:szCs w:val="20"/>
          <w:lang w:val="fr-FR"/>
        </w:rPr>
        <w:t>’</w:t>
      </w:r>
      <w:r w:rsidRPr="0097571E">
        <w:rPr>
          <w:rFonts w:ascii="Verdana" w:hAnsi="Verdana"/>
          <w:sz w:val="20"/>
          <w:szCs w:val="20"/>
          <w:lang w:val="fr-FR"/>
        </w:rPr>
        <w:t>établissement d</w:t>
      </w:r>
      <w:r w:rsidR="005F6019" w:rsidRPr="0097571E">
        <w:rPr>
          <w:rFonts w:ascii="Verdana" w:hAnsi="Verdana"/>
          <w:sz w:val="20"/>
          <w:szCs w:val="20"/>
          <w:lang w:val="fr-FR"/>
        </w:rPr>
        <w:t>’</w:t>
      </w:r>
      <w:r w:rsidRPr="0097571E">
        <w:rPr>
          <w:rFonts w:ascii="Verdana" w:hAnsi="Verdana"/>
          <w:sz w:val="20"/>
          <w:szCs w:val="20"/>
          <w:lang w:val="fr-FR"/>
        </w:rPr>
        <w:t>un Conseil consultatif technique sous les auspices du Groupe d</w:t>
      </w:r>
      <w:r w:rsidR="005F6019" w:rsidRPr="0097571E">
        <w:rPr>
          <w:rFonts w:ascii="Verdana" w:hAnsi="Verdana"/>
          <w:sz w:val="20"/>
          <w:szCs w:val="20"/>
          <w:lang w:val="fr-FR"/>
        </w:rPr>
        <w:t>’</w:t>
      </w:r>
      <w:r w:rsidRPr="0097571E">
        <w:rPr>
          <w:rFonts w:ascii="Verdana" w:hAnsi="Verdana"/>
          <w:sz w:val="20"/>
          <w:szCs w:val="20"/>
          <w:lang w:val="fr-FR"/>
        </w:rPr>
        <w:t>experts pour le développement des capacités qui devrait être autorisé par le Conseil exécutif ou le Congrès de l</w:t>
      </w:r>
      <w:r w:rsidR="005F6019" w:rsidRPr="0097571E">
        <w:rPr>
          <w:rFonts w:ascii="Verdana" w:hAnsi="Verdana"/>
          <w:sz w:val="20"/>
          <w:szCs w:val="20"/>
          <w:lang w:val="fr-FR"/>
        </w:rPr>
        <w:t>’</w:t>
      </w:r>
      <w:r w:rsidRPr="0097571E">
        <w:rPr>
          <w:rFonts w:ascii="Verdana" w:hAnsi="Verdana"/>
          <w:sz w:val="20"/>
          <w:szCs w:val="20"/>
          <w:lang w:val="fr-FR"/>
        </w:rPr>
        <w:t xml:space="preserve">OMM à délivrer la certification de conformité et la classification du niveau de capacité des services climatologiques des </w:t>
      </w:r>
      <w:proofErr w:type="spellStart"/>
      <w:r w:rsidRPr="0097571E">
        <w:rPr>
          <w:rFonts w:ascii="Verdana" w:hAnsi="Verdana"/>
          <w:sz w:val="20"/>
          <w:szCs w:val="20"/>
          <w:lang w:val="fr-FR"/>
        </w:rPr>
        <w:t>SMHN</w:t>
      </w:r>
      <w:proofErr w:type="spellEnd"/>
      <w:r w:rsidRPr="0097571E">
        <w:rPr>
          <w:rFonts w:ascii="Verdana" w:hAnsi="Verdana"/>
          <w:sz w:val="20"/>
          <w:szCs w:val="20"/>
          <w:lang w:val="fr-FR"/>
        </w:rPr>
        <w:t>. Il faut établir et clarifier si la conformité va être acceptée ou non. En d</w:t>
      </w:r>
      <w:r w:rsidR="005F6019" w:rsidRPr="0097571E">
        <w:rPr>
          <w:rFonts w:ascii="Verdana" w:hAnsi="Verdana"/>
          <w:sz w:val="20"/>
          <w:szCs w:val="20"/>
          <w:lang w:val="fr-FR"/>
        </w:rPr>
        <w:t>’</w:t>
      </w:r>
      <w:r w:rsidRPr="0097571E">
        <w:rPr>
          <w:rFonts w:ascii="Verdana" w:hAnsi="Verdana"/>
          <w:sz w:val="20"/>
          <w:szCs w:val="20"/>
          <w:lang w:val="fr-FR"/>
        </w:rPr>
        <w:t>autres termes, la certification de la conformité est obtenue par le biais d</w:t>
      </w:r>
      <w:r w:rsidR="005F6019" w:rsidRPr="0097571E">
        <w:rPr>
          <w:rFonts w:ascii="Verdana" w:hAnsi="Verdana"/>
          <w:sz w:val="20"/>
          <w:szCs w:val="20"/>
          <w:lang w:val="fr-FR"/>
        </w:rPr>
        <w:t>’</w:t>
      </w:r>
      <w:r w:rsidRPr="0097571E">
        <w:rPr>
          <w:rFonts w:ascii="Verdana" w:hAnsi="Verdana"/>
          <w:sz w:val="20"/>
          <w:szCs w:val="20"/>
          <w:lang w:val="fr-FR"/>
        </w:rPr>
        <w:t>un audit tiers (externe), tandis que la conformité est établie par un audit interne. La certification de l</w:t>
      </w:r>
      <w:r w:rsidR="005F6019" w:rsidRPr="0097571E">
        <w:rPr>
          <w:rFonts w:ascii="Verdana" w:hAnsi="Verdana"/>
          <w:sz w:val="20"/>
          <w:szCs w:val="20"/>
          <w:lang w:val="fr-FR"/>
        </w:rPr>
        <w:t>’</w:t>
      </w:r>
      <w:r w:rsidRPr="0097571E">
        <w:rPr>
          <w:rFonts w:ascii="Verdana" w:hAnsi="Verdana"/>
          <w:sz w:val="20"/>
          <w:szCs w:val="20"/>
          <w:lang w:val="fr-FR"/>
        </w:rPr>
        <w:t>OMM confirme la classification des services climatologiques (niveau de base, essentiel, complet ou avancé) attribuée lors des étapes de vérification et de classification.</w:t>
      </w:r>
    </w:p>
    <w:p w14:paraId="70C4DAEC" w14:textId="65871597" w:rsidR="00770B34" w:rsidRPr="004709AF" w:rsidRDefault="00B36F3C" w:rsidP="00F25E86">
      <w:pPr>
        <w:pStyle w:val="WMOBodyText"/>
        <w:spacing w:after="240"/>
        <w:rPr>
          <w:lang w:val="fr-FR"/>
        </w:rPr>
      </w:pPr>
      <w:hyperlink w:anchor="_ANNEX_I" w:history="1">
        <w:r w:rsidR="001F18A7" w:rsidRPr="004709AF">
          <w:rPr>
            <w:lang w:val="fr-FR"/>
          </w:rPr>
          <w:t>L</w:t>
        </w:r>
        <w:r w:rsidR="005F6019">
          <w:rPr>
            <w:lang w:val="fr-FR"/>
          </w:rPr>
          <w:t>’</w:t>
        </w:r>
        <w:r w:rsidR="001F18A7" w:rsidRPr="0097571E">
          <w:rPr>
            <w:color w:val="0000FF"/>
            <w:lang w:val="fr-FR"/>
          </w:rPr>
          <w:t>annexe I</w:t>
        </w:r>
        <w:r w:rsidR="001F18A7" w:rsidRPr="004709AF">
          <w:rPr>
            <w:lang w:val="fr-FR"/>
          </w:rPr>
          <w:t xml:space="preserve"> de cette feuille de route présente la méthodologie de vérification qui a été mise en œuvre pendant la phase pilote pour vérifier les réponses à la liste de contrôle pour la mise en œuvre des services climatiques de quatorze </w:t>
        </w:r>
        <w:proofErr w:type="spellStart"/>
        <w:r w:rsidR="001F18A7" w:rsidRPr="004709AF">
          <w:rPr>
            <w:lang w:val="fr-FR"/>
          </w:rPr>
          <w:t>SMHN</w:t>
        </w:r>
        <w:proofErr w:type="spellEnd"/>
        <w:r w:rsidR="001F18A7" w:rsidRPr="004709AF">
          <w:rPr>
            <w:lang w:val="fr-FR"/>
          </w:rPr>
          <w:t xml:space="preserve">. </w:t>
        </w:r>
      </w:hyperlink>
    </w:p>
    <w:p w14:paraId="4B0F8EBD" w14:textId="592CFC86" w:rsidR="00770B34" w:rsidRPr="004709AF" w:rsidRDefault="00770B34" w:rsidP="00F25E86">
      <w:pPr>
        <w:pStyle w:val="WMOBodyText"/>
        <w:keepNext/>
        <w:rPr>
          <w:lang w:val="fr-FR"/>
        </w:rPr>
      </w:pPr>
      <w:r>
        <w:rPr>
          <w:lang w:val="fr-FR"/>
        </w:rPr>
        <w:t>Globalement, le résultat de la certification du système de gestion de la qualité des services climatologiques de l</w:t>
      </w:r>
      <w:r w:rsidR="005F6019">
        <w:rPr>
          <w:lang w:val="fr-FR"/>
        </w:rPr>
        <w:t>’</w:t>
      </w:r>
      <w:r>
        <w:rPr>
          <w:lang w:val="fr-FR"/>
        </w:rPr>
        <w:t>OMM serait le suivant:</w:t>
      </w:r>
    </w:p>
    <w:p w14:paraId="2EE3BE01" w14:textId="17EB9070" w:rsidR="00770B34" w:rsidRPr="004709AF" w:rsidRDefault="00770B34" w:rsidP="00F25E86">
      <w:pPr>
        <w:pStyle w:val="WMOIndent1"/>
        <w:keepNext/>
        <w:numPr>
          <w:ilvl w:val="0"/>
          <w:numId w:val="3"/>
        </w:numPr>
        <w:ind w:left="567" w:hanging="567"/>
        <w:rPr>
          <w:lang w:val="fr-FR"/>
        </w:rPr>
      </w:pPr>
      <w:r>
        <w:rPr>
          <w:lang w:val="fr-FR"/>
        </w:rPr>
        <w:t>Contrôler que les Membres de l</w:t>
      </w:r>
      <w:r w:rsidR="005F6019">
        <w:rPr>
          <w:lang w:val="fr-FR"/>
        </w:rPr>
        <w:t>’</w:t>
      </w:r>
      <w:r>
        <w:rPr>
          <w:lang w:val="fr-FR"/>
        </w:rPr>
        <w:t xml:space="preserve">OMM se conforment aux prescriptions du </w:t>
      </w:r>
      <w:r>
        <w:rPr>
          <w:i/>
          <w:iCs/>
          <w:lang w:val="fr-FR"/>
        </w:rPr>
        <w:t>Règlement technique</w:t>
      </w:r>
      <w:r>
        <w:rPr>
          <w:lang w:val="fr-FR"/>
        </w:rPr>
        <w:t>, y compris les obstacles recensés et les mesures proposées pour les surmonter;</w:t>
      </w:r>
    </w:p>
    <w:p w14:paraId="71FD01EE" w14:textId="77777777" w:rsidR="00770B34" w:rsidRPr="004709AF" w:rsidRDefault="00770B34" w:rsidP="00052518">
      <w:pPr>
        <w:pStyle w:val="WMOIndent1"/>
        <w:numPr>
          <w:ilvl w:val="0"/>
          <w:numId w:val="3"/>
        </w:numPr>
        <w:ind w:left="567" w:hanging="567"/>
        <w:rPr>
          <w:lang w:val="fr-FR"/>
        </w:rPr>
      </w:pPr>
      <w:r>
        <w:rPr>
          <w:lang w:val="fr-FR"/>
        </w:rPr>
        <w:t xml:space="preserve">Évaluer les risques et conséquences que comportent les nouvelles normes et les nouvelles technologies pour les systèmes exploités par les Membres, y compris sur le plan financier et humain; </w:t>
      </w:r>
    </w:p>
    <w:p w14:paraId="123FF1F0" w14:textId="56E16C90" w:rsidR="00770B34" w:rsidRPr="004709AF" w:rsidRDefault="00770B34" w:rsidP="00052518">
      <w:pPr>
        <w:pStyle w:val="WMOIndent1"/>
        <w:numPr>
          <w:ilvl w:val="0"/>
          <w:numId w:val="3"/>
        </w:numPr>
        <w:ind w:left="567" w:hanging="567"/>
        <w:rPr>
          <w:lang w:val="fr-FR"/>
        </w:rPr>
      </w:pPr>
      <w:r>
        <w:rPr>
          <w:lang w:val="fr-FR"/>
        </w:rPr>
        <w:t>Répondre à l</w:t>
      </w:r>
      <w:r w:rsidR="005F6019">
        <w:rPr>
          <w:lang w:val="fr-FR"/>
        </w:rPr>
        <w:t>’</w:t>
      </w:r>
      <w:r>
        <w:rPr>
          <w:lang w:val="fr-FR"/>
        </w:rPr>
        <w:t>évolution des besoins des utilisateurs en matière d</w:t>
      </w:r>
      <w:r w:rsidR="005F6019">
        <w:rPr>
          <w:lang w:val="fr-FR"/>
        </w:rPr>
        <w:t>’</w:t>
      </w:r>
      <w:r>
        <w:rPr>
          <w:lang w:val="fr-FR"/>
        </w:rPr>
        <w:t>informations et de services et à l</w:t>
      </w:r>
      <w:r w:rsidR="005F6019">
        <w:rPr>
          <w:lang w:val="fr-FR"/>
        </w:rPr>
        <w:t>’</w:t>
      </w:r>
      <w:r>
        <w:rPr>
          <w:lang w:val="fr-FR"/>
        </w:rPr>
        <w:t>adaptation correspondante des plans établis par les organes techniques de l</w:t>
      </w:r>
      <w:r w:rsidR="005F6019">
        <w:rPr>
          <w:lang w:val="fr-FR"/>
        </w:rPr>
        <w:t>’</w:t>
      </w:r>
      <w:r>
        <w:rPr>
          <w:lang w:val="fr-FR"/>
        </w:rPr>
        <w:t xml:space="preserve">OMM; </w:t>
      </w:r>
    </w:p>
    <w:p w14:paraId="3A313C02" w14:textId="77777777" w:rsidR="00770B34" w:rsidRPr="004709AF" w:rsidRDefault="00770B34" w:rsidP="00052518">
      <w:pPr>
        <w:pStyle w:val="WMOIndent1"/>
        <w:numPr>
          <w:ilvl w:val="0"/>
          <w:numId w:val="3"/>
        </w:numPr>
        <w:ind w:left="567" w:hanging="567"/>
        <w:rPr>
          <w:lang w:val="fr-FR"/>
        </w:rPr>
      </w:pPr>
      <w:r>
        <w:rPr>
          <w:lang w:val="fr-FR"/>
        </w:rPr>
        <w:t xml:space="preserve">Renforcer la collaboration et la coordination entre les organes techniques; </w:t>
      </w:r>
    </w:p>
    <w:p w14:paraId="0DD7FEEF" w14:textId="7F6F8FF3" w:rsidR="00770B34" w:rsidRPr="004709AF" w:rsidRDefault="00770B34" w:rsidP="00052518">
      <w:pPr>
        <w:pStyle w:val="WMOIndent1"/>
        <w:numPr>
          <w:ilvl w:val="0"/>
          <w:numId w:val="3"/>
        </w:numPr>
        <w:ind w:left="567" w:hanging="567"/>
        <w:rPr>
          <w:lang w:val="fr-FR"/>
        </w:rPr>
      </w:pPr>
      <w:r>
        <w:rPr>
          <w:lang w:val="fr-FR"/>
        </w:rPr>
        <w:lastRenderedPageBreak/>
        <w:t>Classer le niveau des services climatologiques des pays cibles sur la base d</w:t>
      </w:r>
      <w:r w:rsidR="005F6019">
        <w:rPr>
          <w:lang w:val="fr-FR"/>
        </w:rPr>
        <w:t>’</w:t>
      </w:r>
      <w:r>
        <w:rPr>
          <w:lang w:val="fr-FR"/>
        </w:rPr>
        <w:t>une analyse quantitative et qualitative de la liste de contrôle, comme résultat des normes d</w:t>
      </w:r>
      <w:r w:rsidR="005F6019">
        <w:rPr>
          <w:lang w:val="fr-FR"/>
        </w:rPr>
        <w:t>’</w:t>
      </w:r>
      <w:r>
        <w:rPr>
          <w:lang w:val="fr-FR"/>
        </w:rPr>
        <w:t>audit du système de gestion de la qualité; et</w:t>
      </w:r>
    </w:p>
    <w:p w14:paraId="325BC103" w14:textId="77777777" w:rsidR="00770B34" w:rsidRPr="004709AF" w:rsidRDefault="00770B34" w:rsidP="00052518">
      <w:pPr>
        <w:pStyle w:val="WMOIndent1"/>
        <w:numPr>
          <w:ilvl w:val="0"/>
          <w:numId w:val="3"/>
        </w:numPr>
        <w:ind w:left="567" w:hanging="567"/>
        <w:rPr>
          <w:lang w:val="fr-FR"/>
        </w:rPr>
        <w:sectPr w:rsidR="00770B34" w:rsidRPr="004709AF" w:rsidSect="00960324">
          <w:headerReference w:type="even" r:id="rId17"/>
          <w:headerReference w:type="default" r:id="rId18"/>
          <w:headerReference w:type="first" r:id="rId19"/>
          <w:pgSz w:w="11906" w:h="16838"/>
          <w:pgMar w:top="1134" w:right="1134" w:bottom="1134" w:left="1134" w:header="709" w:footer="709" w:gutter="0"/>
          <w:cols w:space="708"/>
          <w:titlePg/>
          <w:docGrid w:linePitch="360"/>
        </w:sectPr>
      </w:pPr>
      <w:r>
        <w:rPr>
          <w:lang w:val="fr-FR"/>
        </w:rPr>
        <w:t xml:space="preserve">Certifier le niveau de capacité des services climatologiques qui en résulte. </w:t>
      </w:r>
    </w:p>
    <w:p w14:paraId="05084DAF" w14:textId="228A2C8F" w:rsidR="00770B34" w:rsidRPr="004709AF" w:rsidRDefault="00770B34" w:rsidP="00FE11CA">
      <w:pPr>
        <w:pStyle w:val="Heading3"/>
        <w:jc w:val="center"/>
        <w:rPr>
          <w:lang w:val="fr-FR"/>
        </w:rPr>
      </w:pPr>
      <w:r>
        <w:rPr>
          <w:lang w:val="fr-FR"/>
        </w:rPr>
        <w:lastRenderedPageBreak/>
        <w:t>Hiérarchie des processus de vérification et de certification de la réponse à la liste de contrôle des services climatologiques</w:t>
      </w:r>
    </w:p>
    <w:p w14:paraId="2A98F1E4" w14:textId="77777777" w:rsidR="00770B34" w:rsidRPr="00897B41" w:rsidRDefault="00770B34" w:rsidP="00054A7B">
      <w:pPr>
        <w:spacing w:before="240"/>
        <w:jc w:val="center"/>
      </w:pPr>
      <w:r w:rsidRPr="00897B41">
        <w:rPr>
          <w:noProof/>
        </w:rPr>
        <w:drawing>
          <wp:inline distT="0" distB="0" distL="0" distR="0" wp14:anchorId="39E1C233" wp14:editId="24E40063">
            <wp:extent cx="6120130" cy="7531735"/>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20"/>
                    <a:stretch>
                      <a:fillRect/>
                    </a:stretch>
                  </pic:blipFill>
                  <pic:spPr>
                    <a:xfrm>
                      <a:off x="0" y="0"/>
                      <a:ext cx="6120130" cy="7531735"/>
                    </a:xfrm>
                    <a:prstGeom prst="rect">
                      <a:avLst/>
                    </a:prstGeom>
                  </pic:spPr>
                </pic:pic>
              </a:graphicData>
            </a:graphic>
          </wp:inline>
        </w:drawing>
      </w:r>
    </w:p>
    <w:p w14:paraId="48847DF6" w14:textId="77777777" w:rsidR="00770B34" w:rsidRPr="00897B41" w:rsidRDefault="00770B34" w:rsidP="00054A7B">
      <w:pPr>
        <w:spacing w:before="240"/>
        <w:jc w:val="center"/>
      </w:pPr>
    </w:p>
    <w:p w14:paraId="031C469E" w14:textId="77777777" w:rsidR="00770B34" w:rsidRPr="004709AF" w:rsidRDefault="00770B34" w:rsidP="0007304C">
      <w:pPr>
        <w:pStyle w:val="Heading3"/>
        <w:rPr>
          <w:lang w:val="fr-FR"/>
        </w:rPr>
      </w:pPr>
      <w:r>
        <w:rPr>
          <w:lang w:val="fr-FR"/>
        </w:rPr>
        <w:lastRenderedPageBreak/>
        <w:t>Formation professionnelle</w:t>
      </w:r>
    </w:p>
    <w:p w14:paraId="6ECDC641" w14:textId="77777777" w:rsidR="00770B34" w:rsidRPr="004709AF" w:rsidRDefault="00770B34" w:rsidP="00EA101C">
      <w:pPr>
        <w:pStyle w:val="WMOSubTitle1"/>
        <w:rPr>
          <w:lang w:val="fr-FR"/>
        </w:rPr>
      </w:pPr>
      <w:r>
        <w:rPr>
          <w:bCs/>
          <w:iCs/>
          <w:lang w:val="fr-FR"/>
        </w:rPr>
        <w:t>Formateurs en gestion de la qualité</w:t>
      </w:r>
    </w:p>
    <w:p w14:paraId="673BA7EB" w14:textId="6F8406AD" w:rsidR="00770B34" w:rsidRPr="004709AF" w:rsidRDefault="00770B34" w:rsidP="00052518">
      <w:pPr>
        <w:pStyle w:val="WMOIndent1"/>
        <w:numPr>
          <w:ilvl w:val="0"/>
          <w:numId w:val="8"/>
        </w:numPr>
        <w:ind w:left="567" w:hanging="567"/>
        <w:rPr>
          <w:lang w:val="fr-FR"/>
        </w:rPr>
      </w:pPr>
      <w:r>
        <w:rPr>
          <w:lang w:val="fr-FR"/>
        </w:rPr>
        <w:t>Tous les formateurs en gestion de la qualité et/ou en audit de système de gestion et d</w:t>
      </w:r>
      <w:r w:rsidR="005F6019">
        <w:rPr>
          <w:lang w:val="fr-FR"/>
        </w:rPr>
        <w:t>’</w:t>
      </w:r>
      <w:r>
        <w:rPr>
          <w:lang w:val="fr-FR"/>
        </w:rPr>
        <w:t>auditeur principal doivent être officiellement enregistrés ou certifiés auprès d</w:t>
      </w:r>
      <w:r w:rsidR="005F6019">
        <w:rPr>
          <w:lang w:val="fr-FR"/>
        </w:rPr>
        <w:t>’</w:t>
      </w:r>
      <w:r>
        <w:rPr>
          <w:lang w:val="fr-FR"/>
        </w:rPr>
        <w:t>un organisme de formation national;</w:t>
      </w:r>
    </w:p>
    <w:p w14:paraId="76A5E053" w14:textId="27B92948" w:rsidR="00770B34" w:rsidRPr="004709AF" w:rsidRDefault="00770B34" w:rsidP="00274F59">
      <w:pPr>
        <w:pStyle w:val="WMOIndent1"/>
        <w:numPr>
          <w:ilvl w:val="0"/>
          <w:numId w:val="8"/>
        </w:numPr>
        <w:ind w:left="567" w:hanging="567"/>
        <w:rPr>
          <w:lang w:val="fr-FR"/>
        </w:rPr>
      </w:pPr>
      <w:r>
        <w:rPr>
          <w:lang w:val="fr-FR"/>
        </w:rPr>
        <w:t>Toute formation d</w:t>
      </w:r>
      <w:r w:rsidR="005F6019">
        <w:rPr>
          <w:lang w:val="fr-FR"/>
        </w:rPr>
        <w:t>’</w:t>
      </w:r>
      <w:r>
        <w:rPr>
          <w:lang w:val="fr-FR"/>
        </w:rPr>
        <w:t>auditeur doit s</w:t>
      </w:r>
      <w:r w:rsidR="005F6019">
        <w:rPr>
          <w:lang w:val="fr-FR"/>
        </w:rPr>
        <w:t>’</w:t>
      </w:r>
      <w:r>
        <w:rPr>
          <w:lang w:val="fr-FR"/>
        </w:rPr>
        <w:t>appuyer sur la norme ISO 19011:2018 – Lignes directrices pour l</w:t>
      </w:r>
      <w:r w:rsidR="005F6019">
        <w:rPr>
          <w:lang w:val="fr-FR"/>
        </w:rPr>
        <w:t>’</w:t>
      </w:r>
      <w:r>
        <w:rPr>
          <w:lang w:val="fr-FR"/>
        </w:rPr>
        <w:t xml:space="preserve">audit des systèmes de management; </w:t>
      </w:r>
    </w:p>
    <w:p w14:paraId="549BB6F4" w14:textId="6DBBA62A" w:rsidR="00770B34" w:rsidRPr="004709AF" w:rsidRDefault="00770B34" w:rsidP="004D3764">
      <w:pPr>
        <w:pStyle w:val="WMOIndent1"/>
        <w:numPr>
          <w:ilvl w:val="0"/>
          <w:numId w:val="8"/>
        </w:numPr>
        <w:ind w:left="567" w:hanging="567"/>
        <w:rPr>
          <w:lang w:val="fr-FR"/>
        </w:rPr>
      </w:pPr>
      <w:r>
        <w:rPr>
          <w:lang w:val="fr-FR"/>
        </w:rPr>
        <w:t>Tous les formateurs doivent être des auditeurs principaux qualifiés ayant une grande expérience de l</w:t>
      </w:r>
      <w:r w:rsidR="005F6019">
        <w:rPr>
          <w:lang w:val="fr-FR"/>
        </w:rPr>
        <w:t>’</w:t>
      </w:r>
      <w:r>
        <w:rPr>
          <w:lang w:val="fr-FR"/>
        </w:rPr>
        <w:t>audit; et</w:t>
      </w:r>
    </w:p>
    <w:p w14:paraId="74C69092" w14:textId="58E2E1E4" w:rsidR="00770B34" w:rsidRPr="004709AF" w:rsidRDefault="00770B34" w:rsidP="00052518">
      <w:pPr>
        <w:pStyle w:val="WMOIndent1"/>
        <w:numPr>
          <w:ilvl w:val="0"/>
          <w:numId w:val="8"/>
        </w:numPr>
        <w:ind w:left="567" w:hanging="567"/>
        <w:rPr>
          <w:lang w:val="fr-FR"/>
        </w:rPr>
      </w:pPr>
      <w:r>
        <w:rPr>
          <w:lang w:val="fr-FR"/>
        </w:rPr>
        <w:t>Les attestations d</w:t>
      </w:r>
      <w:r w:rsidR="005F6019">
        <w:rPr>
          <w:lang w:val="fr-FR"/>
        </w:rPr>
        <w:t>’</w:t>
      </w:r>
      <w:r>
        <w:rPr>
          <w:lang w:val="fr-FR"/>
        </w:rPr>
        <w:t>acquis délivrées aux participants devraient bénéficier d</w:t>
      </w:r>
      <w:r w:rsidR="005F6019">
        <w:rPr>
          <w:lang w:val="fr-FR"/>
        </w:rPr>
        <w:t>’</w:t>
      </w:r>
      <w:r>
        <w:rPr>
          <w:lang w:val="fr-FR"/>
        </w:rPr>
        <w:t>une reconnaissance internationale.</w:t>
      </w:r>
    </w:p>
    <w:p w14:paraId="00A51A64" w14:textId="77777777" w:rsidR="00770B34" w:rsidRPr="00897B41" w:rsidRDefault="00770B34" w:rsidP="00EA101C">
      <w:pPr>
        <w:pStyle w:val="WMOSubTitle1"/>
      </w:pPr>
      <w:r>
        <w:rPr>
          <w:bCs/>
          <w:iCs/>
          <w:lang w:val="fr-FR"/>
        </w:rPr>
        <w:t>Cours de formation des auditeurs</w:t>
      </w:r>
    </w:p>
    <w:p w14:paraId="58F230CA" w14:textId="2A87AE97" w:rsidR="00770B34" w:rsidRPr="004709AF" w:rsidRDefault="00770B34" w:rsidP="00052518">
      <w:pPr>
        <w:pStyle w:val="WMOIndent1"/>
        <w:numPr>
          <w:ilvl w:val="0"/>
          <w:numId w:val="18"/>
        </w:numPr>
        <w:ind w:left="567" w:hanging="567"/>
        <w:rPr>
          <w:lang w:val="fr-FR"/>
        </w:rPr>
      </w:pPr>
      <w:r>
        <w:rPr>
          <w:lang w:val="fr-FR"/>
        </w:rPr>
        <w:t>La formation des auditeurs doit être conforme aux normes internationales en vigueur, telles que celles définies par des organisations comme le Conseil des normes internationales d</w:t>
      </w:r>
      <w:r w:rsidR="005F6019">
        <w:rPr>
          <w:lang w:val="fr-FR"/>
        </w:rPr>
        <w:t>’</w:t>
      </w:r>
      <w:r>
        <w:rPr>
          <w:lang w:val="fr-FR"/>
        </w:rPr>
        <w:t>audit et d</w:t>
      </w:r>
      <w:r w:rsidR="005F6019">
        <w:rPr>
          <w:lang w:val="fr-FR"/>
        </w:rPr>
        <w:t>’</w:t>
      </w:r>
      <w:r>
        <w:rPr>
          <w:lang w:val="fr-FR"/>
        </w:rPr>
        <w:t xml:space="preserve">assurance et/ou les exigences du </w:t>
      </w:r>
      <w:proofErr w:type="spellStart"/>
      <w:r>
        <w:rPr>
          <w:lang w:val="fr-FR"/>
        </w:rPr>
        <w:t>Chartered</w:t>
      </w:r>
      <w:proofErr w:type="spellEnd"/>
      <w:r>
        <w:rPr>
          <w:lang w:val="fr-FR"/>
        </w:rPr>
        <w:t xml:space="preserve"> </w:t>
      </w:r>
      <w:proofErr w:type="spellStart"/>
      <w:r>
        <w:rPr>
          <w:lang w:val="fr-FR"/>
        </w:rPr>
        <w:t>Quality</w:t>
      </w:r>
      <w:proofErr w:type="spellEnd"/>
      <w:r>
        <w:rPr>
          <w:lang w:val="fr-FR"/>
        </w:rPr>
        <w:t xml:space="preserve"> Institute et de l</w:t>
      </w:r>
      <w:r w:rsidR="005F6019">
        <w:rPr>
          <w:lang w:val="fr-FR"/>
        </w:rPr>
        <w:t>’</w:t>
      </w:r>
      <w:proofErr w:type="spellStart"/>
      <w:r>
        <w:rPr>
          <w:lang w:val="fr-FR"/>
        </w:rPr>
        <w:t>IRCA</w:t>
      </w:r>
      <w:proofErr w:type="spellEnd"/>
      <w:r>
        <w:rPr>
          <w:lang w:val="fr-FR"/>
        </w:rPr>
        <w:t>.</w:t>
      </w:r>
    </w:p>
    <w:p w14:paraId="5E4693A4" w14:textId="27067889" w:rsidR="00770B34" w:rsidRPr="00897B41" w:rsidRDefault="00770B34" w:rsidP="00052518">
      <w:pPr>
        <w:pStyle w:val="WMOIndent1"/>
        <w:numPr>
          <w:ilvl w:val="0"/>
          <w:numId w:val="18"/>
        </w:numPr>
        <w:ind w:left="567" w:hanging="567"/>
      </w:pPr>
      <w:bookmarkStart w:id="0" w:name="_Hlk109297591"/>
      <w:r>
        <w:rPr>
          <w:lang w:val="fr-FR"/>
        </w:rPr>
        <w:t>Le programme du cours «Gestion des systèmes d</w:t>
      </w:r>
      <w:r w:rsidR="005F6019">
        <w:rPr>
          <w:lang w:val="fr-FR"/>
        </w:rPr>
        <w:t>’</w:t>
      </w:r>
      <w:r>
        <w:rPr>
          <w:lang w:val="fr-FR"/>
        </w:rPr>
        <w:t>audit (auditeur interne)» doit permettre d</w:t>
      </w:r>
      <w:r w:rsidR="005F6019">
        <w:rPr>
          <w:lang w:val="fr-FR"/>
        </w:rPr>
        <w:t>’</w:t>
      </w:r>
      <w:r>
        <w:rPr>
          <w:lang w:val="fr-FR"/>
        </w:rPr>
        <w:t>acquérir les compétences et connaissances nécessaires pour approfondir la compréhension de la norme ISO 9001 et de la manière dont elle peut être interprétée et appliquée dans une variété de secteurs commerciaux/industriels différents. Le programme doit couvrir au minimum les sujets suivants:</w:t>
      </w:r>
    </w:p>
    <w:bookmarkEnd w:id="0"/>
    <w:p w14:paraId="549AF336" w14:textId="77777777" w:rsidR="00770B34" w:rsidRPr="004709AF" w:rsidRDefault="00770B34" w:rsidP="00553092">
      <w:pPr>
        <w:pStyle w:val="WMOIndent2"/>
        <w:numPr>
          <w:ilvl w:val="0"/>
          <w:numId w:val="11"/>
        </w:numPr>
        <w:spacing w:before="120"/>
        <w:ind w:left="1134" w:hanging="567"/>
        <w:rPr>
          <w:lang w:val="fr-FR"/>
        </w:rPr>
      </w:pPr>
      <w:r>
        <w:rPr>
          <w:lang w:val="fr-FR"/>
        </w:rPr>
        <w:t>Systèmes de gestion de la qualité;</w:t>
      </w:r>
    </w:p>
    <w:p w14:paraId="57714964" w14:textId="77777777" w:rsidR="00770B34" w:rsidRPr="00897B41" w:rsidRDefault="00770B34" w:rsidP="00553092">
      <w:pPr>
        <w:pStyle w:val="WMOIndent2"/>
        <w:numPr>
          <w:ilvl w:val="0"/>
          <w:numId w:val="11"/>
        </w:numPr>
        <w:spacing w:before="120"/>
        <w:ind w:left="1134" w:hanging="567"/>
      </w:pPr>
      <w:r>
        <w:rPr>
          <w:lang w:val="fr-FR"/>
        </w:rPr>
        <w:t>Concepts de qualité;</w:t>
      </w:r>
    </w:p>
    <w:p w14:paraId="301954F3" w14:textId="3B84FFDB" w:rsidR="00770B34" w:rsidRPr="00897B41" w:rsidRDefault="00770B34" w:rsidP="00553092">
      <w:pPr>
        <w:pStyle w:val="WMOIndent2"/>
        <w:numPr>
          <w:ilvl w:val="0"/>
          <w:numId w:val="11"/>
        </w:numPr>
        <w:spacing w:before="120"/>
        <w:ind w:left="1134" w:hanging="567"/>
      </w:pPr>
      <w:r>
        <w:rPr>
          <w:lang w:val="fr-FR"/>
        </w:rPr>
        <w:t>Procédure d</w:t>
      </w:r>
      <w:r w:rsidR="005F6019">
        <w:rPr>
          <w:lang w:val="fr-FR"/>
        </w:rPr>
        <w:t>’</w:t>
      </w:r>
      <w:r>
        <w:rPr>
          <w:lang w:val="fr-FR"/>
        </w:rPr>
        <w:t>audit;</w:t>
      </w:r>
    </w:p>
    <w:p w14:paraId="56DCBD07" w14:textId="77777777" w:rsidR="00770B34" w:rsidRPr="004709AF" w:rsidRDefault="00770B34" w:rsidP="00553092">
      <w:pPr>
        <w:pStyle w:val="WMOIndent2"/>
        <w:numPr>
          <w:ilvl w:val="0"/>
          <w:numId w:val="11"/>
        </w:numPr>
        <w:spacing w:before="120"/>
        <w:ind w:left="1134" w:hanging="567"/>
        <w:rPr>
          <w:lang w:val="fr-FR"/>
        </w:rPr>
      </w:pPr>
      <w:r>
        <w:rPr>
          <w:lang w:val="fr-FR"/>
        </w:rPr>
        <w:t>Audit de la norme ISO 9001;</w:t>
      </w:r>
    </w:p>
    <w:p w14:paraId="6D4C8BB5" w14:textId="6CA2494C" w:rsidR="00770B34" w:rsidRPr="00897B41" w:rsidRDefault="00770B34" w:rsidP="00553092">
      <w:pPr>
        <w:pStyle w:val="WMOIndent2"/>
        <w:numPr>
          <w:ilvl w:val="0"/>
          <w:numId w:val="11"/>
        </w:numPr>
        <w:spacing w:before="120"/>
        <w:ind w:left="1134" w:hanging="567"/>
      </w:pPr>
      <w:r>
        <w:rPr>
          <w:lang w:val="fr-FR"/>
        </w:rPr>
        <w:t>Contexte de l</w:t>
      </w:r>
      <w:r w:rsidR="005F6019">
        <w:rPr>
          <w:lang w:val="fr-FR"/>
        </w:rPr>
        <w:t>’</w:t>
      </w:r>
      <w:r>
        <w:rPr>
          <w:lang w:val="fr-FR"/>
        </w:rPr>
        <w:t>organisation;</w:t>
      </w:r>
    </w:p>
    <w:p w14:paraId="2C989A9D" w14:textId="77777777" w:rsidR="00770B34" w:rsidRPr="00897B41" w:rsidRDefault="00770B34" w:rsidP="00553092">
      <w:pPr>
        <w:pStyle w:val="WMOIndent2"/>
        <w:numPr>
          <w:ilvl w:val="0"/>
          <w:numId w:val="11"/>
        </w:numPr>
        <w:spacing w:before="120"/>
        <w:ind w:left="1134" w:hanging="567"/>
      </w:pPr>
      <w:r>
        <w:rPr>
          <w:lang w:val="fr-FR"/>
        </w:rPr>
        <w:t>Leadership et engagement;</w:t>
      </w:r>
    </w:p>
    <w:p w14:paraId="75703640" w14:textId="77777777" w:rsidR="00770B34" w:rsidRPr="00897B41" w:rsidRDefault="00770B34" w:rsidP="00553092">
      <w:pPr>
        <w:pStyle w:val="WMOIndent2"/>
        <w:numPr>
          <w:ilvl w:val="0"/>
          <w:numId w:val="11"/>
        </w:numPr>
        <w:spacing w:before="120"/>
        <w:ind w:left="1134" w:hanging="567"/>
      </w:pPr>
      <w:r>
        <w:rPr>
          <w:lang w:val="fr-FR"/>
        </w:rPr>
        <w:t>Planification de la qualité;</w:t>
      </w:r>
    </w:p>
    <w:p w14:paraId="6CDE1E72" w14:textId="77777777" w:rsidR="00770B34" w:rsidRPr="00897B41" w:rsidRDefault="00770B34" w:rsidP="00553092">
      <w:pPr>
        <w:pStyle w:val="WMOIndent2"/>
        <w:numPr>
          <w:ilvl w:val="0"/>
          <w:numId w:val="11"/>
        </w:numPr>
        <w:spacing w:before="120"/>
        <w:ind w:left="1134" w:hanging="567"/>
      </w:pPr>
      <w:r>
        <w:rPr>
          <w:lang w:val="fr-FR"/>
        </w:rPr>
        <w:t>Appui et ressources;</w:t>
      </w:r>
    </w:p>
    <w:p w14:paraId="2042FC85" w14:textId="77777777" w:rsidR="00770B34" w:rsidRPr="00897B41" w:rsidRDefault="00770B34" w:rsidP="00553092">
      <w:pPr>
        <w:pStyle w:val="WMOIndent2"/>
        <w:numPr>
          <w:ilvl w:val="0"/>
          <w:numId w:val="11"/>
        </w:numPr>
        <w:spacing w:before="120"/>
        <w:ind w:left="1134" w:hanging="567"/>
      </w:pPr>
      <w:r>
        <w:rPr>
          <w:lang w:val="fr-FR"/>
        </w:rPr>
        <w:t>Planification et maîtrise opérationnelles;</w:t>
      </w:r>
    </w:p>
    <w:p w14:paraId="44DE2C98" w14:textId="77777777" w:rsidR="00770B34" w:rsidRPr="004709AF" w:rsidRDefault="00770B34" w:rsidP="00553092">
      <w:pPr>
        <w:pStyle w:val="WMOIndent2"/>
        <w:numPr>
          <w:ilvl w:val="0"/>
          <w:numId w:val="11"/>
        </w:numPr>
        <w:spacing w:before="120"/>
        <w:ind w:left="1134" w:hanging="567"/>
        <w:rPr>
          <w:lang w:val="fr-FR"/>
        </w:rPr>
      </w:pPr>
      <w:r>
        <w:rPr>
          <w:lang w:val="fr-FR"/>
        </w:rPr>
        <w:t>Évaluation de la qualité des performances;</w:t>
      </w:r>
    </w:p>
    <w:p w14:paraId="1A61987D" w14:textId="77777777" w:rsidR="00770B34" w:rsidRPr="00897B41" w:rsidRDefault="00770B34" w:rsidP="00553092">
      <w:pPr>
        <w:pStyle w:val="WMOIndent2"/>
        <w:numPr>
          <w:ilvl w:val="0"/>
          <w:numId w:val="11"/>
        </w:numPr>
        <w:spacing w:before="120"/>
        <w:ind w:left="1134" w:hanging="567"/>
      </w:pPr>
      <w:r>
        <w:rPr>
          <w:lang w:val="fr-FR"/>
        </w:rPr>
        <w:t>Amélioration de la qualité.</w:t>
      </w:r>
    </w:p>
    <w:p w14:paraId="2D23C203" w14:textId="535E95C1" w:rsidR="00770B34" w:rsidRPr="0097571E" w:rsidRDefault="00770B34" w:rsidP="00AC2B3C">
      <w:pPr>
        <w:pStyle w:val="ListParagraph"/>
        <w:numPr>
          <w:ilvl w:val="0"/>
          <w:numId w:val="18"/>
        </w:numPr>
        <w:spacing w:before="240"/>
        <w:ind w:left="567" w:hanging="567"/>
        <w:rPr>
          <w:rFonts w:ascii="Verdana" w:hAnsi="Verdana"/>
          <w:sz w:val="20"/>
          <w:szCs w:val="20"/>
        </w:rPr>
      </w:pPr>
      <w:r w:rsidRPr="0097571E">
        <w:rPr>
          <w:rFonts w:ascii="Verdana" w:hAnsi="Verdana"/>
          <w:sz w:val="20"/>
          <w:szCs w:val="20"/>
          <w:lang w:val="fr-FR"/>
        </w:rPr>
        <w:t>Le cours d</w:t>
      </w:r>
      <w:r w:rsidR="005F6019" w:rsidRPr="0097571E">
        <w:rPr>
          <w:rFonts w:ascii="Verdana" w:hAnsi="Verdana"/>
          <w:sz w:val="20"/>
          <w:szCs w:val="20"/>
          <w:lang w:val="fr-FR"/>
        </w:rPr>
        <w:t>’</w:t>
      </w:r>
      <w:r w:rsidRPr="0097571E">
        <w:rPr>
          <w:rFonts w:ascii="Verdana" w:hAnsi="Verdana"/>
          <w:sz w:val="20"/>
          <w:szCs w:val="20"/>
          <w:lang w:val="fr-FR"/>
        </w:rPr>
        <w:t>auditeur principal doit fournir une formation complète sur la théorie et la pratique de la conduite d</w:t>
      </w:r>
      <w:r w:rsidR="005F6019" w:rsidRPr="0097571E">
        <w:rPr>
          <w:rFonts w:ascii="Verdana" w:hAnsi="Verdana"/>
          <w:sz w:val="20"/>
          <w:szCs w:val="20"/>
          <w:lang w:val="fr-FR"/>
        </w:rPr>
        <w:t>’</w:t>
      </w:r>
      <w:r w:rsidRPr="0097571E">
        <w:rPr>
          <w:rFonts w:ascii="Verdana" w:hAnsi="Verdana"/>
          <w:sz w:val="20"/>
          <w:szCs w:val="20"/>
          <w:lang w:val="fr-FR"/>
        </w:rPr>
        <w:t>un audit de systèmes de management de la qualité fondé sur les normes ISO 9001:2015 et ISO 19011:2018. Acquérir des connaissances pratiques sur les responsabilités d</w:t>
      </w:r>
      <w:r w:rsidR="005F6019" w:rsidRPr="0097571E">
        <w:rPr>
          <w:rFonts w:ascii="Verdana" w:hAnsi="Verdana"/>
          <w:sz w:val="20"/>
          <w:szCs w:val="20"/>
          <w:lang w:val="fr-FR"/>
        </w:rPr>
        <w:t>’</w:t>
      </w:r>
      <w:r w:rsidRPr="0097571E">
        <w:rPr>
          <w:rFonts w:ascii="Verdana" w:hAnsi="Verdana"/>
          <w:sz w:val="20"/>
          <w:szCs w:val="20"/>
          <w:lang w:val="fr-FR"/>
        </w:rPr>
        <w:t>un auditeur principal de la qualité, ainsi que des techniques et méthodologies requises pour diriger efficacement un audit de système de gestion de la qualité. Le programme doit couvrir au minimum les sujets suivants:</w:t>
      </w:r>
    </w:p>
    <w:p w14:paraId="4FD6B552" w14:textId="2210A29B" w:rsidR="00770B34" w:rsidRPr="004709AF" w:rsidRDefault="00770B34" w:rsidP="00553092">
      <w:pPr>
        <w:pStyle w:val="WMOIndent2"/>
        <w:numPr>
          <w:ilvl w:val="0"/>
          <w:numId w:val="19"/>
        </w:numPr>
        <w:spacing w:before="120"/>
        <w:ind w:left="1134" w:hanging="567"/>
        <w:rPr>
          <w:lang w:val="fr-FR"/>
        </w:rPr>
      </w:pPr>
      <w:r>
        <w:rPr>
          <w:lang w:val="fr-FR"/>
        </w:rPr>
        <w:t>Vue d</w:t>
      </w:r>
      <w:r w:rsidR="005F6019">
        <w:rPr>
          <w:lang w:val="fr-FR"/>
        </w:rPr>
        <w:t>’</w:t>
      </w:r>
      <w:r>
        <w:rPr>
          <w:lang w:val="fr-FR"/>
        </w:rPr>
        <w:t>ensemble de la norme ISO 9001;</w:t>
      </w:r>
    </w:p>
    <w:p w14:paraId="7AF6E885" w14:textId="10E968B9" w:rsidR="00770B34" w:rsidRPr="00897B41" w:rsidRDefault="00770B34" w:rsidP="00553092">
      <w:pPr>
        <w:pStyle w:val="WMOIndent2"/>
        <w:numPr>
          <w:ilvl w:val="0"/>
          <w:numId w:val="19"/>
        </w:numPr>
        <w:spacing w:before="120"/>
        <w:ind w:left="1134" w:hanging="567"/>
      </w:pPr>
      <w:r>
        <w:rPr>
          <w:lang w:val="fr-FR"/>
        </w:rPr>
        <w:t>Gestion d</w:t>
      </w:r>
      <w:r w:rsidR="005F6019">
        <w:rPr>
          <w:lang w:val="fr-FR"/>
        </w:rPr>
        <w:t>’</w:t>
      </w:r>
      <w:r>
        <w:rPr>
          <w:lang w:val="fr-FR"/>
        </w:rPr>
        <w:t>un programme d</w:t>
      </w:r>
      <w:r w:rsidR="005F6019">
        <w:rPr>
          <w:lang w:val="fr-FR"/>
        </w:rPr>
        <w:t>’</w:t>
      </w:r>
      <w:r>
        <w:rPr>
          <w:lang w:val="fr-FR"/>
        </w:rPr>
        <w:t>audit;</w:t>
      </w:r>
    </w:p>
    <w:p w14:paraId="6D433F6F" w14:textId="2ABDA5AD" w:rsidR="00770B34" w:rsidRPr="004709AF" w:rsidRDefault="00770B34" w:rsidP="00553092">
      <w:pPr>
        <w:pStyle w:val="WMOIndent2"/>
        <w:numPr>
          <w:ilvl w:val="0"/>
          <w:numId w:val="19"/>
        </w:numPr>
        <w:spacing w:before="120"/>
        <w:ind w:left="1134" w:hanging="567"/>
        <w:rPr>
          <w:lang w:val="fr-FR"/>
        </w:rPr>
      </w:pPr>
      <w:r>
        <w:rPr>
          <w:lang w:val="fr-FR"/>
        </w:rPr>
        <w:lastRenderedPageBreak/>
        <w:t>Planification et préparation de l</w:t>
      </w:r>
      <w:r w:rsidR="005F6019">
        <w:rPr>
          <w:lang w:val="fr-FR"/>
        </w:rPr>
        <w:t>’</w:t>
      </w:r>
      <w:r>
        <w:rPr>
          <w:lang w:val="fr-FR"/>
        </w:rPr>
        <w:t>audit;</w:t>
      </w:r>
    </w:p>
    <w:p w14:paraId="47E56EC0" w14:textId="66922A05" w:rsidR="00770B34" w:rsidRPr="004709AF" w:rsidRDefault="00770B34" w:rsidP="00553092">
      <w:pPr>
        <w:pStyle w:val="WMOIndent2"/>
        <w:numPr>
          <w:ilvl w:val="0"/>
          <w:numId w:val="19"/>
        </w:numPr>
        <w:spacing w:before="120"/>
        <w:ind w:left="1134" w:hanging="567"/>
        <w:rPr>
          <w:lang w:val="fr-FR"/>
        </w:rPr>
      </w:pPr>
      <w:r>
        <w:rPr>
          <w:lang w:val="fr-FR"/>
        </w:rPr>
        <w:t>Réalisation de l</w:t>
      </w:r>
      <w:r w:rsidR="005F6019">
        <w:rPr>
          <w:lang w:val="fr-FR"/>
        </w:rPr>
        <w:t>’</w:t>
      </w:r>
      <w:r>
        <w:rPr>
          <w:lang w:val="fr-FR"/>
        </w:rPr>
        <w:t>audit – exercices pratiques pour les participants;</w:t>
      </w:r>
    </w:p>
    <w:p w14:paraId="47D6851B" w14:textId="40659618" w:rsidR="00770B34" w:rsidRPr="004709AF" w:rsidRDefault="00770B34" w:rsidP="00553092">
      <w:pPr>
        <w:pStyle w:val="WMOIndent2"/>
        <w:numPr>
          <w:ilvl w:val="0"/>
          <w:numId w:val="19"/>
        </w:numPr>
        <w:spacing w:before="120"/>
        <w:ind w:left="1134" w:hanging="567"/>
        <w:rPr>
          <w:lang w:val="fr-FR"/>
        </w:rPr>
      </w:pPr>
      <w:r>
        <w:rPr>
          <w:lang w:val="fr-FR"/>
        </w:rPr>
        <w:t>Rapport sur les résultats de l</w:t>
      </w:r>
      <w:r w:rsidR="005F6019">
        <w:rPr>
          <w:lang w:val="fr-FR"/>
        </w:rPr>
        <w:t>’</w:t>
      </w:r>
      <w:r>
        <w:rPr>
          <w:lang w:val="fr-FR"/>
        </w:rPr>
        <w:t>audit;</w:t>
      </w:r>
    </w:p>
    <w:p w14:paraId="0BBD2FFC" w14:textId="77777777" w:rsidR="00770B34" w:rsidRPr="004709AF" w:rsidRDefault="00770B34" w:rsidP="00553092">
      <w:pPr>
        <w:pStyle w:val="WMOIndent2"/>
        <w:numPr>
          <w:ilvl w:val="0"/>
          <w:numId w:val="19"/>
        </w:numPr>
        <w:spacing w:before="120"/>
        <w:ind w:left="1134" w:hanging="567"/>
        <w:rPr>
          <w:lang w:val="fr-FR"/>
        </w:rPr>
      </w:pPr>
      <w:r>
        <w:rPr>
          <w:lang w:val="fr-FR"/>
        </w:rPr>
        <w:t>Systèmes de management de la qualité;</w:t>
      </w:r>
    </w:p>
    <w:p w14:paraId="73E67B7C" w14:textId="77777777" w:rsidR="00770B34" w:rsidRPr="004709AF" w:rsidRDefault="00770B34" w:rsidP="00553092">
      <w:pPr>
        <w:pStyle w:val="WMOIndent2"/>
        <w:numPr>
          <w:ilvl w:val="0"/>
          <w:numId w:val="19"/>
        </w:numPr>
        <w:spacing w:before="120"/>
        <w:ind w:left="1134" w:hanging="567"/>
        <w:rPr>
          <w:lang w:val="fr-FR"/>
        </w:rPr>
      </w:pPr>
      <w:r>
        <w:rPr>
          <w:lang w:val="fr-FR"/>
        </w:rPr>
        <w:t>Concepts de gestion de la qualité;</w:t>
      </w:r>
    </w:p>
    <w:p w14:paraId="6C1C32F0" w14:textId="3225114E" w:rsidR="00770B34" w:rsidRPr="004709AF" w:rsidRDefault="00770B34" w:rsidP="00553092">
      <w:pPr>
        <w:pStyle w:val="WMOIndent2"/>
        <w:numPr>
          <w:ilvl w:val="0"/>
          <w:numId w:val="19"/>
        </w:numPr>
        <w:spacing w:before="120"/>
        <w:ind w:left="1134" w:hanging="567"/>
        <w:rPr>
          <w:lang w:val="fr-FR"/>
        </w:rPr>
      </w:pPr>
      <w:r>
        <w:rPr>
          <w:lang w:val="fr-FR"/>
        </w:rPr>
        <w:t>Le processus d</w:t>
      </w:r>
      <w:r w:rsidR="005F6019">
        <w:rPr>
          <w:lang w:val="fr-FR"/>
        </w:rPr>
        <w:t>’</w:t>
      </w:r>
      <w:r>
        <w:rPr>
          <w:lang w:val="fr-FR"/>
        </w:rPr>
        <w:t>audit et l</w:t>
      </w:r>
      <w:r w:rsidR="005F6019">
        <w:rPr>
          <w:lang w:val="fr-FR"/>
        </w:rPr>
        <w:t>’</w:t>
      </w:r>
      <w:r>
        <w:rPr>
          <w:lang w:val="fr-FR"/>
        </w:rPr>
        <w:t>audit de la norme ISO 9001;</w:t>
      </w:r>
    </w:p>
    <w:p w14:paraId="10DB1ACD" w14:textId="04297F20" w:rsidR="00770B34" w:rsidRPr="00897B41" w:rsidRDefault="00770B34" w:rsidP="00553092">
      <w:pPr>
        <w:pStyle w:val="WMOIndent2"/>
        <w:numPr>
          <w:ilvl w:val="0"/>
          <w:numId w:val="19"/>
        </w:numPr>
        <w:spacing w:before="120"/>
        <w:ind w:left="1134" w:hanging="567"/>
      </w:pPr>
      <w:r>
        <w:rPr>
          <w:lang w:val="fr-FR"/>
        </w:rPr>
        <w:t>Contexte de l</w:t>
      </w:r>
      <w:r w:rsidR="005F6019">
        <w:rPr>
          <w:lang w:val="fr-FR"/>
        </w:rPr>
        <w:t>’</w:t>
      </w:r>
      <w:r>
        <w:rPr>
          <w:lang w:val="fr-FR"/>
        </w:rPr>
        <w:t>organisation;</w:t>
      </w:r>
    </w:p>
    <w:p w14:paraId="409FD675" w14:textId="77777777" w:rsidR="00770B34" w:rsidRPr="00897B41" w:rsidRDefault="00770B34" w:rsidP="00553092">
      <w:pPr>
        <w:pStyle w:val="WMOIndent2"/>
        <w:numPr>
          <w:ilvl w:val="0"/>
          <w:numId w:val="19"/>
        </w:numPr>
        <w:spacing w:before="120"/>
        <w:ind w:left="1134" w:hanging="567"/>
      </w:pPr>
      <w:r>
        <w:rPr>
          <w:lang w:val="fr-FR"/>
        </w:rPr>
        <w:t>Leadership.</w:t>
      </w:r>
    </w:p>
    <w:p w14:paraId="4EF311E2" w14:textId="77777777" w:rsidR="009117AD" w:rsidRPr="00897B41" w:rsidRDefault="009117AD">
      <w:pPr>
        <w:tabs>
          <w:tab w:val="clear" w:pos="1134"/>
        </w:tabs>
        <w:jc w:val="left"/>
        <w:rPr>
          <w:b/>
          <w:bCs/>
        </w:rPr>
      </w:pPr>
      <w:r w:rsidRPr="00897B41">
        <w:rPr>
          <w:b/>
          <w:bCs/>
        </w:rPr>
        <w:br w:type="page"/>
      </w:r>
    </w:p>
    <w:p w14:paraId="5E01DA99" w14:textId="77777777" w:rsidR="00770B34" w:rsidRPr="00897B41" w:rsidRDefault="00770B34" w:rsidP="006F6806">
      <w:pPr>
        <w:pStyle w:val="Heading3"/>
        <w:jc w:val="center"/>
      </w:pPr>
      <w:bookmarkStart w:id="1" w:name="_ANNEX_I"/>
      <w:bookmarkEnd w:id="1"/>
      <w:r>
        <w:rPr>
          <w:lang w:val="fr-FR"/>
        </w:rPr>
        <w:lastRenderedPageBreak/>
        <w:t>ANNEXE I</w:t>
      </w:r>
    </w:p>
    <w:p w14:paraId="082C1513" w14:textId="3238CA22" w:rsidR="00770B34" w:rsidRPr="004709AF" w:rsidRDefault="00770B34" w:rsidP="0007304C">
      <w:pPr>
        <w:pStyle w:val="Heading3"/>
        <w:jc w:val="center"/>
        <w:rPr>
          <w:lang w:val="fr-FR"/>
        </w:rPr>
      </w:pPr>
      <w:r>
        <w:rPr>
          <w:lang w:val="fr-FR"/>
        </w:rPr>
        <w:t>Vérification des réponses à la liste de contrôle de l</w:t>
      </w:r>
      <w:r w:rsidR="005F6019">
        <w:rPr>
          <w:lang w:val="fr-FR"/>
        </w:rPr>
        <w:t>’</w:t>
      </w:r>
      <w:r>
        <w:rPr>
          <w:lang w:val="fr-FR"/>
        </w:rPr>
        <w:t>OMM pour la mise en œuvre des services climatologiques et certification du niveau de capacité des services climatologiques</w:t>
      </w:r>
    </w:p>
    <w:p w14:paraId="1E312630" w14:textId="77777777" w:rsidR="00770B34" w:rsidRPr="004709AF" w:rsidRDefault="00770B34" w:rsidP="00413FB9">
      <w:pPr>
        <w:pStyle w:val="Heading3"/>
        <w:spacing w:after="240"/>
        <w:rPr>
          <w:lang w:val="fr-FR"/>
        </w:rPr>
      </w:pPr>
      <w:r>
        <w:rPr>
          <w:lang w:val="fr-FR"/>
        </w:rPr>
        <w:t>Introduction</w:t>
      </w:r>
    </w:p>
    <w:p w14:paraId="5E92C053" w14:textId="4D27F963" w:rsidR="00770B34" w:rsidRPr="004709AF" w:rsidRDefault="00770B34" w:rsidP="003523E8">
      <w:pPr>
        <w:pStyle w:val="WMOBodyText"/>
        <w:rPr>
          <w:lang w:val="fr-FR"/>
        </w:rPr>
      </w:pPr>
      <w:r>
        <w:rPr>
          <w:lang w:val="fr-FR"/>
        </w:rPr>
        <w:t>Cette méthodologie explique la vérification des réponses à la liste de contrôle de l</w:t>
      </w:r>
      <w:r w:rsidR="005F6019">
        <w:rPr>
          <w:lang w:val="fr-FR"/>
        </w:rPr>
        <w:t>’</w:t>
      </w:r>
      <w:r>
        <w:rPr>
          <w:lang w:val="fr-FR"/>
        </w:rPr>
        <w:t>OMM pour la mise en œuvre des services climatiques comme première étape pour le développement et la mise en œuvre d</w:t>
      </w:r>
      <w:r w:rsidR="005F6019">
        <w:rPr>
          <w:lang w:val="fr-FR"/>
        </w:rPr>
        <w:t>’</w:t>
      </w:r>
      <w:r>
        <w:rPr>
          <w:lang w:val="fr-FR"/>
        </w:rPr>
        <w:t>un système de gestion de la qualité dans les services climatologiques fondé sur la norme ISO 9001:2015. La certification de la conformité à la norme ISO 9001 et aux documents réglementaires de l</w:t>
      </w:r>
      <w:r w:rsidR="005F6019">
        <w:rPr>
          <w:lang w:val="fr-FR"/>
        </w:rPr>
        <w:t>’</w:t>
      </w:r>
      <w:r>
        <w:rPr>
          <w:lang w:val="fr-FR"/>
        </w:rPr>
        <w:t xml:space="preserve">OMM peut être obtenue. Pour des informations détaillées sur les processus ISO, se reporter aux publications OMM-N° 1100 (2017) et </w:t>
      </w:r>
      <w:proofErr w:type="spellStart"/>
      <w:r>
        <w:rPr>
          <w:lang w:val="fr-FR"/>
        </w:rPr>
        <w:t>WMO</w:t>
      </w:r>
      <w:proofErr w:type="spellEnd"/>
      <w:r>
        <w:rPr>
          <w:lang w:val="fr-FR"/>
        </w:rPr>
        <w:t xml:space="preserve">-No. 1221 (2018). </w:t>
      </w:r>
    </w:p>
    <w:p w14:paraId="3EE91588" w14:textId="77777777" w:rsidR="00770B34" w:rsidRPr="004709AF" w:rsidRDefault="00770B34" w:rsidP="00413FB9">
      <w:pPr>
        <w:pStyle w:val="Heading3"/>
        <w:spacing w:after="240"/>
        <w:rPr>
          <w:lang w:val="fr-FR"/>
        </w:rPr>
      </w:pPr>
      <w:r>
        <w:rPr>
          <w:lang w:val="fr-FR"/>
        </w:rPr>
        <w:t>Méthode</w:t>
      </w:r>
    </w:p>
    <w:p w14:paraId="0EEBD308" w14:textId="014806C1" w:rsidR="00770B34" w:rsidRPr="004709AF" w:rsidRDefault="00770B34" w:rsidP="003523E8">
      <w:pPr>
        <w:pStyle w:val="WMOBodyText"/>
        <w:rPr>
          <w:lang w:val="fr-FR"/>
        </w:rPr>
      </w:pPr>
      <w:r>
        <w:rPr>
          <w:lang w:val="fr-FR"/>
        </w:rPr>
        <w:t>La figure 1 présente une vue d</w:t>
      </w:r>
      <w:r w:rsidR="005F6019">
        <w:rPr>
          <w:lang w:val="fr-FR"/>
        </w:rPr>
        <w:t>’</w:t>
      </w:r>
      <w:r>
        <w:rPr>
          <w:lang w:val="fr-FR"/>
        </w:rPr>
        <w:t>ensemble du processus de vérification, qui se compose de quatre étapes, allant de l</w:t>
      </w:r>
      <w:r w:rsidR="005F6019">
        <w:rPr>
          <w:lang w:val="fr-FR"/>
        </w:rPr>
        <w:t>’</w:t>
      </w:r>
      <w:r>
        <w:rPr>
          <w:lang w:val="fr-FR"/>
        </w:rPr>
        <w:t>identification des sources de preuves à la rédaction d</w:t>
      </w:r>
      <w:r w:rsidR="005F6019">
        <w:rPr>
          <w:lang w:val="fr-FR"/>
        </w:rPr>
        <w:t>’</w:t>
      </w:r>
      <w:r>
        <w:rPr>
          <w:lang w:val="fr-FR"/>
        </w:rPr>
        <w:t>un rapport fondé sur l</w:t>
      </w:r>
      <w:r w:rsidR="005F6019">
        <w:rPr>
          <w:lang w:val="fr-FR"/>
        </w:rPr>
        <w:t>’</w:t>
      </w:r>
      <w:r>
        <w:rPr>
          <w:lang w:val="fr-FR"/>
        </w:rPr>
        <w:t xml:space="preserve">appréciation des preuves. </w:t>
      </w:r>
    </w:p>
    <w:p w14:paraId="080B9E78" w14:textId="77777777" w:rsidR="00770B34" w:rsidRPr="00897B41" w:rsidRDefault="00770B34" w:rsidP="00054A7B">
      <w:pPr>
        <w:spacing w:before="240" w:after="120" w:line="276" w:lineRule="auto"/>
        <w:jc w:val="center"/>
      </w:pPr>
      <w:r w:rsidRPr="00897B41">
        <w:rPr>
          <w:noProof/>
        </w:rPr>
        <w:drawing>
          <wp:inline distT="0" distB="0" distL="0" distR="0" wp14:anchorId="59EF91FB" wp14:editId="56C036FA">
            <wp:extent cx="3410055" cy="2571750"/>
            <wp:effectExtent l="0" t="0" r="0" b="0"/>
            <wp:docPr id="1966667628" name="Picture 19666676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67628" name="Picture 1966667628" descr="A picture containing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10055" cy="2571750"/>
                    </a:xfrm>
                    <a:prstGeom prst="rect">
                      <a:avLst/>
                    </a:prstGeom>
                  </pic:spPr>
                </pic:pic>
              </a:graphicData>
            </a:graphic>
          </wp:inline>
        </w:drawing>
      </w:r>
    </w:p>
    <w:p w14:paraId="40CB1CCA" w14:textId="56A0B4AA" w:rsidR="00770B34" w:rsidRPr="0097571E" w:rsidRDefault="00770B34" w:rsidP="000C36FF">
      <w:pPr>
        <w:spacing w:after="120" w:line="276" w:lineRule="auto"/>
        <w:jc w:val="center"/>
        <w:rPr>
          <w:b/>
          <w:bCs/>
          <w:sz w:val="18"/>
          <w:szCs w:val="18"/>
          <w:lang w:val="fr-FR"/>
        </w:rPr>
      </w:pPr>
      <w:r w:rsidRPr="0097571E">
        <w:rPr>
          <w:b/>
          <w:bCs/>
          <w:lang w:val="fr-FR"/>
        </w:rPr>
        <w:t>Figure 1. Principales étapes de l</w:t>
      </w:r>
      <w:r w:rsidR="005F6019" w:rsidRPr="0097571E">
        <w:rPr>
          <w:b/>
          <w:bCs/>
          <w:lang w:val="fr-FR"/>
        </w:rPr>
        <w:t>’</w:t>
      </w:r>
      <w:r w:rsidRPr="0097571E">
        <w:rPr>
          <w:b/>
          <w:bCs/>
          <w:lang w:val="fr-FR"/>
        </w:rPr>
        <w:t>identification et de l</w:t>
      </w:r>
      <w:r w:rsidR="005F6019" w:rsidRPr="0097571E">
        <w:rPr>
          <w:b/>
          <w:bCs/>
          <w:lang w:val="fr-FR"/>
        </w:rPr>
        <w:t>’</w:t>
      </w:r>
      <w:r w:rsidRPr="0097571E">
        <w:rPr>
          <w:b/>
          <w:bCs/>
          <w:lang w:val="fr-FR"/>
        </w:rPr>
        <w:t>utilisation des preuves</w:t>
      </w:r>
      <w:r w:rsidR="0097571E">
        <w:rPr>
          <w:b/>
          <w:bCs/>
          <w:lang w:val="fr-FR"/>
        </w:rPr>
        <w:br/>
      </w:r>
      <w:r w:rsidRPr="0097571E">
        <w:rPr>
          <w:b/>
          <w:bCs/>
          <w:lang w:val="fr-FR"/>
        </w:rPr>
        <w:t>pour la vérification</w:t>
      </w:r>
    </w:p>
    <w:p w14:paraId="4B1C37E4" w14:textId="77777777" w:rsidR="00770B34" w:rsidRPr="004709AF" w:rsidRDefault="00770B34" w:rsidP="00FB2FD2">
      <w:pPr>
        <w:pStyle w:val="WMOSubTitle1"/>
        <w:spacing w:before="360"/>
        <w:rPr>
          <w:lang w:val="fr-FR"/>
        </w:rPr>
      </w:pPr>
      <w:r>
        <w:rPr>
          <w:bCs/>
          <w:iCs/>
          <w:lang w:val="fr-FR"/>
        </w:rPr>
        <w:t>1.</w:t>
      </w:r>
      <w:r>
        <w:rPr>
          <w:lang w:val="fr-FR"/>
        </w:rPr>
        <w:t xml:space="preserve"> </w:t>
      </w:r>
      <w:r>
        <w:rPr>
          <w:lang w:val="fr-FR"/>
        </w:rPr>
        <w:tab/>
        <w:t>Identifier les sources de preuves:</w:t>
      </w:r>
    </w:p>
    <w:p w14:paraId="1498FCBF" w14:textId="6D87FB2E" w:rsidR="00770B34" w:rsidRPr="004709AF" w:rsidRDefault="00770B34" w:rsidP="003523E8">
      <w:pPr>
        <w:pStyle w:val="WMOBodyText"/>
        <w:rPr>
          <w:lang w:val="fr-FR"/>
        </w:rPr>
      </w:pPr>
      <w:r>
        <w:rPr>
          <w:lang w:val="fr-FR"/>
        </w:rPr>
        <w:t>Elles sont très variées et se composent principalement des documents réglementaires de l</w:t>
      </w:r>
      <w:r w:rsidR="005F6019">
        <w:rPr>
          <w:lang w:val="fr-FR"/>
        </w:rPr>
        <w:t>’</w:t>
      </w:r>
      <w:r>
        <w:rPr>
          <w:lang w:val="fr-FR"/>
        </w:rPr>
        <w:t>OMM, tels que la réglementation technique et les publications supplémentaires de l</w:t>
      </w:r>
      <w:r w:rsidR="005F6019">
        <w:rPr>
          <w:lang w:val="fr-FR"/>
        </w:rPr>
        <w:t>’</w:t>
      </w:r>
      <w:r>
        <w:rPr>
          <w:lang w:val="fr-FR"/>
        </w:rPr>
        <w:t>OMM qui indiquent les pratiques requises et recommandées en matière de services climatologiques. Pour une liste non exhaustive, voir l</w:t>
      </w:r>
      <w:r w:rsidR="005F6019">
        <w:rPr>
          <w:lang w:val="fr-FR"/>
        </w:rPr>
        <w:t>’</w:t>
      </w:r>
      <w:r>
        <w:rPr>
          <w:lang w:val="fr-FR"/>
        </w:rPr>
        <w:t>annexe II. Les autres sources de documents comprennent par exemple les documents classifiés, les ressources du Web, etc.,</w:t>
      </w:r>
    </w:p>
    <w:p w14:paraId="4C24F9D6" w14:textId="77777777" w:rsidR="00770B34" w:rsidRPr="004709AF" w:rsidRDefault="00770B34" w:rsidP="00EA101C">
      <w:pPr>
        <w:pStyle w:val="WMOSubTitle1"/>
        <w:rPr>
          <w:lang w:val="fr-FR"/>
        </w:rPr>
      </w:pPr>
      <w:r>
        <w:rPr>
          <w:bCs/>
          <w:iCs/>
          <w:lang w:val="fr-FR"/>
        </w:rPr>
        <w:t>2(a)</w:t>
      </w:r>
      <w:r>
        <w:rPr>
          <w:lang w:val="fr-FR"/>
        </w:rPr>
        <w:tab/>
        <w:t xml:space="preserve">Recueillir les preuves: </w:t>
      </w:r>
    </w:p>
    <w:p w14:paraId="41916766" w14:textId="3E3C739E" w:rsidR="00770B34" w:rsidRPr="004709AF" w:rsidRDefault="00770B34" w:rsidP="003523E8">
      <w:pPr>
        <w:pStyle w:val="WMOBodyText"/>
        <w:rPr>
          <w:lang w:val="fr-FR"/>
        </w:rPr>
      </w:pPr>
      <w:r>
        <w:rPr>
          <w:lang w:val="fr-FR"/>
        </w:rPr>
        <w:t>Seules les informations qui peuvent faire l</w:t>
      </w:r>
      <w:r w:rsidR="005F6019">
        <w:rPr>
          <w:lang w:val="fr-FR"/>
        </w:rPr>
        <w:t>’</w:t>
      </w:r>
      <w:r>
        <w:rPr>
          <w:lang w:val="fr-FR"/>
        </w:rPr>
        <w:t>objet d</w:t>
      </w:r>
      <w:r w:rsidR="005F6019">
        <w:rPr>
          <w:lang w:val="fr-FR"/>
        </w:rPr>
        <w:t>’</w:t>
      </w:r>
      <w:r>
        <w:rPr>
          <w:lang w:val="fr-FR"/>
        </w:rPr>
        <w:t xml:space="preserve">un certain degré de vérification doivent être acceptées comme preuves. Les documents doivent être des documents officiels ou présenter </w:t>
      </w:r>
      <w:r>
        <w:rPr>
          <w:lang w:val="fr-FR"/>
        </w:rPr>
        <w:lastRenderedPageBreak/>
        <w:t>un certain degré de formalité. Les documents informels et obsolètes sans les données et l</w:t>
      </w:r>
      <w:r w:rsidR="005F6019">
        <w:rPr>
          <w:lang w:val="fr-FR"/>
        </w:rPr>
        <w:t>’</w:t>
      </w:r>
      <w:r>
        <w:rPr>
          <w:lang w:val="fr-FR"/>
        </w:rPr>
        <w:t>autorisation d</w:t>
      </w:r>
      <w:r w:rsidR="005F6019">
        <w:rPr>
          <w:lang w:val="fr-FR"/>
        </w:rPr>
        <w:t>’</w:t>
      </w:r>
      <w:r>
        <w:rPr>
          <w:lang w:val="fr-FR"/>
        </w:rPr>
        <w:t>un employé responsable ne sont pas acceptés. La figure 2 montre les étapes de l</w:t>
      </w:r>
      <w:r w:rsidR="005F6019">
        <w:rPr>
          <w:lang w:val="fr-FR"/>
        </w:rPr>
        <w:t>’</w:t>
      </w:r>
      <w:r>
        <w:rPr>
          <w:lang w:val="fr-FR"/>
        </w:rPr>
        <w:t xml:space="preserve">exploration des sources de preuves. </w:t>
      </w:r>
    </w:p>
    <w:p w14:paraId="02389A09" w14:textId="06A858B4" w:rsidR="00770B34" w:rsidRPr="004709AF" w:rsidRDefault="00770B34" w:rsidP="00EA101C">
      <w:pPr>
        <w:pStyle w:val="WMOSubTitle1"/>
        <w:rPr>
          <w:lang w:val="fr-FR"/>
        </w:rPr>
      </w:pPr>
      <w:r>
        <w:rPr>
          <w:bCs/>
          <w:iCs/>
          <w:lang w:val="fr-FR"/>
        </w:rPr>
        <w:t>2(b)</w:t>
      </w:r>
      <w:r>
        <w:rPr>
          <w:lang w:val="fr-FR"/>
        </w:rPr>
        <w:tab/>
        <w:t xml:space="preserve">Vérification des preuves: </w:t>
      </w:r>
    </w:p>
    <w:p w14:paraId="507A06E9" w14:textId="0D399462" w:rsidR="00770B34" w:rsidRPr="004709AF" w:rsidRDefault="00770B34" w:rsidP="003523E8">
      <w:pPr>
        <w:pStyle w:val="WMOBodyText"/>
        <w:rPr>
          <w:lang w:val="fr-FR"/>
        </w:rPr>
      </w:pPr>
      <w:r>
        <w:rPr>
          <w:lang w:val="fr-FR"/>
        </w:rPr>
        <w:t>Au cours du processus de vérification, les réponses à chacune des questions de la liste de contrôle doivent être vérifiées par rapport aux preuves recueillies auprès de diverses sources.</w:t>
      </w:r>
    </w:p>
    <w:p w14:paraId="746808F6" w14:textId="77777777" w:rsidR="00770B34" w:rsidRPr="00897B41" w:rsidRDefault="00770B34" w:rsidP="00054A7B">
      <w:pPr>
        <w:spacing w:before="240" w:line="276" w:lineRule="auto"/>
        <w:jc w:val="center"/>
      </w:pPr>
      <w:r w:rsidRPr="00897B41">
        <w:rPr>
          <w:noProof/>
        </w:rPr>
        <w:drawing>
          <wp:inline distT="0" distB="0" distL="0" distR="0" wp14:anchorId="270A0B22" wp14:editId="4759E9EC">
            <wp:extent cx="6417705" cy="3182112"/>
            <wp:effectExtent l="0" t="0" r="2540" b="0"/>
            <wp:docPr id="1971178097" name="Picture 197117809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8097" name="Picture 1971178097" descr="Diagram, 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60232" cy="3203198"/>
                    </a:xfrm>
                    <a:prstGeom prst="rect">
                      <a:avLst/>
                    </a:prstGeom>
                  </pic:spPr>
                </pic:pic>
              </a:graphicData>
            </a:graphic>
          </wp:inline>
        </w:drawing>
      </w:r>
    </w:p>
    <w:p w14:paraId="562CC0EC" w14:textId="300F0B10" w:rsidR="00770B34" w:rsidRPr="0097571E" w:rsidRDefault="00770B34" w:rsidP="00783E1D">
      <w:pPr>
        <w:spacing w:after="120" w:line="276" w:lineRule="auto"/>
        <w:jc w:val="center"/>
        <w:rPr>
          <w:b/>
          <w:bCs/>
          <w:sz w:val="18"/>
          <w:szCs w:val="18"/>
          <w:lang w:val="fr-FR"/>
        </w:rPr>
      </w:pPr>
      <w:r w:rsidRPr="0097571E">
        <w:rPr>
          <w:b/>
          <w:bCs/>
          <w:lang w:val="fr-FR"/>
        </w:rPr>
        <w:t>Figure 2. Organigramme de la collecte des sources de preuves</w:t>
      </w:r>
      <w:r w:rsidR="0097571E">
        <w:rPr>
          <w:b/>
          <w:bCs/>
          <w:lang w:val="fr-FR"/>
        </w:rPr>
        <w:br/>
      </w:r>
      <w:r w:rsidRPr="0097571E">
        <w:rPr>
          <w:b/>
          <w:bCs/>
          <w:lang w:val="fr-FR"/>
        </w:rPr>
        <w:t>pour la liste de contrôle</w:t>
      </w:r>
    </w:p>
    <w:p w14:paraId="0DF20BCF" w14:textId="77777777" w:rsidR="00770B34" w:rsidRPr="004709AF" w:rsidRDefault="00770B34" w:rsidP="003A2D7D">
      <w:pPr>
        <w:pStyle w:val="WMOSubTitle1"/>
        <w:spacing w:before="360"/>
        <w:rPr>
          <w:lang w:val="fr-FR"/>
        </w:rPr>
      </w:pPr>
      <w:r>
        <w:rPr>
          <w:bCs/>
          <w:iCs/>
          <w:lang w:val="fr-FR"/>
        </w:rPr>
        <w:t>3</w:t>
      </w:r>
      <w:r>
        <w:rPr>
          <w:lang w:val="fr-FR"/>
        </w:rPr>
        <w:tab/>
        <w:t>Examen et vérification des résultats:</w:t>
      </w:r>
    </w:p>
    <w:p w14:paraId="19BBB129" w14:textId="2E972DC6" w:rsidR="00770B34" w:rsidRPr="004709AF" w:rsidRDefault="00770B34" w:rsidP="003523E8">
      <w:pPr>
        <w:pStyle w:val="WMOBodyText"/>
        <w:rPr>
          <w:lang w:val="fr-FR"/>
        </w:rPr>
      </w:pPr>
      <w:r>
        <w:rPr>
          <w:lang w:val="fr-FR"/>
        </w:rPr>
        <w:t>Les informations documentées pertinentes de l</w:t>
      </w:r>
      <w:r w:rsidR="005F6019">
        <w:rPr>
          <w:lang w:val="fr-FR"/>
        </w:rPr>
        <w:t>’</w:t>
      </w:r>
      <w:r>
        <w:rPr>
          <w:lang w:val="fr-FR"/>
        </w:rPr>
        <w:t>entité auditée doivent être examinées pour:</w:t>
      </w:r>
    </w:p>
    <w:p w14:paraId="508824C5" w14:textId="0AF8B7C1" w:rsidR="00770B34" w:rsidRPr="004709AF" w:rsidRDefault="00770B34" w:rsidP="00BA53FD">
      <w:pPr>
        <w:pStyle w:val="WMOIndent2"/>
        <w:rPr>
          <w:lang w:val="fr-FR"/>
        </w:rPr>
      </w:pPr>
      <w:r>
        <w:rPr>
          <w:lang w:val="fr-FR"/>
        </w:rPr>
        <w:t>a)</w:t>
      </w:r>
      <w:r>
        <w:rPr>
          <w:lang w:val="fr-FR"/>
        </w:rPr>
        <w:tab/>
        <w:t>Déterminer la conformité de la chaîne de valeur des services climatiques avec les documents réglementaires de l</w:t>
      </w:r>
      <w:r w:rsidR="005F6019">
        <w:rPr>
          <w:lang w:val="fr-FR"/>
        </w:rPr>
        <w:t>’</w:t>
      </w:r>
      <w:r>
        <w:rPr>
          <w:lang w:val="fr-FR"/>
        </w:rPr>
        <w:t>OMM, dans la mesure où elle est documentée par les critères de vérification et de certification</w:t>
      </w:r>
      <w:r w:rsidRPr="00897B41">
        <w:rPr>
          <w:vertAlign w:val="superscript"/>
          <w:lang w:val="fr-FR"/>
        </w:rPr>
        <w:footnoteReference w:id="4"/>
      </w:r>
      <w:r>
        <w:rPr>
          <w:lang w:val="fr-FR"/>
        </w:rPr>
        <w:t xml:space="preserve">. </w:t>
      </w:r>
    </w:p>
    <w:p w14:paraId="11F78039" w14:textId="42654CDD" w:rsidR="00770B34" w:rsidRPr="004709AF" w:rsidRDefault="00770B34" w:rsidP="00BA53FD">
      <w:pPr>
        <w:pStyle w:val="WMOIndent2"/>
        <w:rPr>
          <w:lang w:val="fr-FR"/>
        </w:rPr>
      </w:pPr>
      <w:r>
        <w:rPr>
          <w:lang w:val="fr-FR"/>
        </w:rPr>
        <w:t>b)</w:t>
      </w:r>
      <w:r>
        <w:rPr>
          <w:lang w:val="fr-FR"/>
        </w:rPr>
        <w:tab/>
        <w:t>Recueillir des informations en appui aux activités de vérification. Dans le cas où les preuves ne soutiennent pas les réponses fournies dans la liste de contrôle, une communication supplémentaire avec le pays est recherchée afin de recueillir davantage de preuves. Si les preuves supplémentaires ne confirment toujours pas la réponse de la liste de contrôle, un accord est recherché avec le pays sur la réponse révisée de la liste de contrôle.</w:t>
      </w:r>
    </w:p>
    <w:p w14:paraId="5EFEB856" w14:textId="77777777" w:rsidR="00770B34" w:rsidRPr="004709AF" w:rsidRDefault="00770B34" w:rsidP="00EA101C">
      <w:pPr>
        <w:pStyle w:val="WMOSubTitle1"/>
        <w:rPr>
          <w:lang w:val="fr-FR"/>
        </w:rPr>
      </w:pPr>
      <w:r>
        <w:rPr>
          <w:bCs/>
          <w:iCs/>
          <w:lang w:val="fr-FR"/>
        </w:rPr>
        <w:t>4</w:t>
      </w:r>
      <w:r>
        <w:rPr>
          <w:lang w:val="fr-FR"/>
        </w:rPr>
        <w:tab/>
      </w:r>
      <w:r>
        <w:rPr>
          <w:bCs/>
          <w:iCs/>
          <w:lang w:val="fr-FR"/>
        </w:rPr>
        <w:t>Établissement de rapports:</w:t>
      </w:r>
      <w:r>
        <w:rPr>
          <w:lang w:val="fr-FR"/>
        </w:rPr>
        <w:t xml:space="preserve"> </w:t>
      </w:r>
    </w:p>
    <w:p w14:paraId="6CF2ACD5" w14:textId="7A98B0C4" w:rsidR="00770B34" w:rsidRPr="004709AF" w:rsidRDefault="00770B34" w:rsidP="003523E8">
      <w:pPr>
        <w:pStyle w:val="WMOBodyText"/>
        <w:rPr>
          <w:lang w:val="fr-FR"/>
        </w:rPr>
      </w:pPr>
      <w:r>
        <w:rPr>
          <w:lang w:val="fr-FR"/>
        </w:rPr>
        <w:t xml:space="preserve">Une fois le processus de vérification terminé, un calendrier doit être établi pour le suivi des actions identifiées. Les auditeurs doivent fournir un rapport résumant les principales </w:t>
      </w:r>
      <w:r>
        <w:rPr>
          <w:lang w:val="fr-FR"/>
        </w:rPr>
        <w:lastRenderedPageBreak/>
        <w:t>constatations et fournissant les réponses vérifiées de la liste de contrôle, ainsi que les mesures correctives suggérées. Si nécessaire, une vérification ultérieure pourrait être programmée pour vérifier l</w:t>
      </w:r>
      <w:r w:rsidR="005F6019">
        <w:rPr>
          <w:lang w:val="fr-FR"/>
        </w:rPr>
        <w:t>’</w:t>
      </w:r>
      <w:r>
        <w:rPr>
          <w:lang w:val="fr-FR"/>
        </w:rPr>
        <w:t>efficacité et l</w:t>
      </w:r>
      <w:r w:rsidR="005F6019">
        <w:rPr>
          <w:lang w:val="fr-FR"/>
        </w:rPr>
        <w:t>’</w:t>
      </w:r>
      <w:r>
        <w:rPr>
          <w:lang w:val="fr-FR"/>
        </w:rPr>
        <w:t>exhaustivité de ces actions.</w:t>
      </w:r>
    </w:p>
    <w:p w14:paraId="34DD4F4E" w14:textId="77777777" w:rsidR="00770B34" w:rsidRPr="00897B41" w:rsidRDefault="00770B34" w:rsidP="00783E1D">
      <w:pPr>
        <w:pStyle w:val="Heading3"/>
      </w:pPr>
      <w:r>
        <w:rPr>
          <w:lang w:val="fr-FR"/>
        </w:rPr>
        <w:t>Références</w:t>
      </w:r>
    </w:p>
    <w:p w14:paraId="29383AC7" w14:textId="590C7270" w:rsidR="00770B34" w:rsidRPr="004709AF" w:rsidRDefault="00770B34" w:rsidP="002B735B">
      <w:pPr>
        <w:pStyle w:val="ListParagraph"/>
        <w:numPr>
          <w:ilvl w:val="0"/>
          <w:numId w:val="7"/>
        </w:numPr>
        <w:spacing w:before="240" w:after="60" w:line="240" w:lineRule="auto"/>
        <w:ind w:left="567" w:hanging="567"/>
        <w:rPr>
          <w:rFonts w:ascii="Verdana" w:hAnsi="Verdana"/>
          <w:sz w:val="20"/>
          <w:szCs w:val="20"/>
          <w:lang w:val="fr-FR"/>
        </w:rPr>
      </w:pPr>
      <w:r>
        <w:rPr>
          <w:lang w:val="fr-FR"/>
        </w:rPr>
        <w:t xml:space="preserve">ISO 9001:2015: Systèmes de management de la qualité – Exigences, </w:t>
      </w:r>
      <w:hyperlink r:id="rId23" w:history="1">
        <w:r w:rsidR="0097571E" w:rsidRPr="00E62EDE">
          <w:rPr>
            <w:rStyle w:val="Hyperlink"/>
            <w:lang w:val="fr-FR"/>
          </w:rPr>
          <w:t>https://</w:t>
        </w:r>
        <w:proofErr w:type="spellStart"/>
        <w:r w:rsidR="0097571E" w:rsidRPr="00E62EDE">
          <w:rPr>
            <w:rStyle w:val="Hyperlink"/>
            <w:lang w:val="fr-FR"/>
          </w:rPr>
          <w:t>www.iso.org</w:t>
        </w:r>
        <w:proofErr w:type="spellEnd"/>
        <w:r w:rsidR="0097571E" w:rsidRPr="00E62EDE">
          <w:rPr>
            <w:rStyle w:val="Hyperlink"/>
            <w:lang w:val="fr-FR"/>
          </w:rPr>
          <w:t>/standard/</w:t>
        </w:r>
        <w:proofErr w:type="spellStart"/>
        <w:r w:rsidR="0097571E" w:rsidRPr="00E62EDE">
          <w:rPr>
            <w:rStyle w:val="Hyperlink"/>
            <w:lang w:val="fr-FR"/>
          </w:rPr>
          <w:t>62085.html</w:t>
        </w:r>
        <w:proofErr w:type="spellEnd"/>
      </w:hyperlink>
      <w:r>
        <w:rPr>
          <w:lang w:val="fr-FR"/>
        </w:rPr>
        <w:t>;</w:t>
      </w:r>
    </w:p>
    <w:p w14:paraId="6D33BD28" w14:textId="53D4360F" w:rsidR="00770B34" w:rsidRPr="004709AF" w:rsidRDefault="00770B34" w:rsidP="002B735B">
      <w:pPr>
        <w:pStyle w:val="ListParagraph"/>
        <w:numPr>
          <w:ilvl w:val="0"/>
          <w:numId w:val="7"/>
        </w:numPr>
        <w:spacing w:before="240" w:after="60" w:line="240" w:lineRule="auto"/>
        <w:ind w:left="567" w:hanging="567"/>
        <w:rPr>
          <w:rFonts w:ascii="Verdana" w:hAnsi="Verdana"/>
          <w:sz w:val="20"/>
          <w:szCs w:val="20"/>
          <w:lang w:val="fr-FR"/>
        </w:rPr>
      </w:pPr>
      <w:r>
        <w:rPr>
          <w:lang w:val="fr-FR"/>
        </w:rPr>
        <w:t>ISO 19011:2018: Lignes directrices pour l</w:t>
      </w:r>
      <w:r w:rsidR="005F6019">
        <w:rPr>
          <w:lang w:val="fr-FR"/>
        </w:rPr>
        <w:t>’</w:t>
      </w:r>
      <w:r>
        <w:rPr>
          <w:lang w:val="fr-FR"/>
        </w:rPr>
        <w:t xml:space="preserve">audit des systèmes de management, </w:t>
      </w:r>
      <w:hyperlink r:id="rId24" w:history="1">
        <w:r w:rsidR="0097571E" w:rsidRPr="00E62EDE">
          <w:rPr>
            <w:rStyle w:val="Hyperlink"/>
            <w:lang w:val="fr-FR"/>
          </w:rPr>
          <w:t>https://</w:t>
        </w:r>
        <w:proofErr w:type="spellStart"/>
        <w:r w:rsidR="0097571E" w:rsidRPr="00E62EDE">
          <w:rPr>
            <w:rStyle w:val="Hyperlink"/>
            <w:lang w:val="fr-FR"/>
          </w:rPr>
          <w:t>www.iso.org</w:t>
        </w:r>
        <w:proofErr w:type="spellEnd"/>
        <w:r w:rsidR="0097571E" w:rsidRPr="00E62EDE">
          <w:rPr>
            <w:rStyle w:val="Hyperlink"/>
            <w:lang w:val="fr-FR"/>
          </w:rPr>
          <w:t>/standard/</w:t>
        </w:r>
        <w:proofErr w:type="spellStart"/>
        <w:r w:rsidR="0097571E" w:rsidRPr="00E62EDE">
          <w:rPr>
            <w:rStyle w:val="Hyperlink"/>
            <w:lang w:val="fr-FR"/>
          </w:rPr>
          <w:t>70017.html</w:t>
        </w:r>
        <w:proofErr w:type="spellEnd"/>
      </w:hyperlink>
      <w:r>
        <w:rPr>
          <w:lang w:val="fr-FR"/>
        </w:rPr>
        <w:t xml:space="preserve">; </w:t>
      </w:r>
    </w:p>
    <w:p w14:paraId="74EC91B4" w14:textId="77777777" w:rsidR="00770B34" w:rsidRPr="004709AF" w:rsidRDefault="00B36F3C" w:rsidP="004F6284">
      <w:pPr>
        <w:pStyle w:val="ListParagraph"/>
        <w:numPr>
          <w:ilvl w:val="0"/>
          <w:numId w:val="7"/>
        </w:numPr>
        <w:spacing w:before="240" w:after="60" w:line="240" w:lineRule="auto"/>
        <w:ind w:left="567" w:hanging="567"/>
        <w:rPr>
          <w:rFonts w:ascii="Verdana" w:hAnsi="Verdana"/>
          <w:sz w:val="20"/>
          <w:szCs w:val="20"/>
          <w:lang w:val="fr-FR"/>
        </w:rPr>
      </w:pPr>
      <w:hyperlink r:id="rId25" w:history="1">
        <w:r w:rsidR="001F18A7" w:rsidRPr="0097571E">
          <w:rPr>
            <w:i/>
            <w:iCs/>
            <w:color w:val="0000FF"/>
            <w:lang w:val="fr-FR"/>
          </w:rPr>
          <w:t xml:space="preserve">Guide sur la mise en </w:t>
        </w:r>
        <w:proofErr w:type="spellStart"/>
        <w:r w:rsidR="001F18A7" w:rsidRPr="0097571E">
          <w:rPr>
            <w:i/>
            <w:iCs/>
            <w:color w:val="0000FF"/>
            <w:lang w:val="fr-FR"/>
          </w:rPr>
          <w:t>oeuvre</w:t>
        </w:r>
        <w:proofErr w:type="spellEnd"/>
        <w:r w:rsidR="001F18A7" w:rsidRPr="0097571E">
          <w:rPr>
            <w:i/>
            <w:iCs/>
            <w:color w:val="0000FF"/>
            <w:lang w:val="fr-FR"/>
          </w:rPr>
          <w:t xml:space="preserve"> de systèmes de gestion de la qualité pour les Services météorologiques et hydrologiques nationaux et autres prestataires de services concernés</w:t>
        </w:r>
        <w:r w:rsidR="001F18A7" w:rsidRPr="004709AF">
          <w:rPr>
            <w:lang w:val="fr-FR"/>
          </w:rPr>
          <w:t xml:space="preserve"> (OMM-N° 1100); </w:t>
        </w:r>
      </w:hyperlink>
    </w:p>
    <w:p w14:paraId="329E8F11" w14:textId="77777777" w:rsidR="00770B34" w:rsidRPr="00897B41" w:rsidRDefault="00B36F3C" w:rsidP="004F6284">
      <w:pPr>
        <w:pStyle w:val="ListParagraph"/>
        <w:numPr>
          <w:ilvl w:val="0"/>
          <w:numId w:val="7"/>
        </w:numPr>
        <w:spacing w:before="240" w:after="60" w:line="240" w:lineRule="auto"/>
        <w:ind w:left="567" w:hanging="567"/>
        <w:rPr>
          <w:rFonts w:ascii="Verdana" w:hAnsi="Verdana"/>
          <w:sz w:val="20"/>
          <w:szCs w:val="20"/>
        </w:rPr>
      </w:pPr>
      <w:hyperlink r:id="rId26" w:history="1">
        <w:r w:rsidR="001F18A7" w:rsidRPr="0097571E">
          <w:rPr>
            <w:i/>
            <w:iCs/>
            <w:color w:val="0000FF"/>
          </w:rPr>
          <w:t>Guidelines on Quality Management in Climate Services</w:t>
        </w:r>
        <w:r w:rsidR="001F18A7">
          <w:t xml:space="preserve"> (WMO</w:t>
        </w:r>
        <w:r w:rsidR="001F18A7">
          <w:noBreakHyphen/>
          <w:t xml:space="preserve">No. 1221); </w:t>
        </w:r>
      </w:hyperlink>
    </w:p>
    <w:p w14:paraId="07E34F94" w14:textId="77777777" w:rsidR="00770B34" w:rsidRPr="004709AF" w:rsidRDefault="00B36F3C" w:rsidP="004F6284">
      <w:pPr>
        <w:pStyle w:val="ListParagraph"/>
        <w:numPr>
          <w:ilvl w:val="0"/>
          <w:numId w:val="7"/>
        </w:numPr>
        <w:spacing w:before="240" w:after="60" w:line="240" w:lineRule="auto"/>
        <w:ind w:left="567" w:hanging="567"/>
        <w:rPr>
          <w:rFonts w:ascii="Verdana" w:hAnsi="Verdana"/>
          <w:sz w:val="20"/>
          <w:szCs w:val="20"/>
          <w:lang w:val="fr-FR"/>
        </w:rPr>
      </w:pPr>
      <w:hyperlink r:id="rId27" w:anchor=".Yxi-tHZBw2w" w:history="1">
        <w:r w:rsidR="001F18A7" w:rsidRPr="0097571E">
          <w:rPr>
            <w:color w:val="0000FF"/>
            <w:lang w:val="fr-FR"/>
          </w:rPr>
          <w:t>Règlement technique, Volume I: Pratiques météorologiques générales normalisées et recommandées</w:t>
        </w:r>
        <w:r w:rsidR="001F18A7" w:rsidRPr="004709AF">
          <w:rPr>
            <w:lang w:val="fr-FR"/>
          </w:rPr>
          <w:t xml:space="preserve"> (OMM-N° 49);</w:t>
        </w:r>
      </w:hyperlink>
    </w:p>
    <w:p w14:paraId="3670906C" w14:textId="77777777" w:rsidR="00770B34" w:rsidRPr="004709AF" w:rsidRDefault="00B36F3C" w:rsidP="004F6284">
      <w:pPr>
        <w:pStyle w:val="ListParagraph"/>
        <w:numPr>
          <w:ilvl w:val="0"/>
          <w:numId w:val="7"/>
        </w:numPr>
        <w:spacing w:before="240" w:after="60" w:line="240" w:lineRule="auto"/>
        <w:ind w:left="567" w:hanging="567"/>
        <w:rPr>
          <w:rFonts w:ascii="Verdana" w:hAnsi="Verdana"/>
          <w:sz w:val="20"/>
          <w:szCs w:val="20"/>
          <w:lang w:val="fr-FR"/>
        </w:rPr>
      </w:pPr>
      <w:hyperlink r:id="rId28" w:history="1">
        <w:r w:rsidR="001F18A7" w:rsidRPr="0097571E">
          <w:rPr>
            <w:i/>
            <w:iCs/>
            <w:color w:val="0000FF"/>
            <w:lang w:val="fr-FR"/>
          </w:rPr>
          <w:t>Guide sur les compétences</w:t>
        </w:r>
        <w:r w:rsidR="001F18A7" w:rsidRPr="004709AF">
          <w:rPr>
            <w:lang w:val="fr-FR"/>
          </w:rPr>
          <w:t xml:space="preserve"> (OMM-N° 1205); </w:t>
        </w:r>
      </w:hyperlink>
    </w:p>
    <w:p w14:paraId="176146CB" w14:textId="77777777" w:rsidR="00770B34" w:rsidRPr="00897B41" w:rsidRDefault="00B36F3C" w:rsidP="004F6284">
      <w:pPr>
        <w:pStyle w:val="ListParagraph"/>
        <w:numPr>
          <w:ilvl w:val="0"/>
          <w:numId w:val="7"/>
        </w:numPr>
        <w:spacing w:before="240" w:after="60" w:line="240" w:lineRule="auto"/>
        <w:ind w:left="567" w:hanging="567"/>
        <w:rPr>
          <w:rFonts w:ascii="Verdana" w:hAnsi="Verdana"/>
          <w:sz w:val="20"/>
          <w:szCs w:val="20"/>
        </w:rPr>
      </w:pPr>
      <w:hyperlink r:id="rId29" w:history="1">
        <w:r w:rsidR="001F18A7" w:rsidRPr="0097571E">
          <w:rPr>
            <w:i/>
            <w:iCs/>
            <w:color w:val="0000FF"/>
          </w:rPr>
          <w:t>Compendium of WMO Competency Frameworks</w:t>
        </w:r>
        <w:r w:rsidR="001F18A7">
          <w:rPr>
            <w:i/>
            <w:iCs/>
          </w:rPr>
          <w:t xml:space="preserve"> </w:t>
        </w:r>
        <w:r w:rsidR="001F18A7">
          <w:t xml:space="preserve">(WMO-No. 1209); </w:t>
        </w:r>
      </w:hyperlink>
    </w:p>
    <w:p w14:paraId="49169678" w14:textId="77777777" w:rsidR="00054A7B" w:rsidRPr="001914F7" w:rsidRDefault="00054A7B" w:rsidP="00054A7B">
      <w:pPr>
        <w:tabs>
          <w:tab w:val="clear" w:pos="1134"/>
        </w:tabs>
        <w:spacing w:before="240"/>
        <w:jc w:val="left"/>
      </w:pPr>
      <w:r w:rsidRPr="00897B41">
        <w:rPr>
          <w:b/>
          <w:bCs/>
        </w:rPr>
        <w:br w:type="page"/>
      </w:r>
    </w:p>
    <w:p w14:paraId="02975F80" w14:textId="77777777" w:rsidR="00770B34" w:rsidRPr="00897B41" w:rsidRDefault="00770B34" w:rsidP="00054A7B">
      <w:pPr>
        <w:spacing w:before="240" w:after="240"/>
        <w:jc w:val="center"/>
        <w:rPr>
          <w:b/>
          <w:bCs/>
        </w:rPr>
      </w:pPr>
      <w:r>
        <w:rPr>
          <w:b/>
          <w:bCs/>
          <w:lang w:val="fr-FR"/>
        </w:rPr>
        <w:lastRenderedPageBreak/>
        <w:t>ANNEXE 2</w:t>
      </w:r>
    </w:p>
    <w:p w14:paraId="0437662E" w14:textId="2C16D496" w:rsidR="00770B34" w:rsidRPr="0097571E" w:rsidRDefault="00770B34" w:rsidP="00054A7B">
      <w:pPr>
        <w:spacing w:before="240" w:after="240"/>
        <w:jc w:val="center"/>
        <w:rPr>
          <w:b/>
          <w:bCs/>
          <w:lang w:val="fr-FR"/>
        </w:rPr>
      </w:pPr>
      <w:r w:rsidRPr="0097571E">
        <w:rPr>
          <w:b/>
          <w:bCs/>
          <w:lang w:val="fr-FR"/>
        </w:rPr>
        <w:t>Liste des documents réglementaires référencés de l</w:t>
      </w:r>
      <w:r w:rsidR="005F6019" w:rsidRPr="0097571E">
        <w:rPr>
          <w:b/>
          <w:bCs/>
          <w:lang w:val="fr-FR"/>
        </w:rPr>
        <w:t>’</w:t>
      </w:r>
      <w:r w:rsidRPr="0097571E">
        <w:rPr>
          <w:b/>
          <w:bCs/>
          <w:lang w:val="fr-FR"/>
        </w:rPr>
        <w:t>OMM utilisés</w:t>
      </w:r>
      <w:r w:rsidR="0097571E">
        <w:rPr>
          <w:b/>
          <w:bCs/>
          <w:lang w:val="fr-FR"/>
        </w:rPr>
        <w:br/>
      </w:r>
      <w:r w:rsidRPr="0097571E">
        <w:rPr>
          <w:b/>
          <w:bCs/>
          <w:lang w:val="fr-FR"/>
        </w:rPr>
        <w:t>dans la collecte des preuves</w:t>
      </w:r>
    </w:p>
    <w:tbl>
      <w:tblPr>
        <w:tblStyle w:val="TableGrid"/>
        <w:tblW w:w="0" w:type="auto"/>
        <w:tblLayout w:type="fixed"/>
        <w:tblLook w:val="04A0" w:firstRow="1" w:lastRow="0" w:firstColumn="1" w:lastColumn="0" w:noHBand="0" w:noVBand="1"/>
      </w:tblPr>
      <w:tblGrid>
        <w:gridCol w:w="1433"/>
        <w:gridCol w:w="2504"/>
        <w:gridCol w:w="3288"/>
        <w:gridCol w:w="992"/>
        <w:gridCol w:w="1411"/>
      </w:tblGrid>
      <w:tr w:rsidR="00770B34" w:rsidRPr="00C5200A" w14:paraId="1746946C" w14:textId="77777777" w:rsidTr="00C5200A">
        <w:trPr>
          <w:trHeight w:val="452"/>
          <w:tblHeader/>
        </w:trPr>
        <w:tc>
          <w:tcPr>
            <w:tcW w:w="1433" w:type="dxa"/>
          </w:tcPr>
          <w:p w14:paraId="5C579A6D" w14:textId="77777777" w:rsidR="00770B34" w:rsidRPr="00C5200A" w:rsidRDefault="00770B34" w:rsidP="00054A7B">
            <w:pPr>
              <w:spacing w:before="240"/>
              <w:rPr>
                <w:b/>
                <w:bCs/>
                <w:spacing w:val="-2"/>
                <w:sz w:val="16"/>
                <w:szCs w:val="16"/>
              </w:rPr>
            </w:pPr>
            <w:r w:rsidRPr="00C5200A">
              <w:rPr>
                <w:b/>
                <w:bCs/>
                <w:spacing w:val="-2"/>
                <w:sz w:val="16"/>
                <w:szCs w:val="16"/>
                <w:lang w:val="fr-FR"/>
              </w:rPr>
              <w:t>Catégorie</w:t>
            </w:r>
          </w:p>
        </w:tc>
        <w:tc>
          <w:tcPr>
            <w:tcW w:w="2504" w:type="dxa"/>
          </w:tcPr>
          <w:p w14:paraId="27CC1C69" w14:textId="77777777" w:rsidR="00770B34" w:rsidRPr="00C5200A" w:rsidRDefault="00770B34" w:rsidP="00054A7B">
            <w:pPr>
              <w:spacing w:before="240"/>
              <w:rPr>
                <w:b/>
                <w:bCs/>
                <w:spacing w:val="-2"/>
                <w:sz w:val="16"/>
                <w:szCs w:val="16"/>
              </w:rPr>
            </w:pPr>
            <w:r w:rsidRPr="00C5200A">
              <w:rPr>
                <w:b/>
                <w:bCs/>
                <w:spacing w:val="-2"/>
                <w:sz w:val="16"/>
                <w:szCs w:val="16"/>
                <w:lang w:val="fr-FR"/>
              </w:rPr>
              <w:t>Titre</w:t>
            </w:r>
          </w:p>
        </w:tc>
        <w:tc>
          <w:tcPr>
            <w:tcW w:w="3288" w:type="dxa"/>
          </w:tcPr>
          <w:p w14:paraId="5C6AA403" w14:textId="77777777" w:rsidR="00770B34" w:rsidRPr="00C5200A" w:rsidRDefault="00770B34" w:rsidP="00054A7B">
            <w:pPr>
              <w:spacing w:before="240"/>
              <w:rPr>
                <w:b/>
                <w:bCs/>
                <w:spacing w:val="-2"/>
                <w:sz w:val="16"/>
                <w:szCs w:val="16"/>
              </w:rPr>
            </w:pPr>
            <w:r w:rsidRPr="00C5200A">
              <w:rPr>
                <w:b/>
                <w:bCs/>
                <w:spacing w:val="-2"/>
                <w:sz w:val="16"/>
                <w:szCs w:val="16"/>
                <w:lang w:val="fr-FR"/>
              </w:rPr>
              <w:t>Synthèse des objectifs</w:t>
            </w:r>
          </w:p>
        </w:tc>
        <w:tc>
          <w:tcPr>
            <w:tcW w:w="992" w:type="dxa"/>
          </w:tcPr>
          <w:p w14:paraId="0222E5F4" w14:textId="77777777" w:rsidR="00770B34" w:rsidRPr="00C5200A" w:rsidRDefault="00770B34" w:rsidP="00054A7B">
            <w:pPr>
              <w:spacing w:before="240"/>
              <w:rPr>
                <w:b/>
                <w:bCs/>
                <w:spacing w:val="-2"/>
                <w:sz w:val="16"/>
                <w:szCs w:val="16"/>
              </w:rPr>
            </w:pPr>
            <w:r w:rsidRPr="00C5200A">
              <w:rPr>
                <w:b/>
                <w:bCs/>
                <w:spacing w:val="-2"/>
                <w:sz w:val="16"/>
                <w:szCs w:val="16"/>
                <w:lang w:val="fr-FR"/>
              </w:rPr>
              <w:t>Édition</w:t>
            </w:r>
          </w:p>
        </w:tc>
        <w:tc>
          <w:tcPr>
            <w:tcW w:w="1411" w:type="dxa"/>
          </w:tcPr>
          <w:p w14:paraId="0FDC7379" w14:textId="77777777" w:rsidR="00770B34" w:rsidRPr="00C5200A" w:rsidRDefault="00770B34" w:rsidP="00054A7B">
            <w:pPr>
              <w:spacing w:before="240"/>
              <w:rPr>
                <w:b/>
                <w:bCs/>
                <w:spacing w:val="-2"/>
                <w:sz w:val="16"/>
                <w:szCs w:val="16"/>
              </w:rPr>
            </w:pPr>
            <w:r w:rsidRPr="00C5200A">
              <w:rPr>
                <w:b/>
                <w:bCs/>
                <w:spacing w:val="-2"/>
                <w:sz w:val="16"/>
                <w:szCs w:val="16"/>
                <w:lang w:val="fr-FR"/>
              </w:rPr>
              <w:t>Observations</w:t>
            </w:r>
          </w:p>
        </w:tc>
      </w:tr>
      <w:tr w:rsidR="00770B34" w:rsidRPr="00C5200A" w14:paraId="056420DD" w14:textId="77777777" w:rsidTr="00C5200A">
        <w:tc>
          <w:tcPr>
            <w:tcW w:w="1433" w:type="dxa"/>
            <w:vMerge w:val="restart"/>
          </w:tcPr>
          <w:p w14:paraId="0B988907" w14:textId="02B132AE" w:rsidR="00770B34" w:rsidRPr="00C5200A" w:rsidRDefault="00770B34" w:rsidP="00EA5C8B">
            <w:pPr>
              <w:spacing w:before="240"/>
              <w:jc w:val="left"/>
              <w:rPr>
                <w:b/>
                <w:bCs/>
                <w:spacing w:val="-2"/>
                <w:sz w:val="16"/>
                <w:szCs w:val="16"/>
              </w:rPr>
            </w:pPr>
            <w:r w:rsidRPr="00C5200A">
              <w:rPr>
                <w:b/>
                <w:bCs/>
                <w:spacing w:val="-2"/>
                <w:sz w:val="16"/>
                <w:szCs w:val="16"/>
                <w:lang w:val="fr-FR"/>
              </w:rPr>
              <w:t>Informations d</w:t>
            </w:r>
            <w:r w:rsidR="005F6019" w:rsidRPr="00C5200A">
              <w:rPr>
                <w:b/>
                <w:bCs/>
                <w:spacing w:val="-2"/>
                <w:sz w:val="16"/>
                <w:szCs w:val="16"/>
                <w:lang w:val="fr-FR"/>
              </w:rPr>
              <w:t>’</w:t>
            </w:r>
            <w:r w:rsidRPr="00C5200A">
              <w:rPr>
                <w:b/>
                <w:bCs/>
                <w:spacing w:val="-2"/>
                <w:sz w:val="16"/>
                <w:szCs w:val="16"/>
                <w:lang w:val="fr-FR"/>
              </w:rPr>
              <w:t>ordre général</w:t>
            </w:r>
          </w:p>
        </w:tc>
        <w:tc>
          <w:tcPr>
            <w:tcW w:w="2504" w:type="dxa"/>
          </w:tcPr>
          <w:p w14:paraId="75CD7881" w14:textId="77777777" w:rsidR="00770B34" w:rsidRPr="00C5200A" w:rsidRDefault="00770B34" w:rsidP="00054A7B">
            <w:pPr>
              <w:spacing w:before="240"/>
              <w:rPr>
                <w:spacing w:val="-2"/>
                <w:sz w:val="16"/>
                <w:szCs w:val="16"/>
                <w:lang w:val="fr-FR"/>
              </w:rPr>
            </w:pPr>
            <w:r w:rsidRPr="00C5200A">
              <w:rPr>
                <w:spacing w:val="-2"/>
                <w:sz w:val="16"/>
                <w:szCs w:val="16"/>
                <w:lang w:val="fr-FR"/>
              </w:rPr>
              <w:t>OMM-N° 49</w:t>
            </w:r>
          </w:p>
          <w:p w14:paraId="6694D815" w14:textId="77777777" w:rsidR="00770B34" w:rsidRPr="00C5200A" w:rsidRDefault="00B36F3C" w:rsidP="00CF630C">
            <w:pPr>
              <w:spacing w:before="240"/>
              <w:jc w:val="left"/>
              <w:rPr>
                <w:i/>
                <w:iCs/>
                <w:spacing w:val="-2"/>
                <w:sz w:val="16"/>
                <w:szCs w:val="16"/>
                <w:lang w:val="fr-FR"/>
              </w:rPr>
            </w:pPr>
            <w:hyperlink r:id="rId30" w:history="1">
              <w:r w:rsidR="001F18A7" w:rsidRPr="00C5200A">
                <w:rPr>
                  <w:i/>
                  <w:iCs/>
                  <w:color w:val="0000FF"/>
                  <w:spacing w:val="-2"/>
                  <w:sz w:val="16"/>
                  <w:szCs w:val="16"/>
                  <w:lang w:val="fr-FR"/>
                </w:rPr>
                <w:t>Règlement technique, Volume I: Pratiques météorologiques générales normalisées et recommandées</w:t>
              </w:r>
            </w:hyperlink>
          </w:p>
        </w:tc>
        <w:tc>
          <w:tcPr>
            <w:tcW w:w="3288" w:type="dxa"/>
          </w:tcPr>
          <w:p w14:paraId="77329B21" w14:textId="788E4BE2" w:rsidR="00770B34" w:rsidRPr="00C5200A" w:rsidRDefault="00770B34" w:rsidP="00CF630C">
            <w:pPr>
              <w:spacing w:before="240"/>
              <w:jc w:val="left"/>
              <w:rPr>
                <w:spacing w:val="-2"/>
                <w:sz w:val="16"/>
                <w:szCs w:val="16"/>
                <w:lang w:val="fr-FR"/>
              </w:rPr>
            </w:pPr>
            <w:r w:rsidRPr="00C5200A">
              <w:rPr>
                <w:spacing w:val="-2"/>
                <w:sz w:val="16"/>
                <w:szCs w:val="16"/>
                <w:lang w:val="fr-FR"/>
              </w:rPr>
              <w:t>a) Faciliter la coopération en matière de météorologie et d</w:t>
            </w:r>
            <w:r w:rsidR="005F6019" w:rsidRPr="00C5200A">
              <w:rPr>
                <w:spacing w:val="-2"/>
                <w:sz w:val="16"/>
                <w:szCs w:val="16"/>
                <w:lang w:val="fr-FR"/>
              </w:rPr>
              <w:t>’</w:t>
            </w:r>
            <w:r w:rsidRPr="00C5200A">
              <w:rPr>
                <w:spacing w:val="-2"/>
                <w:sz w:val="16"/>
                <w:szCs w:val="16"/>
                <w:lang w:val="fr-FR"/>
              </w:rPr>
              <w:t>hydrologie entre les Membres.</w:t>
            </w:r>
          </w:p>
          <w:p w14:paraId="6B764AB4" w14:textId="63591E79" w:rsidR="00770B34" w:rsidRPr="00C5200A" w:rsidRDefault="00770B34" w:rsidP="00CF630C">
            <w:pPr>
              <w:spacing w:before="240"/>
              <w:jc w:val="left"/>
              <w:rPr>
                <w:spacing w:val="-2"/>
                <w:sz w:val="16"/>
                <w:szCs w:val="16"/>
                <w:lang w:val="fr-FR"/>
              </w:rPr>
            </w:pPr>
            <w:r w:rsidRPr="00C5200A">
              <w:rPr>
                <w:spacing w:val="-2"/>
                <w:sz w:val="16"/>
                <w:szCs w:val="16"/>
                <w:lang w:val="fr-FR"/>
              </w:rPr>
              <w:t>b) Répondre le plus efficacement possible, sur le plan international, aux besoins spécifiques des différents domaines d</w:t>
            </w:r>
            <w:r w:rsidR="005F6019" w:rsidRPr="00C5200A">
              <w:rPr>
                <w:spacing w:val="-2"/>
                <w:sz w:val="16"/>
                <w:szCs w:val="16"/>
                <w:lang w:val="fr-FR"/>
              </w:rPr>
              <w:t>’</w:t>
            </w:r>
            <w:r w:rsidRPr="00C5200A">
              <w:rPr>
                <w:spacing w:val="-2"/>
                <w:sz w:val="16"/>
                <w:szCs w:val="16"/>
                <w:lang w:val="fr-FR"/>
              </w:rPr>
              <w:t>application de la météorologie et de l</w:t>
            </w:r>
            <w:r w:rsidR="005F6019" w:rsidRPr="00C5200A">
              <w:rPr>
                <w:spacing w:val="-2"/>
                <w:sz w:val="16"/>
                <w:szCs w:val="16"/>
                <w:lang w:val="fr-FR"/>
              </w:rPr>
              <w:t>’</w:t>
            </w:r>
            <w:r w:rsidRPr="00C5200A">
              <w:rPr>
                <w:spacing w:val="-2"/>
                <w:sz w:val="16"/>
                <w:szCs w:val="16"/>
                <w:lang w:val="fr-FR"/>
              </w:rPr>
              <w:t>hydrologie opérationnelle.</w:t>
            </w:r>
          </w:p>
          <w:p w14:paraId="341CD633" w14:textId="3DFAF334" w:rsidR="00770B34" w:rsidRPr="00C5200A" w:rsidRDefault="00770B34" w:rsidP="00CF630C">
            <w:pPr>
              <w:spacing w:before="240"/>
              <w:jc w:val="left"/>
              <w:rPr>
                <w:spacing w:val="-2"/>
                <w:sz w:val="16"/>
                <w:szCs w:val="16"/>
                <w:lang w:val="fr-FR"/>
              </w:rPr>
            </w:pPr>
            <w:r w:rsidRPr="00C5200A">
              <w:rPr>
                <w:spacing w:val="-2"/>
                <w:sz w:val="16"/>
                <w:szCs w:val="16"/>
                <w:lang w:val="fr-FR"/>
              </w:rPr>
              <w:t>c) Assurer l</w:t>
            </w:r>
            <w:r w:rsidR="005F6019" w:rsidRPr="00C5200A">
              <w:rPr>
                <w:spacing w:val="-2"/>
                <w:sz w:val="16"/>
                <w:szCs w:val="16"/>
                <w:lang w:val="fr-FR"/>
              </w:rPr>
              <w:t>’</w:t>
            </w:r>
            <w:r w:rsidRPr="00C5200A">
              <w:rPr>
                <w:spacing w:val="-2"/>
                <w:sz w:val="16"/>
                <w:szCs w:val="16"/>
                <w:lang w:val="fr-FR"/>
              </w:rPr>
              <w:t>uniformité et la normalisation des pratiques et des procédures employées pour atteindre les objectifs a) et b).</w:t>
            </w:r>
          </w:p>
        </w:tc>
        <w:tc>
          <w:tcPr>
            <w:tcW w:w="992" w:type="dxa"/>
          </w:tcPr>
          <w:p w14:paraId="51523147" w14:textId="77777777" w:rsidR="00770B34" w:rsidRPr="00C5200A" w:rsidRDefault="00770B34" w:rsidP="00054A7B">
            <w:pPr>
              <w:spacing w:before="240"/>
              <w:rPr>
                <w:spacing w:val="-2"/>
                <w:sz w:val="16"/>
                <w:szCs w:val="16"/>
              </w:rPr>
            </w:pPr>
            <w:r w:rsidRPr="00C5200A">
              <w:rPr>
                <w:spacing w:val="-2"/>
                <w:sz w:val="16"/>
                <w:szCs w:val="16"/>
                <w:lang w:val="fr-FR"/>
              </w:rPr>
              <w:t>2021</w:t>
            </w:r>
          </w:p>
        </w:tc>
        <w:tc>
          <w:tcPr>
            <w:tcW w:w="1411" w:type="dxa"/>
          </w:tcPr>
          <w:p w14:paraId="593946F6" w14:textId="77777777" w:rsidR="00770B34" w:rsidRPr="00C5200A" w:rsidRDefault="00770B34" w:rsidP="00054A7B">
            <w:pPr>
              <w:spacing w:before="240"/>
              <w:rPr>
                <w:spacing w:val="-2"/>
                <w:sz w:val="16"/>
                <w:szCs w:val="16"/>
              </w:rPr>
            </w:pPr>
          </w:p>
        </w:tc>
      </w:tr>
      <w:tr w:rsidR="00770B34" w:rsidRPr="00C5200A" w14:paraId="4F363F95" w14:textId="77777777" w:rsidTr="00C5200A">
        <w:tc>
          <w:tcPr>
            <w:tcW w:w="1433" w:type="dxa"/>
            <w:vMerge/>
          </w:tcPr>
          <w:p w14:paraId="6D4D7B6D" w14:textId="77777777" w:rsidR="00770B34" w:rsidRPr="00C5200A" w:rsidRDefault="00770B34" w:rsidP="00054A7B">
            <w:pPr>
              <w:spacing w:before="240"/>
              <w:rPr>
                <w:spacing w:val="-2"/>
                <w:sz w:val="16"/>
                <w:szCs w:val="16"/>
              </w:rPr>
            </w:pPr>
          </w:p>
        </w:tc>
        <w:tc>
          <w:tcPr>
            <w:tcW w:w="2504" w:type="dxa"/>
          </w:tcPr>
          <w:p w14:paraId="5084E6D4" w14:textId="77777777" w:rsidR="00770B34" w:rsidRPr="00C5200A" w:rsidRDefault="00770B34" w:rsidP="00054A7B">
            <w:pPr>
              <w:spacing w:before="240"/>
              <w:rPr>
                <w:spacing w:val="-2"/>
                <w:sz w:val="16"/>
                <w:szCs w:val="16"/>
                <w:lang w:val="fr-FR"/>
              </w:rPr>
            </w:pPr>
            <w:r w:rsidRPr="00C5200A">
              <w:rPr>
                <w:spacing w:val="-2"/>
                <w:sz w:val="16"/>
                <w:szCs w:val="16"/>
                <w:lang w:val="fr-FR"/>
              </w:rPr>
              <w:t>OMM-N° 100</w:t>
            </w:r>
          </w:p>
          <w:p w14:paraId="159831F4" w14:textId="77777777" w:rsidR="00770B34" w:rsidRPr="00C5200A" w:rsidRDefault="00B36F3C" w:rsidP="00054A7B">
            <w:pPr>
              <w:spacing w:before="240"/>
              <w:rPr>
                <w:i/>
                <w:iCs/>
                <w:spacing w:val="-2"/>
                <w:sz w:val="16"/>
                <w:szCs w:val="16"/>
                <w:lang w:val="fr-FR"/>
              </w:rPr>
            </w:pPr>
            <w:hyperlink r:id="rId31" w:history="1">
              <w:r w:rsidR="001F18A7" w:rsidRPr="00C5200A">
                <w:rPr>
                  <w:i/>
                  <w:iCs/>
                  <w:color w:val="0000FF"/>
                  <w:spacing w:val="-2"/>
                  <w:sz w:val="16"/>
                  <w:szCs w:val="16"/>
                  <w:lang w:val="fr-FR"/>
                </w:rPr>
                <w:t>Guide des pratiques climatologiques</w:t>
              </w:r>
            </w:hyperlink>
          </w:p>
        </w:tc>
        <w:tc>
          <w:tcPr>
            <w:tcW w:w="3288" w:type="dxa"/>
          </w:tcPr>
          <w:p w14:paraId="0AC11671" w14:textId="529CF32A" w:rsidR="00770B34" w:rsidRPr="00C5200A" w:rsidRDefault="00770B34" w:rsidP="00CF630C">
            <w:pPr>
              <w:spacing w:before="240"/>
              <w:jc w:val="left"/>
              <w:rPr>
                <w:spacing w:val="-2"/>
                <w:sz w:val="16"/>
                <w:szCs w:val="16"/>
                <w:lang w:val="fr-FR"/>
              </w:rPr>
            </w:pPr>
            <w:r w:rsidRPr="00C5200A">
              <w:rPr>
                <w:spacing w:val="-2"/>
                <w:sz w:val="16"/>
                <w:szCs w:val="16"/>
                <w:lang w:val="fr-FR"/>
              </w:rPr>
              <w:t>Orientation et assistance dans le développement d</w:t>
            </w:r>
            <w:r w:rsidR="005F6019" w:rsidRPr="00C5200A">
              <w:rPr>
                <w:spacing w:val="-2"/>
                <w:sz w:val="16"/>
                <w:szCs w:val="16"/>
                <w:lang w:val="fr-FR"/>
              </w:rPr>
              <w:t>’</w:t>
            </w:r>
            <w:r w:rsidRPr="00C5200A">
              <w:rPr>
                <w:spacing w:val="-2"/>
                <w:sz w:val="16"/>
                <w:szCs w:val="16"/>
                <w:lang w:val="fr-FR"/>
              </w:rPr>
              <w:t>activités nationales liées à l</w:t>
            </w:r>
            <w:r w:rsidR="005F6019" w:rsidRPr="00C5200A">
              <w:rPr>
                <w:spacing w:val="-2"/>
                <w:sz w:val="16"/>
                <w:szCs w:val="16"/>
                <w:lang w:val="fr-FR"/>
              </w:rPr>
              <w:t>’</w:t>
            </w:r>
            <w:r w:rsidRPr="00C5200A">
              <w:rPr>
                <w:spacing w:val="-2"/>
                <w:sz w:val="16"/>
                <w:szCs w:val="16"/>
                <w:lang w:val="fr-FR"/>
              </w:rPr>
              <w:t>information et aux services climatologiques</w:t>
            </w:r>
          </w:p>
        </w:tc>
        <w:tc>
          <w:tcPr>
            <w:tcW w:w="992" w:type="dxa"/>
          </w:tcPr>
          <w:p w14:paraId="2C869464"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41F781AA" w14:textId="77777777" w:rsidR="00770B34" w:rsidRPr="00C5200A" w:rsidRDefault="00770B34" w:rsidP="00054A7B">
            <w:pPr>
              <w:spacing w:before="240"/>
              <w:rPr>
                <w:spacing w:val="-2"/>
                <w:sz w:val="16"/>
                <w:szCs w:val="16"/>
              </w:rPr>
            </w:pPr>
          </w:p>
        </w:tc>
      </w:tr>
      <w:tr w:rsidR="00770B34" w:rsidRPr="00C5200A" w14:paraId="0E0DA127" w14:textId="77777777" w:rsidTr="00C5200A">
        <w:tc>
          <w:tcPr>
            <w:tcW w:w="1433" w:type="dxa"/>
            <w:vMerge/>
          </w:tcPr>
          <w:p w14:paraId="6F321563" w14:textId="77777777" w:rsidR="00770B34" w:rsidRPr="00C5200A" w:rsidRDefault="00770B34" w:rsidP="00054A7B">
            <w:pPr>
              <w:spacing w:before="240"/>
              <w:rPr>
                <w:spacing w:val="-2"/>
                <w:sz w:val="16"/>
                <w:szCs w:val="16"/>
              </w:rPr>
            </w:pPr>
          </w:p>
        </w:tc>
        <w:tc>
          <w:tcPr>
            <w:tcW w:w="2504" w:type="dxa"/>
          </w:tcPr>
          <w:p w14:paraId="6F6B6422" w14:textId="77777777" w:rsidR="00770B34" w:rsidRPr="00C5200A" w:rsidRDefault="00770B34" w:rsidP="00054A7B">
            <w:pPr>
              <w:spacing w:before="240"/>
              <w:rPr>
                <w:spacing w:val="-2"/>
                <w:sz w:val="16"/>
                <w:szCs w:val="16"/>
                <w:lang w:val="fr-FR"/>
              </w:rPr>
            </w:pPr>
            <w:r w:rsidRPr="00C5200A">
              <w:rPr>
                <w:spacing w:val="-2"/>
                <w:sz w:val="16"/>
                <w:szCs w:val="16"/>
                <w:lang w:val="fr-FR"/>
              </w:rPr>
              <w:t>OMM-N° 1100</w:t>
            </w:r>
          </w:p>
          <w:p w14:paraId="05ED5F38" w14:textId="77777777" w:rsidR="00770B34" w:rsidRPr="00C5200A" w:rsidRDefault="00B36F3C" w:rsidP="00CF630C">
            <w:pPr>
              <w:spacing w:before="240"/>
              <w:jc w:val="left"/>
              <w:rPr>
                <w:i/>
                <w:iCs/>
                <w:spacing w:val="-2"/>
                <w:sz w:val="16"/>
                <w:szCs w:val="16"/>
                <w:lang w:val="fr-FR"/>
              </w:rPr>
            </w:pPr>
            <w:hyperlink r:id="rId32" w:history="1">
              <w:r w:rsidR="001F18A7" w:rsidRPr="00C5200A">
                <w:rPr>
                  <w:i/>
                  <w:iCs/>
                  <w:color w:val="0000FF"/>
                  <w:spacing w:val="-2"/>
                  <w:sz w:val="16"/>
                  <w:szCs w:val="16"/>
                  <w:lang w:val="fr-FR"/>
                </w:rPr>
                <w:t xml:space="preserve">Guide sur la mise en </w:t>
              </w:r>
              <w:proofErr w:type="spellStart"/>
              <w:r w:rsidR="001F18A7" w:rsidRPr="00C5200A">
                <w:rPr>
                  <w:i/>
                  <w:iCs/>
                  <w:color w:val="0000FF"/>
                  <w:spacing w:val="-2"/>
                  <w:sz w:val="16"/>
                  <w:szCs w:val="16"/>
                  <w:lang w:val="fr-FR"/>
                </w:rPr>
                <w:t>oeuvre</w:t>
              </w:r>
              <w:proofErr w:type="spellEnd"/>
              <w:r w:rsidR="001F18A7" w:rsidRPr="00C5200A">
                <w:rPr>
                  <w:i/>
                  <w:iCs/>
                  <w:color w:val="0000FF"/>
                  <w:spacing w:val="-2"/>
                  <w:sz w:val="16"/>
                  <w:szCs w:val="16"/>
                  <w:lang w:val="fr-FR"/>
                </w:rPr>
                <w:t xml:space="preserve"> de systèmes de gestion de la qualité pour les Services météorologiques et hydrologiques nationaux et autres prestataires de services concernés</w:t>
              </w:r>
            </w:hyperlink>
          </w:p>
        </w:tc>
        <w:tc>
          <w:tcPr>
            <w:tcW w:w="3288" w:type="dxa"/>
          </w:tcPr>
          <w:p w14:paraId="7E6AAC59" w14:textId="46D42C38" w:rsidR="00770B34" w:rsidRPr="00C5200A" w:rsidRDefault="00770B34" w:rsidP="00CF630C">
            <w:pPr>
              <w:spacing w:before="240"/>
              <w:jc w:val="left"/>
              <w:rPr>
                <w:spacing w:val="-2"/>
                <w:sz w:val="16"/>
                <w:szCs w:val="16"/>
                <w:lang w:val="fr-FR"/>
              </w:rPr>
            </w:pPr>
            <w:r w:rsidRPr="00C5200A">
              <w:rPr>
                <w:spacing w:val="-2"/>
                <w:sz w:val="16"/>
                <w:szCs w:val="16"/>
                <w:lang w:val="fr-FR"/>
              </w:rPr>
              <w:t>Conseils aux Membres de l</w:t>
            </w:r>
            <w:r w:rsidR="005F6019" w:rsidRPr="00C5200A">
              <w:rPr>
                <w:spacing w:val="-2"/>
                <w:sz w:val="16"/>
                <w:szCs w:val="16"/>
                <w:lang w:val="fr-FR"/>
              </w:rPr>
              <w:t>’</w:t>
            </w:r>
            <w:r w:rsidRPr="00C5200A">
              <w:rPr>
                <w:spacing w:val="-2"/>
                <w:sz w:val="16"/>
                <w:szCs w:val="16"/>
                <w:lang w:val="fr-FR"/>
              </w:rPr>
              <w:t>OMM sur la manière d</w:t>
            </w:r>
            <w:r w:rsidR="005F6019" w:rsidRPr="00C5200A">
              <w:rPr>
                <w:spacing w:val="-2"/>
                <w:sz w:val="16"/>
                <w:szCs w:val="16"/>
                <w:lang w:val="fr-FR"/>
              </w:rPr>
              <w:t>’</w:t>
            </w:r>
            <w:r w:rsidRPr="00C5200A">
              <w:rPr>
                <w:spacing w:val="-2"/>
                <w:sz w:val="16"/>
                <w:szCs w:val="16"/>
                <w:lang w:val="fr-FR"/>
              </w:rPr>
              <w:t>élaborer et de mettre en œuvre un système de gestion de la qualité</w:t>
            </w:r>
          </w:p>
        </w:tc>
        <w:tc>
          <w:tcPr>
            <w:tcW w:w="992" w:type="dxa"/>
          </w:tcPr>
          <w:p w14:paraId="5D62DDB2" w14:textId="77777777" w:rsidR="00770B34" w:rsidRPr="00C5200A" w:rsidRDefault="00770B34" w:rsidP="00054A7B">
            <w:pPr>
              <w:spacing w:before="240"/>
              <w:rPr>
                <w:spacing w:val="-2"/>
                <w:sz w:val="16"/>
                <w:szCs w:val="16"/>
              </w:rPr>
            </w:pPr>
            <w:r w:rsidRPr="00C5200A">
              <w:rPr>
                <w:spacing w:val="-2"/>
                <w:sz w:val="16"/>
                <w:szCs w:val="16"/>
                <w:lang w:val="fr-FR"/>
              </w:rPr>
              <w:t>2017</w:t>
            </w:r>
          </w:p>
        </w:tc>
        <w:tc>
          <w:tcPr>
            <w:tcW w:w="1411" w:type="dxa"/>
          </w:tcPr>
          <w:p w14:paraId="34DFF02C" w14:textId="77777777" w:rsidR="00770B34" w:rsidRPr="00C5200A" w:rsidRDefault="00770B34" w:rsidP="00054A7B">
            <w:pPr>
              <w:spacing w:before="240"/>
              <w:rPr>
                <w:spacing w:val="-2"/>
                <w:sz w:val="16"/>
                <w:szCs w:val="16"/>
              </w:rPr>
            </w:pPr>
          </w:p>
        </w:tc>
      </w:tr>
      <w:tr w:rsidR="00770B34" w:rsidRPr="00C5200A" w14:paraId="1C079E8A" w14:textId="77777777" w:rsidTr="00C5200A">
        <w:tc>
          <w:tcPr>
            <w:tcW w:w="1433" w:type="dxa"/>
            <w:vMerge/>
          </w:tcPr>
          <w:p w14:paraId="3BEC0E7D" w14:textId="77777777" w:rsidR="00770B34" w:rsidRPr="00C5200A" w:rsidRDefault="00770B34" w:rsidP="00054A7B">
            <w:pPr>
              <w:spacing w:before="240"/>
              <w:rPr>
                <w:spacing w:val="-2"/>
                <w:sz w:val="16"/>
                <w:szCs w:val="16"/>
              </w:rPr>
            </w:pPr>
          </w:p>
        </w:tc>
        <w:tc>
          <w:tcPr>
            <w:tcW w:w="2504" w:type="dxa"/>
          </w:tcPr>
          <w:p w14:paraId="69F4A986" w14:textId="77777777" w:rsidR="00770B34" w:rsidRPr="00C5200A" w:rsidRDefault="00770B34" w:rsidP="00054A7B">
            <w:pPr>
              <w:spacing w:before="240"/>
              <w:rPr>
                <w:spacing w:val="-2"/>
                <w:sz w:val="16"/>
                <w:szCs w:val="16"/>
              </w:rPr>
            </w:pPr>
            <w:r w:rsidRPr="00C5200A">
              <w:rPr>
                <w:spacing w:val="-2"/>
                <w:sz w:val="16"/>
                <w:szCs w:val="16"/>
                <w:lang w:val="en-AU"/>
              </w:rPr>
              <w:t>WMO-No. 1195</w:t>
            </w:r>
          </w:p>
          <w:p w14:paraId="6A186AE5" w14:textId="77777777" w:rsidR="00770B34" w:rsidRPr="00C5200A" w:rsidRDefault="00B36F3C" w:rsidP="00CF630C">
            <w:pPr>
              <w:spacing w:before="240"/>
              <w:jc w:val="left"/>
              <w:rPr>
                <w:i/>
                <w:iCs/>
                <w:spacing w:val="-2"/>
                <w:sz w:val="16"/>
                <w:szCs w:val="16"/>
              </w:rPr>
            </w:pPr>
            <w:hyperlink r:id="rId33" w:anchor=".YijZpHrMJE-" w:history="1">
              <w:r w:rsidR="001F18A7" w:rsidRPr="00C5200A">
                <w:rPr>
                  <w:i/>
                  <w:iCs/>
                  <w:color w:val="0000FF"/>
                  <w:spacing w:val="-2"/>
                  <w:sz w:val="16"/>
                  <w:szCs w:val="16"/>
                </w:rPr>
                <w:t>Guidelines on the Role, Operation and Management of National Meteorological and Hydrological Services</w:t>
              </w:r>
            </w:hyperlink>
          </w:p>
        </w:tc>
        <w:tc>
          <w:tcPr>
            <w:tcW w:w="3288" w:type="dxa"/>
          </w:tcPr>
          <w:p w14:paraId="45C9BEA3"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 xml:space="preserve">– Veiller à ce que le </w:t>
            </w:r>
            <w:proofErr w:type="spellStart"/>
            <w:r w:rsidRPr="00C5200A">
              <w:rPr>
                <w:spacing w:val="-2"/>
                <w:sz w:val="16"/>
                <w:szCs w:val="16"/>
                <w:lang w:val="fr-FR"/>
              </w:rPr>
              <w:t>SMHN</w:t>
            </w:r>
            <w:proofErr w:type="spellEnd"/>
            <w:r w:rsidRPr="00C5200A">
              <w:rPr>
                <w:spacing w:val="-2"/>
                <w:sz w:val="16"/>
                <w:szCs w:val="16"/>
                <w:lang w:val="fr-FR"/>
              </w:rPr>
              <w:t xml:space="preserve"> soit en mesure de répondre aux besoins nationaux en matière de données et de services météorologiques, hydrologiques et connexes;</w:t>
            </w:r>
          </w:p>
          <w:p w14:paraId="67A35F2F"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 Répondre aux nouveaux défis identifiés dans un monde en mutation rapide;</w:t>
            </w:r>
          </w:p>
          <w:p w14:paraId="01878477"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 xml:space="preserve">– Clarifier et articuler le mandat du </w:t>
            </w:r>
            <w:proofErr w:type="spellStart"/>
            <w:r w:rsidRPr="00C5200A">
              <w:rPr>
                <w:spacing w:val="-2"/>
                <w:sz w:val="16"/>
                <w:szCs w:val="16"/>
                <w:lang w:val="fr-FR"/>
              </w:rPr>
              <w:t>SMHN</w:t>
            </w:r>
            <w:proofErr w:type="spellEnd"/>
            <w:r w:rsidRPr="00C5200A">
              <w:rPr>
                <w:spacing w:val="-2"/>
                <w:sz w:val="16"/>
                <w:szCs w:val="16"/>
                <w:lang w:val="fr-FR"/>
              </w:rPr>
              <w:t>;</w:t>
            </w:r>
          </w:p>
          <w:p w14:paraId="46F17C68"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 Formuler et mettre en œuvre des plans stratégiques efficaces;</w:t>
            </w:r>
          </w:p>
        </w:tc>
        <w:tc>
          <w:tcPr>
            <w:tcW w:w="992" w:type="dxa"/>
          </w:tcPr>
          <w:p w14:paraId="393E7DF2" w14:textId="77777777" w:rsidR="00770B34" w:rsidRPr="00C5200A" w:rsidRDefault="00770B34" w:rsidP="00054A7B">
            <w:pPr>
              <w:spacing w:before="240"/>
              <w:rPr>
                <w:spacing w:val="-2"/>
                <w:sz w:val="16"/>
                <w:szCs w:val="16"/>
              </w:rPr>
            </w:pPr>
            <w:r w:rsidRPr="00C5200A">
              <w:rPr>
                <w:spacing w:val="-2"/>
                <w:sz w:val="16"/>
                <w:szCs w:val="16"/>
                <w:lang w:val="fr-FR"/>
              </w:rPr>
              <w:t>2017</w:t>
            </w:r>
          </w:p>
        </w:tc>
        <w:tc>
          <w:tcPr>
            <w:tcW w:w="1411" w:type="dxa"/>
          </w:tcPr>
          <w:p w14:paraId="2D727BE4" w14:textId="77777777" w:rsidR="00770B34" w:rsidRPr="00C5200A" w:rsidRDefault="00770B34" w:rsidP="00054A7B">
            <w:pPr>
              <w:spacing w:before="240"/>
              <w:rPr>
                <w:spacing w:val="-2"/>
                <w:sz w:val="16"/>
                <w:szCs w:val="16"/>
              </w:rPr>
            </w:pPr>
          </w:p>
        </w:tc>
      </w:tr>
      <w:tr w:rsidR="00770B34" w:rsidRPr="00C5200A" w14:paraId="1A2C5AB1" w14:textId="77777777" w:rsidTr="00C5200A">
        <w:tc>
          <w:tcPr>
            <w:tcW w:w="1433" w:type="dxa"/>
            <w:vMerge/>
          </w:tcPr>
          <w:p w14:paraId="6B59DD43" w14:textId="77777777" w:rsidR="00770B34" w:rsidRPr="00C5200A" w:rsidRDefault="00770B34" w:rsidP="00054A7B">
            <w:pPr>
              <w:spacing w:before="240"/>
              <w:rPr>
                <w:spacing w:val="-2"/>
                <w:sz w:val="16"/>
                <w:szCs w:val="16"/>
              </w:rPr>
            </w:pPr>
          </w:p>
        </w:tc>
        <w:tc>
          <w:tcPr>
            <w:tcW w:w="2504" w:type="dxa"/>
          </w:tcPr>
          <w:p w14:paraId="718A37F7" w14:textId="77777777" w:rsidR="00770B34" w:rsidRPr="00C5200A" w:rsidRDefault="00770B34" w:rsidP="00054A7B">
            <w:pPr>
              <w:spacing w:before="240"/>
              <w:rPr>
                <w:spacing w:val="-2"/>
                <w:sz w:val="16"/>
                <w:szCs w:val="16"/>
              </w:rPr>
            </w:pPr>
            <w:r w:rsidRPr="00C5200A">
              <w:rPr>
                <w:spacing w:val="-2"/>
                <w:sz w:val="16"/>
                <w:szCs w:val="16"/>
                <w:lang w:val="en-AU"/>
              </w:rPr>
              <w:t xml:space="preserve">WMO-No. 1221 </w:t>
            </w:r>
          </w:p>
          <w:p w14:paraId="5E91FCD5" w14:textId="77777777" w:rsidR="00770B34" w:rsidRPr="00C5200A" w:rsidRDefault="00B36F3C" w:rsidP="00CF630C">
            <w:pPr>
              <w:spacing w:before="240"/>
              <w:jc w:val="left"/>
              <w:rPr>
                <w:i/>
                <w:iCs/>
                <w:spacing w:val="-2"/>
                <w:sz w:val="16"/>
                <w:szCs w:val="16"/>
              </w:rPr>
            </w:pPr>
            <w:hyperlink r:id="rId34" w:history="1">
              <w:r w:rsidR="001F18A7" w:rsidRPr="00C5200A">
                <w:rPr>
                  <w:i/>
                  <w:iCs/>
                  <w:color w:val="0000FF"/>
                  <w:spacing w:val="-2"/>
                  <w:sz w:val="16"/>
                  <w:szCs w:val="16"/>
                </w:rPr>
                <w:t>Guidelines on Quality Management in Climate Services</w:t>
              </w:r>
            </w:hyperlink>
          </w:p>
        </w:tc>
        <w:tc>
          <w:tcPr>
            <w:tcW w:w="3288" w:type="dxa"/>
          </w:tcPr>
          <w:p w14:paraId="219D6C32" w14:textId="2BEFC752" w:rsidR="00770B34" w:rsidRPr="00C5200A" w:rsidRDefault="00770B34" w:rsidP="00CF630C">
            <w:pPr>
              <w:spacing w:before="240"/>
              <w:jc w:val="left"/>
              <w:rPr>
                <w:spacing w:val="-2"/>
                <w:sz w:val="16"/>
                <w:szCs w:val="16"/>
                <w:lang w:val="fr-FR"/>
              </w:rPr>
            </w:pPr>
            <w:r w:rsidRPr="00C5200A">
              <w:rPr>
                <w:spacing w:val="-2"/>
                <w:sz w:val="16"/>
                <w:szCs w:val="16"/>
                <w:lang w:val="fr-FR"/>
              </w:rPr>
              <w:t xml:space="preserve">Fournir aux </w:t>
            </w:r>
            <w:proofErr w:type="spellStart"/>
            <w:r w:rsidRPr="00C5200A">
              <w:rPr>
                <w:spacing w:val="-2"/>
                <w:sz w:val="16"/>
                <w:szCs w:val="16"/>
                <w:lang w:val="fr-FR"/>
              </w:rPr>
              <w:t>SMHN</w:t>
            </w:r>
            <w:proofErr w:type="spellEnd"/>
            <w:r w:rsidRPr="00C5200A">
              <w:rPr>
                <w:spacing w:val="-2"/>
                <w:sz w:val="16"/>
                <w:szCs w:val="16"/>
                <w:lang w:val="fr-FR"/>
              </w:rPr>
              <w:t xml:space="preserve"> des lignes directrices et des meilleures pratiques pour la mise en œuvre d</w:t>
            </w:r>
            <w:r w:rsidR="005F6019" w:rsidRPr="00C5200A">
              <w:rPr>
                <w:spacing w:val="-2"/>
                <w:sz w:val="16"/>
                <w:szCs w:val="16"/>
                <w:lang w:val="fr-FR"/>
              </w:rPr>
              <w:t>’</w:t>
            </w:r>
            <w:r w:rsidRPr="00C5200A">
              <w:rPr>
                <w:spacing w:val="-2"/>
                <w:sz w:val="16"/>
                <w:szCs w:val="16"/>
                <w:lang w:val="fr-FR"/>
              </w:rPr>
              <w:t>un système de gestion de la qualité dans leurs services climatologiques en ce qui concerne la norme ISO 9001</w:t>
            </w:r>
          </w:p>
        </w:tc>
        <w:tc>
          <w:tcPr>
            <w:tcW w:w="992" w:type="dxa"/>
          </w:tcPr>
          <w:p w14:paraId="2F4C7476"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231C927C" w14:textId="77777777" w:rsidR="00770B34" w:rsidRPr="00C5200A" w:rsidRDefault="00770B34" w:rsidP="00054A7B">
            <w:pPr>
              <w:spacing w:before="240"/>
              <w:rPr>
                <w:spacing w:val="-2"/>
                <w:sz w:val="16"/>
                <w:szCs w:val="16"/>
              </w:rPr>
            </w:pPr>
          </w:p>
        </w:tc>
      </w:tr>
      <w:tr w:rsidR="00770B34" w:rsidRPr="00C5200A" w14:paraId="5BB6ED04" w14:textId="77777777" w:rsidTr="00C5200A">
        <w:tc>
          <w:tcPr>
            <w:tcW w:w="1433" w:type="dxa"/>
            <w:vMerge/>
          </w:tcPr>
          <w:p w14:paraId="32A00242" w14:textId="77777777" w:rsidR="00770B34" w:rsidRPr="00C5200A" w:rsidRDefault="00770B34" w:rsidP="00054A7B">
            <w:pPr>
              <w:spacing w:before="240"/>
              <w:rPr>
                <w:spacing w:val="-2"/>
                <w:sz w:val="16"/>
                <w:szCs w:val="16"/>
              </w:rPr>
            </w:pPr>
          </w:p>
        </w:tc>
        <w:tc>
          <w:tcPr>
            <w:tcW w:w="2504" w:type="dxa"/>
          </w:tcPr>
          <w:p w14:paraId="3F835C2B"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 xml:space="preserve">OMM-N° 1205 </w:t>
            </w:r>
          </w:p>
          <w:p w14:paraId="2D73AE52" w14:textId="77777777" w:rsidR="00770B34" w:rsidRPr="00C5200A" w:rsidRDefault="00B36F3C" w:rsidP="00CF630C">
            <w:pPr>
              <w:spacing w:before="240"/>
              <w:jc w:val="left"/>
              <w:rPr>
                <w:i/>
                <w:iCs/>
                <w:spacing w:val="-2"/>
                <w:sz w:val="16"/>
                <w:szCs w:val="16"/>
                <w:lang w:val="fr-FR"/>
              </w:rPr>
            </w:pPr>
            <w:hyperlink r:id="rId35" w:history="1">
              <w:r w:rsidR="001F18A7" w:rsidRPr="00C5200A">
                <w:rPr>
                  <w:i/>
                  <w:iCs/>
                  <w:color w:val="0000FF"/>
                  <w:spacing w:val="-2"/>
                  <w:sz w:val="16"/>
                  <w:szCs w:val="16"/>
                  <w:lang w:val="fr-FR"/>
                </w:rPr>
                <w:t>Guide sur les compétences</w:t>
              </w:r>
            </w:hyperlink>
          </w:p>
        </w:tc>
        <w:tc>
          <w:tcPr>
            <w:tcW w:w="3288" w:type="dxa"/>
          </w:tcPr>
          <w:p w14:paraId="49F34B51"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Fournir aux membres des conseils sur la mise en œuvre des compétences.</w:t>
            </w:r>
          </w:p>
        </w:tc>
        <w:tc>
          <w:tcPr>
            <w:tcW w:w="992" w:type="dxa"/>
          </w:tcPr>
          <w:p w14:paraId="159D3FDD"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4CA7C82B" w14:textId="77777777" w:rsidR="00770B34" w:rsidRPr="00C5200A" w:rsidRDefault="00770B34" w:rsidP="00054A7B">
            <w:pPr>
              <w:spacing w:before="240"/>
              <w:rPr>
                <w:spacing w:val="-2"/>
                <w:sz w:val="16"/>
                <w:szCs w:val="16"/>
              </w:rPr>
            </w:pPr>
          </w:p>
        </w:tc>
      </w:tr>
      <w:tr w:rsidR="00770B34" w:rsidRPr="00C5200A" w14:paraId="3ECF78B3" w14:textId="77777777" w:rsidTr="00C5200A">
        <w:tc>
          <w:tcPr>
            <w:tcW w:w="1433" w:type="dxa"/>
            <w:vMerge/>
          </w:tcPr>
          <w:p w14:paraId="13AF92AA" w14:textId="77777777" w:rsidR="00770B34" w:rsidRPr="00C5200A" w:rsidRDefault="00770B34" w:rsidP="00054A7B">
            <w:pPr>
              <w:spacing w:before="240"/>
              <w:rPr>
                <w:spacing w:val="-2"/>
                <w:sz w:val="16"/>
                <w:szCs w:val="16"/>
              </w:rPr>
            </w:pPr>
          </w:p>
        </w:tc>
        <w:tc>
          <w:tcPr>
            <w:tcW w:w="2504" w:type="dxa"/>
          </w:tcPr>
          <w:p w14:paraId="519A3FED" w14:textId="77777777" w:rsidR="00770B34" w:rsidRPr="00C5200A" w:rsidRDefault="00770B34" w:rsidP="00CF630C">
            <w:pPr>
              <w:spacing w:before="240"/>
              <w:jc w:val="left"/>
              <w:rPr>
                <w:spacing w:val="-2"/>
                <w:sz w:val="16"/>
                <w:szCs w:val="16"/>
              </w:rPr>
            </w:pPr>
            <w:r w:rsidRPr="00C5200A">
              <w:rPr>
                <w:spacing w:val="-2"/>
                <w:sz w:val="16"/>
                <w:szCs w:val="16"/>
                <w:lang w:val="en-AU"/>
              </w:rPr>
              <w:t>WMO-No. 1209</w:t>
            </w:r>
          </w:p>
          <w:p w14:paraId="25933B78" w14:textId="77777777" w:rsidR="00770B34" w:rsidRPr="00C5200A" w:rsidRDefault="00B36F3C" w:rsidP="00CF630C">
            <w:pPr>
              <w:spacing w:before="240"/>
              <w:jc w:val="left"/>
              <w:rPr>
                <w:i/>
                <w:iCs/>
                <w:spacing w:val="-2"/>
                <w:sz w:val="16"/>
                <w:szCs w:val="16"/>
              </w:rPr>
            </w:pPr>
            <w:hyperlink r:id="rId36" w:history="1">
              <w:r w:rsidR="001F18A7" w:rsidRPr="00C5200A">
                <w:rPr>
                  <w:i/>
                  <w:iCs/>
                  <w:color w:val="0000FF"/>
                  <w:spacing w:val="-2"/>
                  <w:sz w:val="16"/>
                  <w:szCs w:val="16"/>
                </w:rPr>
                <w:t>Compendium of WMO Competency Frameworks</w:t>
              </w:r>
            </w:hyperlink>
          </w:p>
        </w:tc>
        <w:tc>
          <w:tcPr>
            <w:tcW w:w="3288" w:type="dxa"/>
          </w:tcPr>
          <w:p w14:paraId="1C5D324D" w14:textId="29318FFF" w:rsidR="00770B34" w:rsidRPr="00C5200A" w:rsidRDefault="00770B34" w:rsidP="00CF630C">
            <w:pPr>
              <w:spacing w:before="240"/>
              <w:jc w:val="left"/>
              <w:rPr>
                <w:spacing w:val="-2"/>
                <w:sz w:val="16"/>
                <w:szCs w:val="16"/>
                <w:lang w:val="fr-FR"/>
              </w:rPr>
            </w:pPr>
            <w:r w:rsidRPr="00C5200A">
              <w:rPr>
                <w:spacing w:val="-2"/>
                <w:sz w:val="16"/>
                <w:szCs w:val="16"/>
                <w:lang w:val="fr-FR"/>
              </w:rPr>
              <w:t>Fournir aux Membres un accès facile à tous les cadres de compétences de l</w:t>
            </w:r>
            <w:r w:rsidR="005F6019" w:rsidRPr="00C5200A">
              <w:rPr>
                <w:spacing w:val="-2"/>
                <w:sz w:val="16"/>
                <w:szCs w:val="16"/>
                <w:lang w:val="fr-FR"/>
              </w:rPr>
              <w:t>’</w:t>
            </w:r>
            <w:r w:rsidRPr="00C5200A">
              <w:rPr>
                <w:spacing w:val="-2"/>
                <w:sz w:val="16"/>
                <w:szCs w:val="16"/>
                <w:lang w:val="fr-FR"/>
              </w:rPr>
              <w:t>OMM</w:t>
            </w:r>
          </w:p>
        </w:tc>
        <w:tc>
          <w:tcPr>
            <w:tcW w:w="992" w:type="dxa"/>
          </w:tcPr>
          <w:p w14:paraId="3E5F874B" w14:textId="77777777" w:rsidR="00770B34" w:rsidRPr="00C5200A" w:rsidRDefault="00770B34" w:rsidP="00054A7B">
            <w:pPr>
              <w:spacing w:before="240"/>
              <w:rPr>
                <w:spacing w:val="-2"/>
                <w:sz w:val="16"/>
                <w:szCs w:val="16"/>
              </w:rPr>
            </w:pPr>
            <w:r w:rsidRPr="00C5200A">
              <w:rPr>
                <w:spacing w:val="-2"/>
                <w:sz w:val="16"/>
                <w:szCs w:val="16"/>
                <w:lang w:val="fr-FR"/>
              </w:rPr>
              <w:t>2019</w:t>
            </w:r>
          </w:p>
        </w:tc>
        <w:tc>
          <w:tcPr>
            <w:tcW w:w="1411" w:type="dxa"/>
          </w:tcPr>
          <w:p w14:paraId="71D6217C" w14:textId="77777777" w:rsidR="00770B34" w:rsidRPr="00C5200A" w:rsidRDefault="00770B34" w:rsidP="00054A7B">
            <w:pPr>
              <w:spacing w:before="240"/>
              <w:rPr>
                <w:spacing w:val="-2"/>
                <w:sz w:val="16"/>
                <w:szCs w:val="16"/>
              </w:rPr>
            </w:pPr>
          </w:p>
        </w:tc>
      </w:tr>
      <w:tr w:rsidR="00770B34" w:rsidRPr="00C5200A" w14:paraId="4DEB10F1" w14:textId="77777777" w:rsidTr="00C5200A">
        <w:tc>
          <w:tcPr>
            <w:tcW w:w="1433" w:type="dxa"/>
            <w:vMerge/>
          </w:tcPr>
          <w:p w14:paraId="38563F2C" w14:textId="77777777" w:rsidR="00770B34" w:rsidRPr="00C5200A" w:rsidRDefault="00770B34" w:rsidP="00054A7B">
            <w:pPr>
              <w:spacing w:before="240"/>
              <w:rPr>
                <w:spacing w:val="-2"/>
                <w:sz w:val="16"/>
                <w:szCs w:val="16"/>
              </w:rPr>
            </w:pPr>
          </w:p>
        </w:tc>
        <w:tc>
          <w:tcPr>
            <w:tcW w:w="2504" w:type="dxa"/>
          </w:tcPr>
          <w:p w14:paraId="5FC25426"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OMM-N° 1160</w:t>
            </w:r>
          </w:p>
          <w:p w14:paraId="3D23157D" w14:textId="664C1CDF" w:rsidR="00770B34" w:rsidRPr="00C5200A" w:rsidRDefault="00B36F3C" w:rsidP="009C0BB8">
            <w:pPr>
              <w:spacing w:before="240"/>
              <w:jc w:val="left"/>
              <w:rPr>
                <w:i/>
                <w:iCs/>
                <w:spacing w:val="-2"/>
                <w:sz w:val="16"/>
                <w:szCs w:val="16"/>
                <w:lang w:val="fr-FR"/>
              </w:rPr>
            </w:pPr>
            <w:hyperlink r:id="rId37" w:anchor=".YjBjQHrMJE8" w:history="1">
              <w:r w:rsidR="001F18A7" w:rsidRPr="00C5200A">
                <w:rPr>
                  <w:i/>
                  <w:iCs/>
                  <w:color w:val="0000FF"/>
                  <w:spacing w:val="-2"/>
                  <w:sz w:val="16"/>
                  <w:szCs w:val="16"/>
                  <w:lang w:val="fr-FR"/>
                </w:rPr>
                <w:t>Manuel du Système mondial intégré des systèmes d</w:t>
              </w:r>
              <w:r w:rsidR="005F6019" w:rsidRPr="00C5200A">
                <w:rPr>
                  <w:i/>
                  <w:iCs/>
                  <w:color w:val="0000FF"/>
                  <w:spacing w:val="-2"/>
                  <w:sz w:val="16"/>
                  <w:szCs w:val="16"/>
                  <w:lang w:val="fr-FR"/>
                </w:rPr>
                <w:t>’</w:t>
              </w:r>
              <w:r w:rsidR="001F18A7" w:rsidRPr="00C5200A">
                <w:rPr>
                  <w:i/>
                  <w:iCs/>
                  <w:color w:val="0000FF"/>
                  <w:spacing w:val="-2"/>
                  <w:sz w:val="16"/>
                  <w:szCs w:val="16"/>
                  <w:lang w:val="fr-FR"/>
                </w:rPr>
                <w:t>observation de l</w:t>
              </w:r>
              <w:r w:rsidR="005F6019" w:rsidRPr="00C5200A">
                <w:rPr>
                  <w:i/>
                  <w:iCs/>
                  <w:color w:val="0000FF"/>
                  <w:spacing w:val="-2"/>
                  <w:sz w:val="16"/>
                  <w:szCs w:val="16"/>
                  <w:lang w:val="fr-FR"/>
                </w:rPr>
                <w:t>’</w:t>
              </w:r>
              <w:r w:rsidR="001F18A7" w:rsidRPr="00C5200A">
                <w:rPr>
                  <w:i/>
                  <w:iCs/>
                  <w:color w:val="0000FF"/>
                  <w:spacing w:val="-2"/>
                  <w:sz w:val="16"/>
                  <w:szCs w:val="16"/>
                  <w:lang w:val="fr-FR"/>
                </w:rPr>
                <w:t>OMM</w:t>
              </w:r>
            </w:hyperlink>
          </w:p>
        </w:tc>
        <w:tc>
          <w:tcPr>
            <w:tcW w:w="3288" w:type="dxa"/>
          </w:tcPr>
          <w:p w14:paraId="05FC3488" w14:textId="4056E34C" w:rsidR="00770B34" w:rsidRPr="00C5200A" w:rsidRDefault="00770B34" w:rsidP="00CF630C">
            <w:pPr>
              <w:spacing w:before="240"/>
              <w:jc w:val="left"/>
              <w:rPr>
                <w:spacing w:val="-2"/>
                <w:sz w:val="16"/>
                <w:szCs w:val="16"/>
                <w:lang w:val="fr-FR"/>
              </w:rPr>
            </w:pPr>
            <w:r w:rsidRPr="00C5200A">
              <w:rPr>
                <w:spacing w:val="-2"/>
                <w:sz w:val="16"/>
                <w:szCs w:val="16"/>
                <w:lang w:val="fr-FR"/>
              </w:rPr>
              <w:t>(a) Préciser les obligations des Membres quant à la mise en œuvre et à l</w:t>
            </w:r>
            <w:r w:rsidR="005F6019" w:rsidRPr="00C5200A">
              <w:rPr>
                <w:spacing w:val="-2"/>
                <w:sz w:val="16"/>
                <w:szCs w:val="16"/>
                <w:lang w:val="fr-FR"/>
              </w:rPr>
              <w:t>’</w:t>
            </w:r>
            <w:r w:rsidRPr="00C5200A">
              <w:rPr>
                <w:spacing w:val="-2"/>
                <w:sz w:val="16"/>
                <w:szCs w:val="16"/>
                <w:lang w:val="fr-FR"/>
              </w:rPr>
              <w:t xml:space="preserve">exploitation du </w:t>
            </w:r>
            <w:proofErr w:type="spellStart"/>
            <w:r w:rsidRPr="00C5200A">
              <w:rPr>
                <w:spacing w:val="-2"/>
                <w:sz w:val="16"/>
                <w:szCs w:val="16"/>
                <w:lang w:val="fr-FR"/>
              </w:rPr>
              <w:t>WIGOS</w:t>
            </w:r>
            <w:proofErr w:type="spellEnd"/>
            <w:r w:rsidRPr="00C5200A">
              <w:rPr>
                <w:spacing w:val="-2"/>
                <w:sz w:val="16"/>
                <w:szCs w:val="16"/>
                <w:lang w:val="fr-FR"/>
              </w:rPr>
              <w:t>;</w:t>
            </w:r>
          </w:p>
          <w:p w14:paraId="3777E9E6" w14:textId="1302EEDE" w:rsidR="00770B34" w:rsidRPr="00C5200A" w:rsidRDefault="00770B34" w:rsidP="00CF630C">
            <w:pPr>
              <w:spacing w:before="240"/>
              <w:jc w:val="left"/>
              <w:rPr>
                <w:spacing w:val="-2"/>
                <w:sz w:val="16"/>
                <w:szCs w:val="16"/>
                <w:lang w:val="fr-FR"/>
              </w:rPr>
            </w:pPr>
            <w:r w:rsidRPr="00C5200A">
              <w:rPr>
                <w:spacing w:val="-2"/>
                <w:sz w:val="16"/>
                <w:szCs w:val="16"/>
                <w:lang w:val="fr-FR"/>
              </w:rPr>
              <w:t>(b) Faciliter la coopération en matière d</w:t>
            </w:r>
            <w:r w:rsidR="005F6019" w:rsidRPr="00C5200A">
              <w:rPr>
                <w:spacing w:val="-2"/>
                <w:sz w:val="16"/>
                <w:szCs w:val="16"/>
                <w:lang w:val="fr-FR"/>
              </w:rPr>
              <w:t>’</w:t>
            </w:r>
            <w:r w:rsidRPr="00C5200A">
              <w:rPr>
                <w:spacing w:val="-2"/>
                <w:sz w:val="16"/>
                <w:szCs w:val="16"/>
                <w:lang w:val="fr-FR"/>
              </w:rPr>
              <w:t>observation entre les Membres;</w:t>
            </w:r>
          </w:p>
          <w:p w14:paraId="0E54E1A4" w14:textId="75ABDDE6" w:rsidR="00770B34" w:rsidRPr="00C5200A" w:rsidRDefault="00770B34" w:rsidP="00CF630C">
            <w:pPr>
              <w:spacing w:before="240"/>
              <w:jc w:val="left"/>
              <w:rPr>
                <w:spacing w:val="-2"/>
                <w:sz w:val="16"/>
                <w:szCs w:val="16"/>
                <w:lang w:val="fr-FR"/>
              </w:rPr>
            </w:pPr>
            <w:r w:rsidRPr="00C5200A">
              <w:rPr>
                <w:spacing w:val="-2"/>
                <w:sz w:val="16"/>
                <w:szCs w:val="16"/>
                <w:lang w:val="fr-FR"/>
              </w:rPr>
              <w:t>(c) Assurer l</w:t>
            </w:r>
            <w:r w:rsidR="005F6019" w:rsidRPr="00C5200A">
              <w:rPr>
                <w:spacing w:val="-2"/>
                <w:sz w:val="16"/>
                <w:szCs w:val="16"/>
                <w:lang w:val="fr-FR"/>
              </w:rPr>
              <w:t>’</w:t>
            </w:r>
            <w:r w:rsidRPr="00C5200A">
              <w:rPr>
                <w:spacing w:val="-2"/>
                <w:sz w:val="16"/>
                <w:szCs w:val="16"/>
                <w:lang w:val="fr-FR"/>
              </w:rPr>
              <w:t>uniformité et la normalisation des pratiques et des procédures</w:t>
            </w:r>
          </w:p>
          <w:p w14:paraId="6961162F"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employées pour atteindre les objectifs a) et b) ci-dessus.</w:t>
            </w:r>
          </w:p>
        </w:tc>
        <w:tc>
          <w:tcPr>
            <w:tcW w:w="992" w:type="dxa"/>
          </w:tcPr>
          <w:p w14:paraId="4C9CFF76" w14:textId="77777777" w:rsidR="00770B34" w:rsidRPr="00C5200A" w:rsidRDefault="00770B34" w:rsidP="00054A7B">
            <w:pPr>
              <w:spacing w:before="240"/>
              <w:rPr>
                <w:spacing w:val="-2"/>
                <w:sz w:val="16"/>
                <w:szCs w:val="16"/>
              </w:rPr>
            </w:pPr>
            <w:r w:rsidRPr="00C5200A">
              <w:rPr>
                <w:spacing w:val="-2"/>
                <w:sz w:val="16"/>
                <w:szCs w:val="16"/>
                <w:lang w:val="fr-FR"/>
              </w:rPr>
              <w:t>2021</w:t>
            </w:r>
          </w:p>
        </w:tc>
        <w:tc>
          <w:tcPr>
            <w:tcW w:w="1411" w:type="dxa"/>
          </w:tcPr>
          <w:p w14:paraId="3E012B68" w14:textId="77777777" w:rsidR="00770B34" w:rsidRPr="00C5200A" w:rsidRDefault="00770B34" w:rsidP="00054A7B">
            <w:pPr>
              <w:spacing w:before="240"/>
              <w:rPr>
                <w:spacing w:val="-2"/>
                <w:sz w:val="16"/>
                <w:szCs w:val="16"/>
              </w:rPr>
            </w:pPr>
          </w:p>
        </w:tc>
      </w:tr>
      <w:tr w:rsidR="00770B34" w:rsidRPr="00C5200A" w14:paraId="135CC986" w14:textId="77777777" w:rsidTr="00C5200A">
        <w:tc>
          <w:tcPr>
            <w:tcW w:w="1433" w:type="dxa"/>
            <w:vMerge/>
          </w:tcPr>
          <w:p w14:paraId="4DF5D76D" w14:textId="77777777" w:rsidR="00770B34" w:rsidRPr="00C5200A" w:rsidRDefault="00770B34" w:rsidP="00054A7B">
            <w:pPr>
              <w:spacing w:before="240"/>
              <w:rPr>
                <w:spacing w:val="-2"/>
                <w:sz w:val="16"/>
                <w:szCs w:val="16"/>
              </w:rPr>
            </w:pPr>
          </w:p>
        </w:tc>
        <w:tc>
          <w:tcPr>
            <w:tcW w:w="2504" w:type="dxa"/>
          </w:tcPr>
          <w:p w14:paraId="6B563D52"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OMM-N° 1133</w:t>
            </w:r>
          </w:p>
          <w:p w14:paraId="667B72FD" w14:textId="2F00B1AD" w:rsidR="00770B34" w:rsidRPr="00C5200A" w:rsidRDefault="00B36F3C" w:rsidP="00573D2D">
            <w:pPr>
              <w:spacing w:before="240"/>
              <w:jc w:val="left"/>
              <w:rPr>
                <w:i/>
                <w:iCs/>
                <w:spacing w:val="-2"/>
                <w:sz w:val="16"/>
                <w:szCs w:val="16"/>
                <w:lang w:val="fr-FR"/>
              </w:rPr>
            </w:pPr>
            <w:hyperlink r:id="rId38" w:history="1">
              <w:r w:rsidR="001F18A7" w:rsidRPr="00C5200A">
                <w:rPr>
                  <w:i/>
                  <w:iCs/>
                  <w:color w:val="0000FF"/>
                  <w:spacing w:val="-2"/>
                  <w:sz w:val="16"/>
                  <w:szCs w:val="16"/>
                  <w:lang w:val="fr-FR"/>
                </w:rPr>
                <w:t>Stratégie de l</w:t>
              </w:r>
              <w:r w:rsidR="005F6019" w:rsidRPr="00C5200A">
                <w:rPr>
                  <w:i/>
                  <w:iCs/>
                  <w:color w:val="0000FF"/>
                  <w:spacing w:val="-2"/>
                  <w:sz w:val="16"/>
                  <w:szCs w:val="16"/>
                  <w:lang w:val="fr-FR"/>
                </w:rPr>
                <w:t>’</w:t>
              </w:r>
              <w:r w:rsidR="001F18A7" w:rsidRPr="00C5200A">
                <w:rPr>
                  <w:i/>
                  <w:iCs/>
                  <w:color w:val="0000FF"/>
                  <w:spacing w:val="-2"/>
                  <w:sz w:val="16"/>
                  <w:szCs w:val="16"/>
                  <w:lang w:val="fr-FR"/>
                </w:rPr>
                <w:t xml:space="preserve">OMM pour le développement des capacités et Plan de mise en </w:t>
              </w:r>
              <w:proofErr w:type="spellStart"/>
              <w:r w:rsidR="001F18A7" w:rsidRPr="00C5200A">
                <w:rPr>
                  <w:i/>
                  <w:iCs/>
                  <w:color w:val="0000FF"/>
                  <w:spacing w:val="-2"/>
                  <w:sz w:val="16"/>
                  <w:szCs w:val="16"/>
                  <w:lang w:val="fr-FR"/>
                </w:rPr>
                <w:t>oeuvre</w:t>
              </w:r>
              <w:proofErr w:type="spellEnd"/>
            </w:hyperlink>
          </w:p>
        </w:tc>
        <w:tc>
          <w:tcPr>
            <w:tcW w:w="3288" w:type="dxa"/>
          </w:tcPr>
          <w:p w14:paraId="28F74C06"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Conçu pour aider tous les membres, en particulier les pays les moins développés</w:t>
            </w:r>
          </w:p>
          <w:p w14:paraId="322C3C2D" w14:textId="77777777" w:rsidR="00770B34" w:rsidRPr="00C5200A" w:rsidRDefault="00770B34" w:rsidP="00CF630C">
            <w:pPr>
              <w:spacing w:before="240"/>
              <w:jc w:val="left"/>
              <w:rPr>
                <w:spacing w:val="-2"/>
                <w:sz w:val="16"/>
                <w:szCs w:val="16"/>
                <w:lang w:val="fr-FR"/>
              </w:rPr>
            </w:pPr>
            <w:r w:rsidRPr="00C5200A">
              <w:rPr>
                <w:spacing w:val="-2"/>
                <w:sz w:val="16"/>
                <w:szCs w:val="16"/>
                <w:lang w:val="fr-FR"/>
              </w:rPr>
              <w:t>et les petits États insulaires en développement</w:t>
            </w:r>
          </w:p>
        </w:tc>
        <w:tc>
          <w:tcPr>
            <w:tcW w:w="992" w:type="dxa"/>
          </w:tcPr>
          <w:p w14:paraId="660D5473" w14:textId="77777777" w:rsidR="00770B34" w:rsidRPr="00C5200A" w:rsidRDefault="00770B34" w:rsidP="00054A7B">
            <w:pPr>
              <w:spacing w:before="240"/>
              <w:rPr>
                <w:spacing w:val="-2"/>
                <w:sz w:val="16"/>
                <w:szCs w:val="16"/>
              </w:rPr>
            </w:pPr>
            <w:r w:rsidRPr="00C5200A">
              <w:rPr>
                <w:spacing w:val="-2"/>
                <w:sz w:val="16"/>
                <w:szCs w:val="16"/>
                <w:lang w:val="fr-FR"/>
              </w:rPr>
              <w:t>2015</w:t>
            </w:r>
          </w:p>
        </w:tc>
        <w:tc>
          <w:tcPr>
            <w:tcW w:w="1411" w:type="dxa"/>
          </w:tcPr>
          <w:p w14:paraId="286DB245" w14:textId="77777777" w:rsidR="00770B34" w:rsidRPr="00C5200A" w:rsidRDefault="00770B34" w:rsidP="00054A7B">
            <w:pPr>
              <w:spacing w:before="240"/>
              <w:rPr>
                <w:spacing w:val="-2"/>
                <w:sz w:val="16"/>
                <w:szCs w:val="16"/>
              </w:rPr>
            </w:pPr>
          </w:p>
        </w:tc>
      </w:tr>
      <w:tr w:rsidR="00770B34" w:rsidRPr="00C5200A" w14:paraId="6C5800B5" w14:textId="77777777" w:rsidTr="00C5200A">
        <w:tc>
          <w:tcPr>
            <w:tcW w:w="1433" w:type="dxa"/>
            <w:vMerge w:val="restart"/>
          </w:tcPr>
          <w:p w14:paraId="69ABE5F4" w14:textId="77777777" w:rsidR="00770B34" w:rsidRPr="00C5200A" w:rsidRDefault="00770B34" w:rsidP="00054A7B">
            <w:pPr>
              <w:spacing w:before="240"/>
              <w:rPr>
                <w:b/>
                <w:bCs/>
                <w:spacing w:val="-2"/>
                <w:sz w:val="16"/>
                <w:szCs w:val="16"/>
              </w:rPr>
            </w:pPr>
            <w:r w:rsidRPr="00C5200A">
              <w:rPr>
                <w:b/>
                <w:bCs/>
                <w:spacing w:val="-2"/>
                <w:sz w:val="16"/>
                <w:szCs w:val="16"/>
                <w:lang w:val="fr-FR"/>
              </w:rPr>
              <w:t>Données climatologiques</w:t>
            </w:r>
          </w:p>
        </w:tc>
        <w:tc>
          <w:tcPr>
            <w:tcW w:w="2504" w:type="dxa"/>
          </w:tcPr>
          <w:p w14:paraId="02A1BE66" w14:textId="77777777" w:rsidR="00770B34" w:rsidRPr="00C5200A" w:rsidRDefault="00770B34" w:rsidP="00CF630C">
            <w:pPr>
              <w:spacing w:before="240"/>
              <w:jc w:val="left"/>
              <w:rPr>
                <w:rFonts w:cs="Stone Sans ITC"/>
                <w:color w:val="211D1E"/>
                <w:spacing w:val="-2"/>
                <w:sz w:val="16"/>
                <w:szCs w:val="16"/>
                <w:lang w:val="fr-FR"/>
              </w:rPr>
            </w:pPr>
            <w:r w:rsidRPr="00C5200A">
              <w:rPr>
                <w:spacing w:val="-2"/>
                <w:sz w:val="16"/>
                <w:szCs w:val="16"/>
                <w:lang w:val="fr-FR"/>
              </w:rPr>
              <w:t>OMM-N° 488</w:t>
            </w:r>
          </w:p>
          <w:p w14:paraId="12121318" w14:textId="2F106432" w:rsidR="00770B34" w:rsidRPr="00C5200A" w:rsidRDefault="00B36F3C" w:rsidP="00CF630C">
            <w:pPr>
              <w:spacing w:before="240"/>
              <w:jc w:val="left"/>
              <w:rPr>
                <w:i/>
                <w:iCs/>
                <w:spacing w:val="-2"/>
                <w:sz w:val="16"/>
                <w:szCs w:val="16"/>
                <w:lang w:val="fr-FR"/>
              </w:rPr>
            </w:pPr>
            <w:hyperlink r:id="rId39" w:anchor=".YxjEOnZBw2x" w:history="1">
              <w:r w:rsidR="001F18A7" w:rsidRPr="00C5200A">
                <w:rPr>
                  <w:i/>
                  <w:iCs/>
                  <w:color w:val="0000FF"/>
                  <w:spacing w:val="-2"/>
                  <w:sz w:val="16"/>
                  <w:szCs w:val="16"/>
                  <w:lang w:val="fr-FR"/>
                </w:rPr>
                <w:t>Guide du Système mondial d</w:t>
              </w:r>
              <w:r w:rsidR="005F6019" w:rsidRPr="00C5200A">
                <w:rPr>
                  <w:i/>
                  <w:iCs/>
                  <w:color w:val="0000FF"/>
                  <w:spacing w:val="-2"/>
                  <w:sz w:val="16"/>
                  <w:szCs w:val="16"/>
                  <w:lang w:val="fr-FR"/>
                </w:rPr>
                <w:t>’</w:t>
              </w:r>
              <w:r w:rsidR="001F18A7" w:rsidRPr="00C5200A">
                <w:rPr>
                  <w:i/>
                  <w:iCs/>
                  <w:color w:val="0000FF"/>
                  <w:spacing w:val="-2"/>
                  <w:sz w:val="16"/>
                  <w:szCs w:val="16"/>
                  <w:lang w:val="fr-FR"/>
                </w:rPr>
                <w:t>observation</w:t>
              </w:r>
            </w:hyperlink>
          </w:p>
        </w:tc>
        <w:tc>
          <w:tcPr>
            <w:tcW w:w="3288" w:type="dxa"/>
          </w:tcPr>
          <w:p w14:paraId="5A733080" w14:textId="34DEA7AF" w:rsidR="00770B34" w:rsidRPr="00C5200A" w:rsidRDefault="00770B34" w:rsidP="00CF630C">
            <w:pPr>
              <w:spacing w:before="240"/>
              <w:jc w:val="left"/>
              <w:rPr>
                <w:spacing w:val="-2"/>
                <w:sz w:val="16"/>
                <w:szCs w:val="16"/>
                <w:lang w:val="fr-FR"/>
              </w:rPr>
            </w:pPr>
            <w:r w:rsidRPr="00C5200A">
              <w:rPr>
                <w:spacing w:val="-2"/>
                <w:sz w:val="16"/>
                <w:szCs w:val="16"/>
                <w:lang w:val="fr-FR"/>
              </w:rPr>
              <w:t>Fournit des renseignements pratiques sur l</w:t>
            </w:r>
            <w:r w:rsidR="005F6019" w:rsidRPr="00C5200A">
              <w:rPr>
                <w:spacing w:val="-2"/>
                <w:sz w:val="16"/>
                <w:szCs w:val="16"/>
                <w:lang w:val="fr-FR"/>
              </w:rPr>
              <w:t>’</w:t>
            </w:r>
            <w:r w:rsidRPr="00C5200A">
              <w:rPr>
                <w:spacing w:val="-2"/>
                <w:sz w:val="16"/>
                <w:szCs w:val="16"/>
                <w:lang w:val="fr-FR"/>
              </w:rPr>
              <w:t>élaboration, l</w:t>
            </w:r>
            <w:r w:rsidR="005F6019" w:rsidRPr="00C5200A">
              <w:rPr>
                <w:spacing w:val="-2"/>
                <w:sz w:val="16"/>
                <w:szCs w:val="16"/>
                <w:lang w:val="fr-FR"/>
              </w:rPr>
              <w:t>’</w:t>
            </w:r>
            <w:r w:rsidRPr="00C5200A">
              <w:rPr>
                <w:spacing w:val="-2"/>
                <w:sz w:val="16"/>
                <w:szCs w:val="16"/>
                <w:lang w:val="fr-FR"/>
              </w:rPr>
              <w:t>organisation, la mise en œuvre et l</w:t>
            </w:r>
            <w:r w:rsidR="005F6019" w:rsidRPr="00C5200A">
              <w:rPr>
                <w:spacing w:val="-2"/>
                <w:sz w:val="16"/>
                <w:szCs w:val="16"/>
                <w:lang w:val="fr-FR"/>
              </w:rPr>
              <w:t>’</w:t>
            </w:r>
            <w:r w:rsidRPr="00C5200A">
              <w:rPr>
                <w:spacing w:val="-2"/>
                <w:sz w:val="16"/>
                <w:szCs w:val="16"/>
                <w:lang w:val="fr-FR"/>
              </w:rPr>
              <w:t>exploitation du Système mondial d</w:t>
            </w:r>
            <w:r w:rsidR="005F6019" w:rsidRPr="00C5200A">
              <w:rPr>
                <w:spacing w:val="-2"/>
                <w:sz w:val="16"/>
                <w:szCs w:val="16"/>
                <w:lang w:val="fr-FR"/>
              </w:rPr>
              <w:t>’</w:t>
            </w:r>
            <w:r w:rsidRPr="00C5200A">
              <w:rPr>
                <w:spacing w:val="-2"/>
                <w:sz w:val="16"/>
                <w:szCs w:val="16"/>
                <w:lang w:val="fr-FR"/>
              </w:rPr>
              <w:t>observation afin d</w:t>
            </w:r>
            <w:r w:rsidR="005F6019" w:rsidRPr="00C5200A">
              <w:rPr>
                <w:spacing w:val="-2"/>
                <w:sz w:val="16"/>
                <w:szCs w:val="16"/>
                <w:lang w:val="fr-FR"/>
              </w:rPr>
              <w:t>’</w:t>
            </w:r>
            <w:r w:rsidRPr="00C5200A">
              <w:rPr>
                <w:spacing w:val="-2"/>
                <w:sz w:val="16"/>
                <w:szCs w:val="16"/>
                <w:lang w:val="fr-FR"/>
              </w:rPr>
              <w:t>encourager la participation de tous les Membres à ce dernier et d</w:t>
            </w:r>
            <w:r w:rsidR="005F6019" w:rsidRPr="00C5200A">
              <w:rPr>
                <w:spacing w:val="-2"/>
                <w:sz w:val="16"/>
                <w:szCs w:val="16"/>
                <w:lang w:val="fr-FR"/>
              </w:rPr>
              <w:t>’</w:t>
            </w:r>
            <w:r w:rsidRPr="00C5200A">
              <w:rPr>
                <w:spacing w:val="-2"/>
                <w:sz w:val="16"/>
                <w:szCs w:val="16"/>
                <w:lang w:val="fr-FR"/>
              </w:rPr>
              <w:t>optimiser son utilité pour chacun d</w:t>
            </w:r>
            <w:r w:rsidR="005F6019" w:rsidRPr="00C5200A">
              <w:rPr>
                <w:spacing w:val="-2"/>
                <w:sz w:val="16"/>
                <w:szCs w:val="16"/>
                <w:lang w:val="fr-FR"/>
              </w:rPr>
              <w:t>’</w:t>
            </w:r>
            <w:r w:rsidRPr="00C5200A">
              <w:rPr>
                <w:spacing w:val="-2"/>
                <w:sz w:val="16"/>
                <w:szCs w:val="16"/>
                <w:lang w:val="fr-FR"/>
              </w:rPr>
              <w:t>eux.</w:t>
            </w:r>
          </w:p>
        </w:tc>
        <w:tc>
          <w:tcPr>
            <w:tcW w:w="992" w:type="dxa"/>
          </w:tcPr>
          <w:p w14:paraId="1018727F" w14:textId="77777777" w:rsidR="00770B34" w:rsidRPr="00C5200A" w:rsidRDefault="00770B34" w:rsidP="00054A7B">
            <w:pPr>
              <w:spacing w:before="240"/>
              <w:rPr>
                <w:spacing w:val="-2"/>
                <w:sz w:val="16"/>
                <w:szCs w:val="16"/>
              </w:rPr>
            </w:pPr>
            <w:r w:rsidRPr="00C5200A">
              <w:rPr>
                <w:spacing w:val="-2"/>
                <w:sz w:val="16"/>
                <w:szCs w:val="16"/>
                <w:lang w:val="fr-FR"/>
              </w:rPr>
              <w:t>2017</w:t>
            </w:r>
          </w:p>
        </w:tc>
        <w:tc>
          <w:tcPr>
            <w:tcW w:w="1411" w:type="dxa"/>
          </w:tcPr>
          <w:p w14:paraId="14ED3D5E" w14:textId="77777777" w:rsidR="00770B34" w:rsidRPr="00C5200A" w:rsidRDefault="00770B34" w:rsidP="00054A7B">
            <w:pPr>
              <w:spacing w:before="240"/>
              <w:rPr>
                <w:spacing w:val="-2"/>
                <w:sz w:val="16"/>
                <w:szCs w:val="16"/>
              </w:rPr>
            </w:pPr>
          </w:p>
        </w:tc>
      </w:tr>
      <w:tr w:rsidR="00770B34" w:rsidRPr="00C5200A" w14:paraId="07EE985F" w14:textId="77777777" w:rsidTr="00C5200A">
        <w:tc>
          <w:tcPr>
            <w:tcW w:w="1433" w:type="dxa"/>
            <w:vMerge/>
          </w:tcPr>
          <w:p w14:paraId="07201D7D" w14:textId="77777777" w:rsidR="00770B34" w:rsidRPr="00C5200A" w:rsidRDefault="00770B34" w:rsidP="00054A7B">
            <w:pPr>
              <w:spacing w:before="240"/>
              <w:rPr>
                <w:spacing w:val="-2"/>
                <w:sz w:val="16"/>
                <w:szCs w:val="16"/>
              </w:rPr>
            </w:pPr>
          </w:p>
        </w:tc>
        <w:tc>
          <w:tcPr>
            <w:tcW w:w="2504" w:type="dxa"/>
          </w:tcPr>
          <w:p w14:paraId="7617F017" w14:textId="77777777" w:rsidR="00C36F43" w:rsidRPr="00C5200A" w:rsidRDefault="00C36F43" w:rsidP="00C36F43">
            <w:pPr>
              <w:spacing w:before="240"/>
              <w:rPr>
                <w:spacing w:val="-2"/>
                <w:sz w:val="16"/>
                <w:szCs w:val="16"/>
                <w:lang w:val="fr-FR"/>
              </w:rPr>
            </w:pPr>
            <w:r w:rsidRPr="00C5200A">
              <w:rPr>
                <w:spacing w:val="-2"/>
                <w:sz w:val="16"/>
                <w:szCs w:val="16"/>
                <w:lang w:val="fr-FR"/>
              </w:rPr>
              <w:t>OMM-N° 100</w:t>
            </w:r>
          </w:p>
          <w:p w14:paraId="0F629E97" w14:textId="77777777" w:rsidR="00770B34" w:rsidRPr="00C5200A" w:rsidRDefault="00B36F3C" w:rsidP="00C36F43">
            <w:pPr>
              <w:spacing w:before="240"/>
              <w:jc w:val="left"/>
              <w:rPr>
                <w:rFonts w:cs="Stone Sans ITC"/>
                <w:i/>
                <w:iCs/>
                <w:color w:val="211D1E"/>
                <w:spacing w:val="-2"/>
                <w:sz w:val="16"/>
                <w:szCs w:val="16"/>
                <w:lang w:val="fr-FR"/>
              </w:rPr>
            </w:pPr>
            <w:hyperlink r:id="rId40" w:history="1">
              <w:r w:rsidR="001F18A7" w:rsidRPr="00C5200A">
                <w:rPr>
                  <w:i/>
                  <w:iCs/>
                  <w:color w:val="0000FF"/>
                  <w:spacing w:val="-2"/>
                  <w:sz w:val="16"/>
                  <w:szCs w:val="16"/>
                  <w:lang w:val="fr-FR"/>
                </w:rPr>
                <w:t>Guide des pratiques climatologiques</w:t>
              </w:r>
            </w:hyperlink>
          </w:p>
        </w:tc>
        <w:tc>
          <w:tcPr>
            <w:tcW w:w="3288" w:type="dxa"/>
          </w:tcPr>
          <w:p w14:paraId="556AC0A0" w14:textId="4C9EB034" w:rsidR="00770B34" w:rsidRPr="00C5200A" w:rsidRDefault="00770B34" w:rsidP="00CF630C">
            <w:pPr>
              <w:spacing w:before="240"/>
              <w:jc w:val="left"/>
              <w:rPr>
                <w:spacing w:val="-2"/>
                <w:sz w:val="16"/>
                <w:szCs w:val="16"/>
                <w:lang w:val="fr-FR"/>
              </w:rPr>
            </w:pPr>
            <w:r w:rsidRPr="00C5200A">
              <w:rPr>
                <w:spacing w:val="-2"/>
                <w:sz w:val="16"/>
                <w:szCs w:val="16"/>
                <w:lang w:val="fr-FR"/>
              </w:rPr>
              <w:t>Orientation et assistance dans l</w:t>
            </w:r>
            <w:r w:rsidR="005F6019" w:rsidRPr="00C5200A">
              <w:rPr>
                <w:spacing w:val="-2"/>
                <w:sz w:val="16"/>
                <w:szCs w:val="16"/>
                <w:lang w:val="fr-FR"/>
              </w:rPr>
              <w:t>’</w:t>
            </w:r>
            <w:r w:rsidRPr="00C5200A">
              <w:rPr>
                <w:spacing w:val="-2"/>
                <w:sz w:val="16"/>
                <w:szCs w:val="16"/>
                <w:lang w:val="fr-FR"/>
              </w:rPr>
              <w:t>élaboration d</w:t>
            </w:r>
            <w:r w:rsidR="005F6019" w:rsidRPr="00C5200A">
              <w:rPr>
                <w:spacing w:val="-2"/>
                <w:sz w:val="16"/>
                <w:szCs w:val="16"/>
                <w:lang w:val="fr-FR"/>
              </w:rPr>
              <w:t>’</w:t>
            </w:r>
            <w:r w:rsidRPr="00C5200A">
              <w:rPr>
                <w:spacing w:val="-2"/>
                <w:sz w:val="16"/>
                <w:szCs w:val="16"/>
                <w:lang w:val="fr-FR"/>
              </w:rPr>
              <w:t>activités nationales liées à l</w:t>
            </w:r>
            <w:r w:rsidR="005F6019" w:rsidRPr="00C5200A">
              <w:rPr>
                <w:spacing w:val="-2"/>
                <w:sz w:val="16"/>
                <w:szCs w:val="16"/>
                <w:lang w:val="fr-FR"/>
              </w:rPr>
              <w:t>’</w:t>
            </w:r>
            <w:r w:rsidRPr="00C5200A">
              <w:rPr>
                <w:spacing w:val="-2"/>
                <w:sz w:val="16"/>
                <w:szCs w:val="16"/>
                <w:lang w:val="fr-FR"/>
              </w:rPr>
              <w:t>information et aux services climatologiques</w:t>
            </w:r>
          </w:p>
        </w:tc>
        <w:tc>
          <w:tcPr>
            <w:tcW w:w="992" w:type="dxa"/>
          </w:tcPr>
          <w:p w14:paraId="7B6C95AF"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0FB7596E" w14:textId="77777777" w:rsidR="00770B34" w:rsidRPr="00C5200A" w:rsidRDefault="00770B34" w:rsidP="00054A7B">
            <w:pPr>
              <w:spacing w:before="240"/>
              <w:rPr>
                <w:spacing w:val="-2"/>
                <w:sz w:val="16"/>
                <w:szCs w:val="16"/>
              </w:rPr>
            </w:pPr>
            <w:r w:rsidRPr="00C5200A">
              <w:rPr>
                <w:spacing w:val="-2"/>
                <w:sz w:val="16"/>
                <w:szCs w:val="16"/>
                <w:lang w:val="fr-FR"/>
              </w:rPr>
              <w:t>Chapitres 3, 4 et 5</w:t>
            </w:r>
          </w:p>
        </w:tc>
      </w:tr>
      <w:tr w:rsidR="00770B34" w:rsidRPr="00C5200A" w14:paraId="41A94824" w14:textId="77777777" w:rsidTr="00C5200A">
        <w:tc>
          <w:tcPr>
            <w:tcW w:w="1433" w:type="dxa"/>
            <w:vMerge/>
          </w:tcPr>
          <w:p w14:paraId="67582BF5" w14:textId="77777777" w:rsidR="00770B34" w:rsidRPr="00C5200A" w:rsidRDefault="00770B34" w:rsidP="00054A7B">
            <w:pPr>
              <w:spacing w:before="240"/>
              <w:rPr>
                <w:spacing w:val="-2"/>
                <w:sz w:val="16"/>
                <w:szCs w:val="16"/>
              </w:rPr>
            </w:pPr>
          </w:p>
        </w:tc>
        <w:tc>
          <w:tcPr>
            <w:tcW w:w="2504" w:type="dxa"/>
          </w:tcPr>
          <w:p w14:paraId="3C9B3FBA" w14:textId="77777777" w:rsidR="00770B34" w:rsidRPr="00C5200A" w:rsidRDefault="00770B34" w:rsidP="00054A7B">
            <w:pPr>
              <w:spacing w:before="240"/>
              <w:rPr>
                <w:rFonts w:cs="Stone Sans ITC"/>
                <w:color w:val="211D1E"/>
                <w:spacing w:val="-2"/>
                <w:sz w:val="16"/>
                <w:szCs w:val="16"/>
                <w:lang w:val="fr-FR"/>
              </w:rPr>
            </w:pPr>
            <w:r w:rsidRPr="00C5200A">
              <w:rPr>
                <w:spacing w:val="-2"/>
                <w:sz w:val="16"/>
                <w:szCs w:val="16"/>
                <w:lang w:val="fr-FR"/>
              </w:rPr>
              <w:t>OMM-N° 8</w:t>
            </w:r>
          </w:p>
          <w:p w14:paraId="2AE8A7BA" w14:textId="22A83A2F" w:rsidR="00770B34" w:rsidRPr="00C5200A" w:rsidRDefault="00B36F3C" w:rsidP="006E1243">
            <w:pPr>
              <w:spacing w:before="240"/>
              <w:jc w:val="left"/>
              <w:rPr>
                <w:i/>
                <w:iCs/>
                <w:spacing w:val="-2"/>
                <w:sz w:val="16"/>
                <w:szCs w:val="16"/>
                <w:lang w:val="fr-FR"/>
              </w:rPr>
            </w:pPr>
            <w:hyperlink r:id="rId41" w:anchor=".YhvWMujMJE8" w:history="1">
              <w:r w:rsidR="001F18A7" w:rsidRPr="00C5200A">
                <w:rPr>
                  <w:i/>
                  <w:iCs/>
                  <w:color w:val="0000FF"/>
                  <w:spacing w:val="-2"/>
                  <w:sz w:val="16"/>
                  <w:szCs w:val="16"/>
                  <w:lang w:val="fr-FR"/>
                </w:rPr>
                <w:t>Guide des instruments et des méthodes d</w:t>
              </w:r>
              <w:r w:rsidR="005F6019" w:rsidRPr="00C5200A">
                <w:rPr>
                  <w:i/>
                  <w:iCs/>
                  <w:color w:val="0000FF"/>
                  <w:spacing w:val="-2"/>
                  <w:sz w:val="16"/>
                  <w:szCs w:val="16"/>
                  <w:lang w:val="fr-FR"/>
                </w:rPr>
                <w:t>’</w:t>
              </w:r>
              <w:r w:rsidR="001F18A7" w:rsidRPr="00C5200A">
                <w:rPr>
                  <w:i/>
                  <w:iCs/>
                  <w:color w:val="0000FF"/>
                  <w:spacing w:val="-2"/>
                  <w:sz w:val="16"/>
                  <w:szCs w:val="16"/>
                  <w:lang w:val="fr-FR"/>
                </w:rPr>
                <w:t>observation</w:t>
              </w:r>
            </w:hyperlink>
          </w:p>
        </w:tc>
        <w:tc>
          <w:tcPr>
            <w:tcW w:w="3288" w:type="dxa"/>
          </w:tcPr>
          <w:p w14:paraId="3A77464A" w14:textId="0856C6CF" w:rsidR="00770B34" w:rsidRPr="00C5200A" w:rsidRDefault="00770B34" w:rsidP="006E1243">
            <w:pPr>
              <w:spacing w:before="240"/>
              <w:jc w:val="left"/>
              <w:rPr>
                <w:spacing w:val="-2"/>
                <w:sz w:val="16"/>
                <w:szCs w:val="16"/>
                <w:lang w:val="fr-FR"/>
              </w:rPr>
            </w:pPr>
            <w:r w:rsidRPr="00C5200A">
              <w:rPr>
                <w:spacing w:val="-2"/>
                <w:sz w:val="16"/>
                <w:szCs w:val="16"/>
                <w:lang w:val="fr-FR"/>
              </w:rPr>
              <w:t>Fournit des orientations sur les pratiques et les procédures les plus efficaces pour les instruments et les systèmes utilisés régulièrement pour effectuer des mesures et des observations relevant de la météorologie, de l</w:t>
            </w:r>
            <w:r w:rsidR="005F6019" w:rsidRPr="00C5200A">
              <w:rPr>
                <w:spacing w:val="-2"/>
                <w:sz w:val="16"/>
                <w:szCs w:val="16"/>
                <w:lang w:val="fr-FR"/>
              </w:rPr>
              <w:t>’</w:t>
            </w:r>
            <w:r w:rsidRPr="00C5200A">
              <w:rPr>
                <w:spacing w:val="-2"/>
                <w:sz w:val="16"/>
                <w:szCs w:val="16"/>
                <w:lang w:val="fr-FR"/>
              </w:rPr>
              <w:t>hydrologie et de l</w:t>
            </w:r>
            <w:r w:rsidR="005F6019" w:rsidRPr="00C5200A">
              <w:rPr>
                <w:spacing w:val="-2"/>
                <w:sz w:val="16"/>
                <w:szCs w:val="16"/>
                <w:lang w:val="fr-FR"/>
              </w:rPr>
              <w:t>’</w:t>
            </w:r>
            <w:r w:rsidRPr="00C5200A">
              <w:rPr>
                <w:spacing w:val="-2"/>
                <w:sz w:val="16"/>
                <w:szCs w:val="16"/>
                <w:lang w:val="fr-FR"/>
              </w:rPr>
              <w:t>environnement, ainsi que sur les capacités de ces instruments et systèmes, afin de répondre aux exigences spécifiques des différents domaines d</w:t>
            </w:r>
            <w:r w:rsidR="005F6019" w:rsidRPr="00C5200A">
              <w:rPr>
                <w:spacing w:val="-2"/>
                <w:sz w:val="16"/>
                <w:szCs w:val="16"/>
                <w:lang w:val="fr-FR"/>
              </w:rPr>
              <w:t>’</w:t>
            </w:r>
            <w:r w:rsidRPr="00C5200A">
              <w:rPr>
                <w:spacing w:val="-2"/>
                <w:sz w:val="16"/>
                <w:szCs w:val="16"/>
                <w:lang w:val="fr-FR"/>
              </w:rPr>
              <w:t>application.</w:t>
            </w:r>
          </w:p>
        </w:tc>
        <w:tc>
          <w:tcPr>
            <w:tcW w:w="992" w:type="dxa"/>
          </w:tcPr>
          <w:p w14:paraId="0CD055CF"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2F78A045" w14:textId="77777777" w:rsidR="00770B34" w:rsidRPr="00C5200A" w:rsidRDefault="00770B34" w:rsidP="00054A7B">
            <w:pPr>
              <w:spacing w:before="240"/>
              <w:rPr>
                <w:spacing w:val="-2"/>
                <w:sz w:val="16"/>
                <w:szCs w:val="16"/>
              </w:rPr>
            </w:pPr>
          </w:p>
        </w:tc>
      </w:tr>
      <w:tr w:rsidR="00770B34" w:rsidRPr="00C5200A" w14:paraId="32960064" w14:textId="77777777" w:rsidTr="00C5200A">
        <w:tc>
          <w:tcPr>
            <w:tcW w:w="1433" w:type="dxa"/>
            <w:vMerge/>
          </w:tcPr>
          <w:p w14:paraId="16415516" w14:textId="77777777" w:rsidR="00770B34" w:rsidRPr="00C5200A" w:rsidRDefault="00770B34" w:rsidP="00054A7B">
            <w:pPr>
              <w:spacing w:before="240"/>
              <w:rPr>
                <w:spacing w:val="-2"/>
                <w:sz w:val="16"/>
                <w:szCs w:val="16"/>
              </w:rPr>
            </w:pPr>
          </w:p>
        </w:tc>
        <w:tc>
          <w:tcPr>
            <w:tcW w:w="2504" w:type="dxa"/>
          </w:tcPr>
          <w:p w14:paraId="6369F5D2" w14:textId="77777777" w:rsidR="00770B34" w:rsidRPr="00C5200A" w:rsidRDefault="00770B34" w:rsidP="006E1243">
            <w:pPr>
              <w:spacing w:before="240"/>
              <w:jc w:val="left"/>
              <w:rPr>
                <w:rFonts w:cs="Stone Sans ITC"/>
                <w:color w:val="211D1E"/>
                <w:spacing w:val="-2"/>
                <w:sz w:val="16"/>
                <w:szCs w:val="16"/>
              </w:rPr>
            </w:pPr>
            <w:r w:rsidRPr="00C5200A">
              <w:rPr>
                <w:spacing w:val="-2"/>
                <w:sz w:val="16"/>
                <w:szCs w:val="16"/>
                <w:lang w:val="en-AU"/>
              </w:rPr>
              <w:t>WMO/TD-No. 1186</w:t>
            </w:r>
          </w:p>
          <w:p w14:paraId="73086868" w14:textId="77777777" w:rsidR="00770B34" w:rsidRPr="00C5200A" w:rsidRDefault="00B36F3C" w:rsidP="006E1243">
            <w:pPr>
              <w:spacing w:before="240"/>
              <w:jc w:val="left"/>
              <w:rPr>
                <w:rFonts w:cs="Stone Sans ITC"/>
                <w:i/>
                <w:iCs/>
                <w:color w:val="211D1E"/>
                <w:spacing w:val="-2"/>
                <w:sz w:val="16"/>
                <w:szCs w:val="16"/>
              </w:rPr>
            </w:pPr>
            <w:hyperlink r:id="rId42" w:history="1">
              <w:r w:rsidR="001F18A7" w:rsidRPr="00C5200A">
                <w:rPr>
                  <w:i/>
                  <w:iCs/>
                  <w:color w:val="0000FF"/>
                  <w:spacing w:val="-2"/>
                  <w:sz w:val="16"/>
                  <w:szCs w:val="16"/>
                </w:rPr>
                <w:t>Guidelines on climate metadata and homogenization</w:t>
              </w:r>
            </w:hyperlink>
          </w:p>
        </w:tc>
        <w:tc>
          <w:tcPr>
            <w:tcW w:w="3288" w:type="dxa"/>
          </w:tcPr>
          <w:p w14:paraId="249A45EF" w14:textId="4FF27223" w:rsidR="00770B34" w:rsidRPr="00C5200A" w:rsidRDefault="00770B34" w:rsidP="006E1243">
            <w:pPr>
              <w:spacing w:before="240"/>
              <w:jc w:val="left"/>
              <w:rPr>
                <w:spacing w:val="-2"/>
                <w:sz w:val="16"/>
                <w:szCs w:val="16"/>
                <w:lang w:val="fr-FR"/>
              </w:rPr>
            </w:pPr>
            <w:r w:rsidRPr="00C5200A">
              <w:rPr>
                <w:spacing w:val="-2"/>
                <w:sz w:val="16"/>
                <w:szCs w:val="16"/>
                <w:lang w:val="fr-FR"/>
              </w:rPr>
              <w:t>Fournit des informations et une aide sur la manière d</w:t>
            </w:r>
            <w:r w:rsidR="005F6019" w:rsidRPr="00C5200A">
              <w:rPr>
                <w:spacing w:val="-2"/>
                <w:sz w:val="16"/>
                <w:szCs w:val="16"/>
                <w:lang w:val="fr-FR"/>
              </w:rPr>
              <w:t>’</w:t>
            </w:r>
            <w:r w:rsidRPr="00C5200A">
              <w:rPr>
                <w:spacing w:val="-2"/>
                <w:sz w:val="16"/>
                <w:szCs w:val="16"/>
                <w:lang w:val="fr-FR"/>
              </w:rPr>
              <w:t xml:space="preserve">organiser et de mettre en œuvre les services climatologiques, et présenter des processus et des solutions technologiques </w:t>
            </w:r>
          </w:p>
          <w:p w14:paraId="4D79A7E2" w14:textId="77777777" w:rsidR="00770B34" w:rsidRPr="00C5200A" w:rsidRDefault="00770B34" w:rsidP="006E1243">
            <w:pPr>
              <w:spacing w:before="240"/>
              <w:jc w:val="left"/>
              <w:rPr>
                <w:spacing w:val="-2"/>
                <w:sz w:val="16"/>
                <w:szCs w:val="16"/>
                <w:lang w:val="fr-FR"/>
              </w:rPr>
            </w:pPr>
          </w:p>
        </w:tc>
        <w:tc>
          <w:tcPr>
            <w:tcW w:w="992" w:type="dxa"/>
          </w:tcPr>
          <w:p w14:paraId="4F2A5C92" w14:textId="77777777" w:rsidR="00770B34" w:rsidRPr="00C5200A" w:rsidRDefault="00770B34" w:rsidP="00054A7B">
            <w:pPr>
              <w:spacing w:before="240"/>
              <w:rPr>
                <w:spacing w:val="-2"/>
                <w:sz w:val="16"/>
                <w:szCs w:val="16"/>
              </w:rPr>
            </w:pPr>
            <w:r w:rsidRPr="00C5200A">
              <w:rPr>
                <w:spacing w:val="-2"/>
                <w:sz w:val="16"/>
                <w:szCs w:val="16"/>
                <w:lang w:val="fr-FR"/>
              </w:rPr>
              <w:t>2003</w:t>
            </w:r>
          </w:p>
        </w:tc>
        <w:tc>
          <w:tcPr>
            <w:tcW w:w="1411" w:type="dxa"/>
          </w:tcPr>
          <w:p w14:paraId="272E3438" w14:textId="77777777" w:rsidR="00770B34" w:rsidRPr="00C5200A" w:rsidRDefault="00770B34" w:rsidP="00054A7B">
            <w:pPr>
              <w:spacing w:before="240"/>
              <w:rPr>
                <w:spacing w:val="-2"/>
                <w:sz w:val="16"/>
                <w:szCs w:val="16"/>
              </w:rPr>
            </w:pPr>
          </w:p>
        </w:tc>
      </w:tr>
      <w:tr w:rsidR="00770B34" w:rsidRPr="00C5200A" w14:paraId="36B2B7D0" w14:textId="77777777" w:rsidTr="00C5200A">
        <w:tc>
          <w:tcPr>
            <w:tcW w:w="1433" w:type="dxa"/>
            <w:vMerge/>
          </w:tcPr>
          <w:p w14:paraId="3F99D113" w14:textId="77777777" w:rsidR="00770B34" w:rsidRPr="00C5200A" w:rsidRDefault="00770B34" w:rsidP="00054A7B">
            <w:pPr>
              <w:spacing w:before="240"/>
              <w:rPr>
                <w:spacing w:val="-2"/>
                <w:sz w:val="16"/>
                <w:szCs w:val="16"/>
              </w:rPr>
            </w:pPr>
          </w:p>
        </w:tc>
        <w:tc>
          <w:tcPr>
            <w:tcW w:w="2504" w:type="dxa"/>
          </w:tcPr>
          <w:p w14:paraId="0AF68A17" w14:textId="77777777" w:rsidR="00770B34" w:rsidRPr="00C5200A" w:rsidRDefault="00770B34" w:rsidP="00C5200A">
            <w:pPr>
              <w:keepNext/>
              <w:keepLines/>
              <w:spacing w:before="240"/>
              <w:jc w:val="left"/>
              <w:rPr>
                <w:rFonts w:cs="Stone Sans ITC"/>
                <w:color w:val="211D1E"/>
                <w:spacing w:val="-2"/>
                <w:sz w:val="16"/>
                <w:szCs w:val="16"/>
                <w:lang w:val="fr-FR"/>
              </w:rPr>
            </w:pPr>
            <w:r w:rsidRPr="00C5200A">
              <w:rPr>
                <w:spacing w:val="-2"/>
                <w:sz w:val="16"/>
                <w:szCs w:val="16"/>
                <w:lang w:val="fr-FR"/>
              </w:rPr>
              <w:t>OMM-N° 485</w:t>
            </w:r>
          </w:p>
          <w:p w14:paraId="2F1C5312" w14:textId="72378E57" w:rsidR="00770B34" w:rsidRPr="00C5200A" w:rsidRDefault="00B36F3C" w:rsidP="00C5200A">
            <w:pPr>
              <w:keepNext/>
              <w:keepLines/>
              <w:spacing w:before="240"/>
              <w:jc w:val="left"/>
              <w:rPr>
                <w:rFonts w:cs="Stone Sans ITC"/>
                <w:i/>
                <w:iCs/>
                <w:color w:val="211D1E"/>
                <w:spacing w:val="-2"/>
                <w:sz w:val="16"/>
                <w:szCs w:val="16"/>
                <w:lang w:val="fr-FR"/>
              </w:rPr>
            </w:pPr>
            <w:hyperlink r:id="rId43" w:anchor=".YxjFDnZBw2w" w:history="1">
              <w:r w:rsidR="001F18A7" w:rsidRPr="00C5200A">
                <w:rPr>
                  <w:i/>
                  <w:iCs/>
                  <w:color w:val="0000FF"/>
                  <w:spacing w:val="-2"/>
                  <w:sz w:val="16"/>
                  <w:szCs w:val="16"/>
                  <w:lang w:val="fr-FR"/>
                </w:rPr>
                <w:t>Manuel sur le Système mondial de traitement des données et de prévision : Annexe IV du Règlement technique de l</w:t>
              </w:r>
              <w:r w:rsidR="005F6019" w:rsidRPr="00C5200A">
                <w:rPr>
                  <w:i/>
                  <w:iCs/>
                  <w:color w:val="0000FF"/>
                  <w:spacing w:val="-2"/>
                  <w:sz w:val="16"/>
                  <w:szCs w:val="16"/>
                  <w:lang w:val="fr-FR"/>
                </w:rPr>
                <w:t>’</w:t>
              </w:r>
              <w:r w:rsidR="001F18A7" w:rsidRPr="00C5200A">
                <w:rPr>
                  <w:i/>
                  <w:iCs/>
                  <w:color w:val="0000FF"/>
                  <w:spacing w:val="-2"/>
                  <w:sz w:val="16"/>
                  <w:szCs w:val="16"/>
                  <w:lang w:val="fr-FR"/>
                </w:rPr>
                <w:t>OMM</w:t>
              </w:r>
            </w:hyperlink>
          </w:p>
        </w:tc>
        <w:tc>
          <w:tcPr>
            <w:tcW w:w="3288" w:type="dxa"/>
          </w:tcPr>
          <w:p w14:paraId="6CABB4A6" w14:textId="2E2B0B49" w:rsidR="00770B34" w:rsidRPr="00C5200A" w:rsidRDefault="00770B34" w:rsidP="006E1243">
            <w:pPr>
              <w:spacing w:before="240"/>
              <w:jc w:val="left"/>
              <w:rPr>
                <w:spacing w:val="-2"/>
                <w:sz w:val="16"/>
                <w:szCs w:val="16"/>
                <w:lang w:val="fr-FR"/>
              </w:rPr>
            </w:pPr>
            <w:r w:rsidRPr="00C5200A">
              <w:rPr>
                <w:spacing w:val="-2"/>
                <w:sz w:val="16"/>
                <w:szCs w:val="16"/>
                <w:lang w:val="fr-FR"/>
              </w:rPr>
              <w:t>Vise à garantir une uniformisation et une normalisation adéquates des pratiques, procédures et spécifications en matière de données, d</w:t>
            </w:r>
            <w:r w:rsidR="005F6019" w:rsidRPr="00C5200A">
              <w:rPr>
                <w:spacing w:val="-2"/>
                <w:sz w:val="16"/>
                <w:szCs w:val="16"/>
                <w:lang w:val="fr-FR"/>
              </w:rPr>
              <w:t>’</w:t>
            </w:r>
            <w:r w:rsidRPr="00C5200A">
              <w:rPr>
                <w:spacing w:val="-2"/>
                <w:sz w:val="16"/>
                <w:szCs w:val="16"/>
                <w:lang w:val="fr-FR"/>
              </w:rPr>
              <w:t>information et de production, que les Membres de l</w:t>
            </w:r>
            <w:r w:rsidR="005F6019" w:rsidRPr="00C5200A">
              <w:rPr>
                <w:spacing w:val="-2"/>
                <w:sz w:val="16"/>
                <w:szCs w:val="16"/>
                <w:lang w:val="fr-FR"/>
              </w:rPr>
              <w:t>’</w:t>
            </w:r>
            <w:r w:rsidRPr="00C5200A">
              <w:rPr>
                <w:spacing w:val="-2"/>
                <w:sz w:val="16"/>
                <w:szCs w:val="16"/>
                <w:lang w:val="fr-FR"/>
              </w:rPr>
              <w:t>OMM appliquent pour assurer le bon fonctionnement du Système mondial de traitement des données et de prévision (</w:t>
            </w:r>
            <w:proofErr w:type="spellStart"/>
            <w:r w:rsidRPr="00C5200A">
              <w:rPr>
                <w:spacing w:val="-2"/>
                <w:sz w:val="16"/>
                <w:szCs w:val="16"/>
                <w:lang w:val="fr-FR"/>
              </w:rPr>
              <w:t>SMTDP</w:t>
            </w:r>
            <w:proofErr w:type="spellEnd"/>
            <w:r w:rsidRPr="00C5200A">
              <w:rPr>
                <w:spacing w:val="-2"/>
                <w:sz w:val="16"/>
                <w:szCs w:val="16"/>
                <w:lang w:val="fr-FR"/>
              </w:rPr>
              <w:t>) et appuyer ainsi la mission de l</w:t>
            </w:r>
            <w:r w:rsidR="005F6019" w:rsidRPr="00C5200A">
              <w:rPr>
                <w:spacing w:val="-2"/>
                <w:sz w:val="16"/>
                <w:szCs w:val="16"/>
                <w:lang w:val="fr-FR"/>
              </w:rPr>
              <w:t>’</w:t>
            </w:r>
            <w:r w:rsidRPr="00C5200A">
              <w:rPr>
                <w:spacing w:val="-2"/>
                <w:sz w:val="16"/>
                <w:szCs w:val="16"/>
                <w:lang w:val="fr-FR"/>
              </w:rPr>
              <w:t>Organisation.</w:t>
            </w:r>
          </w:p>
        </w:tc>
        <w:tc>
          <w:tcPr>
            <w:tcW w:w="992" w:type="dxa"/>
          </w:tcPr>
          <w:p w14:paraId="123E3FB7" w14:textId="77777777" w:rsidR="00770B34" w:rsidRPr="00C5200A" w:rsidRDefault="00770B34" w:rsidP="00054A7B">
            <w:pPr>
              <w:spacing w:before="240"/>
              <w:rPr>
                <w:spacing w:val="-2"/>
                <w:sz w:val="16"/>
                <w:szCs w:val="16"/>
              </w:rPr>
            </w:pPr>
            <w:r w:rsidRPr="00C5200A">
              <w:rPr>
                <w:spacing w:val="-2"/>
                <w:sz w:val="16"/>
                <w:szCs w:val="16"/>
                <w:lang w:val="fr-FR"/>
              </w:rPr>
              <w:t>2019</w:t>
            </w:r>
          </w:p>
        </w:tc>
        <w:tc>
          <w:tcPr>
            <w:tcW w:w="1411" w:type="dxa"/>
          </w:tcPr>
          <w:p w14:paraId="791F093F" w14:textId="77777777" w:rsidR="00770B34" w:rsidRPr="00C5200A" w:rsidRDefault="00770B34" w:rsidP="00054A7B">
            <w:pPr>
              <w:spacing w:before="240"/>
              <w:rPr>
                <w:spacing w:val="-2"/>
                <w:sz w:val="16"/>
                <w:szCs w:val="16"/>
              </w:rPr>
            </w:pPr>
          </w:p>
        </w:tc>
      </w:tr>
      <w:tr w:rsidR="00770B34" w:rsidRPr="00C5200A" w14:paraId="7EEC1647" w14:textId="77777777" w:rsidTr="00C5200A">
        <w:tc>
          <w:tcPr>
            <w:tcW w:w="1433" w:type="dxa"/>
            <w:vMerge/>
          </w:tcPr>
          <w:p w14:paraId="01427F35" w14:textId="77777777" w:rsidR="00770B34" w:rsidRPr="00C5200A" w:rsidRDefault="00770B34" w:rsidP="00054A7B">
            <w:pPr>
              <w:spacing w:before="240"/>
              <w:rPr>
                <w:spacing w:val="-2"/>
                <w:sz w:val="16"/>
                <w:szCs w:val="16"/>
              </w:rPr>
            </w:pPr>
          </w:p>
        </w:tc>
        <w:tc>
          <w:tcPr>
            <w:tcW w:w="2504" w:type="dxa"/>
          </w:tcPr>
          <w:p w14:paraId="6F16C328" w14:textId="77777777" w:rsidR="00770B34" w:rsidRPr="00C5200A" w:rsidRDefault="00770B34" w:rsidP="006E1243">
            <w:pPr>
              <w:spacing w:before="240"/>
              <w:jc w:val="left"/>
              <w:rPr>
                <w:spacing w:val="-2"/>
                <w:sz w:val="16"/>
                <w:szCs w:val="16"/>
              </w:rPr>
            </w:pPr>
            <w:r w:rsidRPr="00C5200A">
              <w:rPr>
                <w:spacing w:val="-2"/>
                <w:sz w:val="16"/>
                <w:szCs w:val="16"/>
                <w:lang w:val="en-AU"/>
              </w:rPr>
              <w:t>WMO-No. 1131</w:t>
            </w:r>
          </w:p>
          <w:p w14:paraId="5749CA7F" w14:textId="77777777" w:rsidR="00770B34" w:rsidRPr="00C5200A" w:rsidRDefault="00B36F3C" w:rsidP="00DF534D">
            <w:pPr>
              <w:spacing w:before="240"/>
              <w:jc w:val="left"/>
              <w:rPr>
                <w:i/>
                <w:iCs/>
                <w:spacing w:val="-2"/>
                <w:sz w:val="16"/>
                <w:szCs w:val="16"/>
              </w:rPr>
            </w:pPr>
            <w:hyperlink r:id="rId44" w:history="1">
              <w:r w:rsidR="001F18A7" w:rsidRPr="00C5200A">
                <w:rPr>
                  <w:i/>
                  <w:iCs/>
                  <w:color w:val="0000FF"/>
                  <w:spacing w:val="-2"/>
                  <w:sz w:val="16"/>
                  <w:szCs w:val="16"/>
                </w:rPr>
                <w:t>Climate Data Management System Specifications</w:t>
              </w:r>
            </w:hyperlink>
          </w:p>
        </w:tc>
        <w:tc>
          <w:tcPr>
            <w:tcW w:w="3288" w:type="dxa"/>
          </w:tcPr>
          <w:p w14:paraId="44EA3DFB" w14:textId="32C02CF9" w:rsidR="00770B34" w:rsidRPr="00C5200A" w:rsidRDefault="00770B34" w:rsidP="006E1243">
            <w:pPr>
              <w:spacing w:before="240"/>
              <w:jc w:val="left"/>
              <w:rPr>
                <w:spacing w:val="-2"/>
                <w:sz w:val="16"/>
                <w:szCs w:val="16"/>
                <w:lang w:val="fr-FR"/>
              </w:rPr>
            </w:pPr>
            <w:r w:rsidRPr="00C5200A">
              <w:rPr>
                <w:spacing w:val="-2"/>
                <w:sz w:val="16"/>
                <w:szCs w:val="16"/>
                <w:lang w:val="fr-FR"/>
              </w:rPr>
              <w:t xml:space="preserve">Cette publication définit un ensemble de politiques et de processus de gouvernance qui sont nécessaires pour gérer efficacement les données climatologiques. Ces politiques devraient être mises en œuvre en tant que cadre global pour faciliter une meilleure intégration des données climatologiques entre les </w:t>
            </w:r>
            <w:proofErr w:type="spellStart"/>
            <w:r w:rsidRPr="00C5200A">
              <w:rPr>
                <w:spacing w:val="-2"/>
                <w:sz w:val="16"/>
                <w:szCs w:val="16"/>
                <w:lang w:val="fr-FR"/>
              </w:rPr>
              <w:t>SMHN</w:t>
            </w:r>
            <w:proofErr w:type="spellEnd"/>
            <w:r w:rsidRPr="00C5200A">
              <w:rPr>
                <w:spacing w:val="-2"/>
                <w:sz w:val="16"/>
                <w:szCs w:val="16"/>
                <w:lang w:val="fr-FR"/>
              </w:rPr>
              <w:t xml:space="preserve"> et alléger la charge de travail nécessaire à l</w:t>
            </w:r>
            <w:r w:rsidR="005F6019" w:rsidRPr="00C5200A">
              <w:rPr>
                <w:spacing w:val="-2"/>
                <w:sz w:val="16"/>
                <w:szCs w:val="16"/>
                <w:lang w:val="fr-FR"/>
              </w:rPr>
              <w:t>’</w:t>
            </w:r>
            <w:r w:rsidRPr="00C5200A">
              <w:rPr>
                <w:spacing w:val="-2"/>
                <w:sz w:val="16"/>
                <w:szCs w:val="16"/>
                <w:lang w:val="fr-FR"/>
              </w:rPr>
              <w:t>analyse régionale et mondiale des données climatologiques.</w:t>
            </w:r>
          </w:p>
        </w:tc>
        <w:tc>
          <w:tcPr>
            <w:tcW w:w="992" w:type="dxa"/>
          </w:tcPr>
          <w:p w14:paraId="6958A9D6" w14:textId="77777777" w:rsidR="00770B34" w:rsidRPr="00C5200A" w:rsidRDefault="00770B34" w:rsidP="00054A7B">
            <w:pPr>
              <w:spacing w:before="240"/>
              <w:rPr>
                <w:spacing w:val="-2"/>
                <w:sz w:val="16"/>
                <w:szCs w:val="16"/>
              </w:rPr>
            </w:pPr>
            <w:r w:rsidRPr="00C5200A">
              <w:rPr>
                <w:spacing w:val="-2"/>
                <w:sz w:val="16"/>
                <w:szCs w:val="16"/>
                <w:lang w:val="fr-FR"/>
              </w:rPr>
              <w:t>2014</w:t>
            </w:r>
          </w:p>
        </w:tc>
        <w:tc>
          <w:tcPr>
            <w:tcW w:w="1411" w:type="dxa"/>
          </w:tcPr>
          <w:p w14:paraId="097866EA" w14:textId="77777777" w:rsidR="00770B34" w:rsidRPr="00C5200A" w:rsidRDefault="00770B34" w:rsidP="00054A7B">
            <w:pPr>
              <w:pStyle w:val="Default"/>
              <w:spacing w:before="240"/>
              <w:rPr>
                <w:rFonts w:ascii="Verdana" w:hAnsi="Verdana" w:cs="Calibri"/>
                <w:spacing w:val="-2"/>
                <w:sz w:val="16"/>
                <w:szCs w:val="16"/>
              </w:rPr>
            </w:pPr>
          </w:p>
          <w:p w14:paraId="6B10CF42" w14:textId="77777777" w:rsidR="00770B34" w:rsidRPr="00C5200A" w:rsidRDefault="00770B34" w:rsidP="00054A7B">
            <w:pPr>
              <w:spacing w:before="240"/>
              <w:rPr>
                <w:spacing w:val="-2"/>
                <w:sz w:val="16"/>
                <w:szCs w:val="16"/>
              </w:rPr>
            </w:pPr>
          </w:p>
        </w:tc>
      </w:tr>
      <w:tr w:rsidR="00770B34" w:rsidRPr="00C5200A" w14:paraId="52342E2A" w14:textId="77777777" w:rsidTr="00C5200A">
        <w:tc>
          <w:tcPr>
            <w:tcW w:w="1433" w:type="dxa"/>
            <w:vMerge/>
          </w:tcPr>
          <w:p w14:paraId="421F9303" w14:textId="77777777" w:rsidR="00770B34" w:rsidRPr="00C5200A" w:rsidRDefault="00770B34" w:rsidP="00054A7B">
            <w:pPr>
              <w:spacing w:before="240"/>
              <w:rPr>
                <w:spacing w:val="-2"/>
                <w:sz w:val="16"/>
                <w:szCs w:val="16"/>
              </w:rPr>
            </w:pPr>
          </w:p>
        </w:tc>
        <w:tc>
          <w:tcPr>
            <w:tcW w:w="2504" w:type="dxa"/>
          </w:tcPr>
          <w:p w14:paraId="50579F3F"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OMM-N° 1182</w:t>
            </w:r>
          </w:p>
          <w:p w14:paraId="4C8526D4" w14:textId="77777777" w:rsidR="00770B34" w:rsidRPr="00C5200A" w:rsidRDefault="00B36F3C" w:rsidP="006E1243">
            <w:pPr>
              <w:spacing w:before="240"/>
              <w:jc w:val="left"/>
              <w:rPr>
                <w:rFonts w:cs="Stone Sans ITC"/>
                <w:i/>
                <w:iCs/>
                <w:color w:val="211D1E"/>
                <w:spacing w:val="-2"/>
                <w:sz w:val="16"/>
                <w:szCs w:val="16"/>
                <w:lang w:val="fr-FR"/>
              </w:rPr>
            </w:pPr>
            <w:hyperlink r:id="rId45" w:history="1">
              <w:r w:rsidR="001F18A7" w:rsidRPr="00C5200A">
                <w:rPr>
                  <w:i/>
                  <w:iCs/>
                  <w:color w:val="0000FF"/>
                  <w:spacing w:val="-2"/>
                  <w:sz w:val="16"/>
                  <w:szCs w:val="16"/>
                  <w:lang w:val="fr-FR"/>
                </w:rPr>
                <w:t>Directives sur les bonnes pratiques en matière de sauvetage des données climatologiques</w:t>
              </w:r>
            </w:hyperlink>
          </w:p>
        </w:tc>
        <w:tc>
          <w:tcPr>
            <w:tcW w:w="3288" w:type="dxa"/>
          </w:tcPr>
          <w:p w14:paraId="2B2F5EEB" w14:textId="77B05409" w:rsidR="00770B34" w:rsidRPr="00C5200A" w:rsidRDefault="00770B34" w:rsidP="006E1243">
            <w:pPr>
              <w:spacing w:before="240"/>
              <w:jc w:val="left"/>
              <w:rPr>
                <w:spacing w:val="-2"/>
                <w:sz w:val="16"/>
                <w:szCs w:val="16"/>
                <w:lang w:val="fr-FR"/>
              </w:rPr>
            </w:pPr>
            <w:r w:rsidRPr="00C5200A">
              <w:rPr>
                <w:spacing w:val="-2"/>
                <w:sz w:val="16"/>
                <w:szCs w:val="16"/>
                <w:lang w:val="fr-FR"/>
              </w:rPr>
              <w:t>Le document propose une large gamme de conseils qui devraient contribuer à l</w:t>
            </w:r>
            <w:r w:rsidR="005F6019" w:rsidRPr="00C5200A">
              <w:rPr>
                <w:spacing w:val="-2"/>
                <w:sz w:val="16"/>
                <w:szCs w:val="16"/>
                <w:lang w:val="fr-FR"/>
              </w:rPr>
              <w:t>’</w:t>
            </w:r>
            <w:r w:rsidRPr="00C5200A">
              <w:rPr>
                <w:spacing w:val="-2"/>
                <w:sz w:val="16"/>
                <w:szCs w:val="16"/>
                <w:lang w:val="fr-FR"/>
              </w:rPr>
              <w:t xml:space="preserve">organisation et à la mise en </w:t>
            </w:r>
            <w:proofErr w:type="spellStart"/>
            <w:r w:rsidRPr="00C5200A">
              <w:rPr>
                <w:spacing w:val="-2"/>
                <w:sz w:val="16"/>
                <w:szCs w:val="16"/>
                <w:lang w:val="fr-FR"/>
              </w:rPr>
              <w:t>oeuvre</w:t>
            </w:r>
            <w:proofErr w:type="spellEnd"/>
            <w:r w:rsidRPr="00C5200A">
              <w:rPr>
                <w:spacing w:val="-2"/>
                <w:sz w:val="16"/>
                <w:szCs w:val="16"/>
                <w:lang w:val="fr-FR"/>
              </w:rPr>
              <w:t xml:space="preserve"> des opérations de sauvetage des données, et présente des solutions technologiques générales applicables par tous les Membres</w:t>
            </w:r>
          </w:p>
        </w:tc>
        <w:tc>
          <w:tcPr>
            <w:tcW w:w="992" w:type="dxa"/>
          </w:tcPr>
          <w:p w14:paraId="53593749" w14:textId="77777777" w:rsidR="00770B34" w:rsidRPr="00C5200A" w:rsidRDefault="00770B34" w:rsidP="00054A7B">
            <w:pPr>
              <w:spacing w:before="240"/>
              <w:rPr>
                <w:spacing w:val="-2"/>
                <w:sz w:val="16"/>
                <w:szCs w:val="16"/>
              </w:rPr>
            </w:pPr>
            <w:r w:rsidRPr="00C5200A">
              <w:rPr>
                <w:spacing w:val="-2"/>
                <w:sz w:val="16"/>
                <w:szCs w:val="16"/>
                <w:lang w:val="fr-FR"/>
              </w:rPr>
              <w:t>2016</w:t>
            </w:r>
          </w:p>
        </w:tc>
        <w:tc>
          <w:tcPr>
            <w:tcW w:w="1411" w:type="dxa"/>
          </w:tcPr>
          <w:p w14:paraId="20AAC429" w14:textId="77777777" w:rsidR="00770B34" w:rsidRPr="00C5200A" w:rsidRDefault="00770B34" w:rsidP="00054A7B">
            <w:pPr>
              <w:spacing w:before="240"/>
              <w:rPr>
                <w:spacing w:val="-2"/>
                <w:sz w:val="16"/>
                <w:szCs w:val="16"/>
              </w:rPr>
            </w:pPr>
          </w:p>
        </w:tc>
      </w:tr>
      <w:tr w:rsidR="00770B34" w:rsidRPr="00C5200A" w14:paraId="4B270664" w14:textId="77777777" w:rsidTr="00C5200A">
        <w:tc>
          <w:tcPr>
            <w:tcW w:w="1433" w:type="dxa"/>
            <w:vMerge/>
          </w:tcPr>
          <w:p w14:paraId="36DBCFDC" w14:textId="77777777" w:rsidR="00770B34" w:rsidRPr="00C5200A" w:rsidRDefault="00770B34" w:rsidP="00054A7B">
            <w:pPr>
              <w:spacing w:before="240"/>
              <w:rPr>
                <w:spacing w:val="-2"/>
                <w:sz w:val="16"/>
                <w:szCs w:val="16"/>
              </w:rPr>
            </w:pPr>
          </w:p>
        </w:tc>
        <w:tc>
          <w:tcPr>
            <w:tcW w:w="2504" w:type="dxa"/>
          </w:tcPr>
          <w:p w14:paraId="29C1F328"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OMM-N° 1238</w:t>
            </w:r>
          </w:p>
          <w:p w14:paraId="1099FCE8" w14:textId="77777777" w:rsidR="00770B34" w:rsidRPr="00C5200A" w:rsidRDefault="00B36F3C" w:rsidP="006E1243">
            <w:pPr>
              <w:spacing w:before="240"/>
              <w:jc w:val="left"/>
              <w:rPr>
                <w:i/>
                <w:iCs/>
                <w:spacing w:val="-2"/>
                <w:sz w:val="16"/>
                <w:szCs w:val="16"/>
                <w:lang w:val="fr-FR"/>
              </w:rPr>
            </w:pPr>
            <w:hyperlink r:id="rId46" w:anchor=".YxjFYHZBw2x" w:history="1">
              <w:r w:rsidR="001F18A7" w:rsidRPr="00C5200A">
                <w:rPr>
                  <w:i/>
                  <w:iCs/>
                  <w:color w:val="0000FF"/>
                  <w:spacing w:val="-2"/>
                  <w:sz w:val="16"/>
                  <w:szCs w:val="16"/>
                  <w:lang w:val="fr-FR"/>
                </w:rPr>
                <w:t>Manuel sur le Cadre mondial pour la gestion de données climatologiques de qualité</w:t>
              </w:r>
            </w:hyperlink>
          </w:p>
        </w:tc>
        <w:tc>
          <w:tcPr>
            <w:tcW w:w="3288" w:type="dxa"/>
          </w:tcPr>
          <w:p w14:paraId="7E880CAC" w14:textId="34011DA2" w:rsidR="00770B34" w:rsidRPr="00C5200A" w:rsidRDefault="00770B34" w:rsidP="006E1243">
            <w:pPr>
              <w:spacing w:before="240"/>
              <w:jc w:val="left"/>
              <w:rPr>
                <w:spacing w:val="-2"/>
                <w:sz w:val="16"/>
                <w:szCs w:val="16"/>
                <w:lang w:val="fr-FR"/>
              </w:rPr>
            </w:pPr>
            <w:r w:rsidRPr="00C5200A">
              <w:rPr>
                <w:spacing w:val="-2"/>
                <w:sz w:val="16"/>
                <w:szCs w:val="16"/>
                <w:lang w:val="fr-FR"/>
              </w:rPr>
              <w:t>Contient des indications et des exigences relatives à l</w:t>
            </w:r>
            <w:r w:rsidR="005F6019" w:rsidRPr="00C5200A">
              <w:rPr>
                <w:spacing w:val="-2"/>
                <w:sz w:val="16"/>
                <w:szCs w:val="16"/>
                <w:lang w:val="fr-FR"/>
              </w:rPr>
              <w:t>’</w:t>
            </w:r>
            <w:r w:rsidRPr="00C5200A">
              <w:rPr>
                <w:spacing w:val="-2"/>
                <w:sz w:val="16"/>
                <w:szCs w:val="16"/>
                <w:lang w:val="fr-FR"/>
              </w:rPr>
              <w:t>élaboration, la fourniture, l</w:t>
            </w:r>
            <w:r w:rsidR="005F6019" w:rsidRPr="00C5200A">
              <w:rPr>
                <w:spacing w:val="-2"/>
                <w:sz w:val="16"/>
                <w:szCs w:val="16"/>
                <w:lang w:val="fr-FR"/>
              </w:rPr>
              <w:t>’</w:t>
            </w:r>
            <w:r w:rsidRPr="00C5200A">
              <w:rPr>
                <w:spacing w:val="-2"/>
                <w:sz w:val="16"/>
                <w:szCs w:val="16"/>
                <w:lang w:val="fr-FR"/>
              </w:rPr>
              <w:t>échange et l</w:t>
            </w:r>
            <w:r w:rsidR="005F6019" w:rsidRPr="00C5200A">
              <w:rPr>
                <w:spacing w:val="-2"/>
                <w:sz w:val="16"/>
                <w:szCs w:val="16"/>
                <w:lang w:val="fr-FR"/>
              </w:rPr>
              <w:t>’</w:t>
            </w:r>
            <w:r w:rsidRPr="00C5200A">
              <w:rPr>
                <w:spacing w:val="-2"/>
                <w:sz w:val="16"/>
                <w:szCs w:val="16"/>
                <w:lang w:val="fr-FR"/>
              </w:rPr>
              <w:t>actualisation de jeux de données climatologiques de haute qualité.</w:t>
            </w:r>
          </w:p>
        </w:tc>
        <w:tc>
          <w:tcPr>
            <w:tcW w:w="992" w:type="dxa"/>
          </w:tcPr>
          <w:p w14:paraId="445B0BC2" w14:textId="77777777" w:rsidR="00770B34" w:rsidRPr="00C5200A" w:rsidRDefault="00770B34" w:rsidP="00054A7B">
            <w:pPr>
              <w:spacing w:before="240"/>
              <w:rPr>
                <w:spacing w:val="-2"/>
                <w:sz w:val="16"/>
                <w:szCs w:val="16"/>
              </w:rPr>
            </w:pPr>
            <w:r w:rsidRPr="00C5200A">
              <w:rPr>
                <w:spacing w:val="-2"/>
                <w:sz w:val="16"/>
                <w:szCs w:val="16"/>
                <w:lang w:val="fr-FR"/>
              </w:rPr>
              <w:t>2019</w:t>
            </w:r>
          </w:p>
        </w:tc>
        <w:tc>
          <w:tcPr>
            <w:tcW w:w="1411" w:type="dxa"/>
          </w:tcPr>
          <w:p w14:paraId="73DEF341" w14:textId="77777777" w:rsidR="00770B34" w:rsidRPr="00C5200A" w:rsidRDefault="00770B34" w:rsidP="00054A7B">
            <w:pPr>
              <w:spacing w:before="240"/>
              <w:rPr>
                <w:spacing w:val="-2"/>
                <w:sz w:val="16"/>
                <w:szCs w:val="16"/>
              </w:rPr>
            </w:pPr>
          </w:p>
        </w:tc>
      </w:tr>
      <w:tr w:rsidR="00770B34" w:rsidRPr="00C5200A" w14:paraId="56CA8CB6" w14:textId="77777777" w:rsidTr="00C5200A">
        <w:tc>
          <w:tcPr>
            <w:tcW w:w="1433" w:type="dxa"/>
            <w:vMerge/>
          </w:tcPr>
          <w:p w14:paraId="332CF4E2" w14:textId="77777777" w:rsidR="00770B34" w:rsidRPr="00C5200A" w:rsidRDefault="00770B34" w:rsidP="00054A7B">
            <w:pPr>
              <w:spacing w:before="240"/>
              <w:rPr>
                <w:spacing w:val="-2"/>
                <w:sz w:val="16"/>
                <w:szCs w:val="16"/>
              </w:rPr>
            </w:pPr>
          </w:p>
        </w:tc>
        <w:tc>
          <w:tcPr>
            <w:tcW w:w="2504" w:type="dxa"/>
          </w:tcPr>
          <w:p w14:paraId="5EBB51AD" w14:textId="77777777" w:rsidR="005B7505" w:rsidRPr="00C5200A" w:rsidRDefault="00770B34" w:rsidP="005B7505">
            <w:pPr>
              <w:spacing w:before="240"/>
              <w:jc w:val="left"/>
              <w:rPr>
                <w:spacing w:val="-2"/>
                <w:sz w:val="16"/>
                <w:szCs w:val="16"/>
                <w:lang w:val="fr-FR"/>
              </w:rPr>
            </w:pPr>
            <w:r w:rsidRPr="00C5200A">
              <w:rPr>
                <w:spacing w:val="-2"/>
                <w:sz w:val="16"/>
                <w:szCs w:val="16"/>
                <w:lang w:val="fr-FR"/>
              </w:rPr>
              <w:t>OMM-N° 1269</w:t>
            </w:r>
          </w:p>
          <w:p w14:paraId="53392FF0" w14:textId="4D723FB9" w:rsidR="00770B34" w:rsidRPr="00C5200A" w:rsidRDefault="00B36F3C" w:rsidP="005B7505">
            <w:pPr>
              <w:spacing w:before="240"/>
              <w:jc w:val="left"/>
              <w:rPr>
                <w:i/>
                <w:iCs/>
                <w:spacing w:val="-2"/>
                <w:sz w:val="16"/>
                <w:szCs w:val="16"/>
                <w:lang w:val="fr-FR"/>
              </w:rPr>
            </w:pPr>
            <w:hyperlink r:id="rId47" w:anchor=".YxjFYHZBw2x" w:history="1">
              <w:r w:rsidR="001F18A7" w:rsidRPr="00C5200A">
                <w:rPr>
                  <w:i/>
                  <w:iCs/>
                  <w:color w:val="0000FF"/>
                  <w:spacing w:val="-2"/>
                  <w:sz w:val="16"/>
                  <w:szCs w:val="16"/>
                  <w:lang w:val="fr-FR"/>
                </w:rPr>
                <w:t>Directives sur le contrôle et l</w:t>
              </w:r>
              <w:r w:rsidR="005F6019" w:rsidRPr="00C5200A">
                <w:rPr>
                  <w:i/>
                  <w:iCs/>
                  <w:color w:val="0000FF"/>
                  <w:spacing w:val="-2"/>
                  <w:sz w:val="16"/>
                  <w:szCs w:val="16"/>
                  <w:lang w:val="fr-FR"/>
                </w:rPr>
                <w:t>’</w:t>
              </w:r>
              <w:r w:rsidR="001F18A7" w:rsidRPr="00C5200A">
                <w:rPr>
                  <w:i/>
                  <w:iCs/>
                  <w:color w:val="0000FF"/>
                  <w:spacing w:val="-2"/>
                  <w:sz w:val="16"/>
                  <w:szCs w:val="16"/>
                  <w:lang w:val="fr-FR"/>
                </w:rPr>
                <w:t>assurance qualité des données d</w:t>
              </w:r>
              <w:r w:rsidR="005F6019" w:rsidRPr="00C5200A">
                <w:rPr>
                  <w:i/>
                  <w:iCs/>
                  <w:color w:val="0000FF"/>
                  <w:spacing w:val="-2"/>
                  <w:sz w:val="16"/>
                  <w:szCs w:val="16"/>
                  <w:lang w:val="fr-FR"/>
                </w:rPr>
                <w:t>’</w:t>
              </w:r>
              <w:r w:rsidR="001F18A7" w:rsidRPr="00C5200A">
                <w:rPr>
                  <w:i/>
                  <w:iCs/>
                  <w:color w:val="0000FF"/>
                  <w:spacing w:val="-2"/>
                  <w:sz w:val="16"/>
                  <w:szCs w:val="16"/>
                  <w:lang w:val="fr-FR"/>
                </w:rPr>
                <w:t>observation en surface à des fins climatologiques</w:t>
              </w:r>
            </w:hyperlink>
          </w:p>
        </w:tc>
        <w:tc>
          <w:tcPr>
            <w:tcW w:w="3288" w:type="dxa"/>
          </w:tcPr>
          <w:p w14:paraId="53F0FF13"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Fournit un</w:t>
            </w:r>
          </w:p>
          <w:p w14:paraId="5F766387" w14:textId="36A71BE4" w:rsidR="00770B34" w:rsidRPr="00C5200A" w:rsidRDefault="00770B34" w:rsidP="006E1243">
            <w:pPr>
              <w:spacing w:before="240"/>
              <w:jc w:val="left"/>
              <w:rPr>
                <w:spacing w:val="-2"/>
                <w:sz w:val="16"/>
                <w:szCs w:val="16"/>
                <w:lang w:val="fr-FR"/>
              </w:rPr>
            </w:pPr>
            <w:r w:rsidRPr="00C5200A">
              <w:rPr>
                <w:spacing w:val="-2"/>
                <w:sz w:val="16"/>
                <w:szCs w:val="16"/>
                <w:lang w:val="fr-FR"/>
              </w:rPr>
              <w:t>aperçu d</w:t>
            </w:r>
            <w:r w:rsidR="005F6019" w:rsidRPr="00C5200A">
              <w:rPr>
                <w:spacing w:val="-2"/>
                <w:sz w:val="16"/>
                <w:szCs w:val="16"/>
                <w:lang w:val="fr-FR"/>
              </w:rPr>
              <w:t>’</w:t>
            </w:r>
            <w:r w:rsidRPr="00C5200A">
              <w:rPr>
                <w:spacing w:val="-2"/>
                <w:sz w:val="16"/>
                <w:szCs w:val="16"/>
                <w:lang w:val="fr-FR"/>
              </w:rPr>
              <w:t>un niveau assez élevé des principes qui sous-tendent l</w:t>
            </w:r>
            <w:r w:rsidR="005F6019" w:rsidRPr="00C5200A">
              <w:rPr>
                <w:spacing w:val="-2"/>
                <w:sz w:val="16"/>
                <w:szCs w:val="16"/>
                <w:lang w:val="fr-FR"/>
              </w:rPr>
              <w:t>’</w:t>
            </w:r>
            <w:r w:rsidRPr="00C5200A">
              <w:rPr>
                <w:spacing w:val="-2"/>
                <w:sz w:val="16"/>
                <w:szCs w:val="16"/>
                <w:lang w:val="fr-FR"/>
              </w:rPr>
              <w:t>assurance de la qualité efficace des données climatologiques ainsi que des considérations relatives à l</w:t>
            </w:r>
            <w:r w:rsidR="005F6019" w:rsidRPr="00C5200A">
              <w:rPr>
                <w:spacing w:val="-2"/>
                <w:sz w:val="16"/>
                <w:szCs w:val="16"/>
                <w:lang w:val="fr-FR"/>
              </w:rPr>
              <w:t>’</w:t>
            </w:r>
            <w:r w:rsidRPr="00C5200A">
              <w:rPr>
                <w:spacing w:val="-2"/>
                <w:sz w:val="16"/>
                <w:szCs w:val="16"/>
                <w:lang w:val="fr-FR"/>
              </w:rPr>
              <w:t>assurance-qualité opérationnelle et au contrôle de la qualité des données météorologiques</w:t>
            </w:r>
          </w:p>
          <w:p w14:paraId="5BD513E6" w14:textId="55913669" w:rsidR="00770B34" w:rsidRPr="00C5200A" w:rsidRDefault="00770B34" w:rsidP="006E1243">
            <w:pPr>
              <w:spacing w:before="240"/>
              <w:jc w:val="left"/>
              <w:rPr>
                <w:spacing w:val="-2"/>
                <w:sz w:val="16"/>
                <w:szCs w:val="16"/>
                <w:lang w:val="fr-FR"/>
              </w:rPr>
            </w:pPr>
            <w:r w:rsidRPr="00C5200A">
              <w:rPr>
                <w:spacing w:val="-2"/>
                <w:sz w:val="16"/>
                <w:szCs w:val="16"/>
                <w:lang w:val="fr-FR"/>
              </w:rPr>
              <w:t>des stations d</w:t>
            </w:r>
            <w:r w:rsidR="005F6019" w:rsidRPr="00C5200A">
              <w:rPr>
                <w:spacing w:val="-2"/>
                <w:sz w:val="16"/>
                <w:szCs w:val="16"/>
                <w:lang w:val="fr-FR"/>
              </w:rPr>
              <w:t>’</w:t>
            </w:r>
            <w:r w:rsidRPr="00C5200A">
              <w:rPr>
                <w:spacing w:val="-2"/>
                <w:sz w:val="16"/>
                <w:szCs w:val="16"/>
                <w:lang w:val="fr-FR"/>
              </w:rPr>
              <w:t>observation de surface à différents stades du cycle de vie des données. La publication propose ensuite dans ses annexes une série d</w:t>
            </w:r>
            <w:r w:rsidR="005F6019" w:rsidRPr="00C5200A">
              <w:rPr>
                <w:spacing w:val="-2"/>
                <w:sz w:val="16"/>
                <w:szCs w:val="16"/>
                <w:lang w:val="fr-FR"/>
              </w:rPr>
              <w:t>’</w:t>
            </w:r>
            <w:r w:rsidRPr="00C5200A">
              <w:rPr>
                <w:spacing w:val="-2"/>
                <w:sz w:val="16"/>
                <w:szCs w:val="16"/>
                <w:lang w:val="fr-FR"/>
              </w:rPr>
              <w:t>essais d</w:t>
            </w:r>
            <w:r w:rsidR="005F6019" w:rsidRPr="00C5200A">
              <w:rPr>
                <w:spacing w:val="-2"/>
                <w:sz w:val="16"/>
                <w:szCs w:val="16"/>
                <w:lang w:val="fr-FR"/>
              </w:rPr>
              <w:t>’</w:t>
            </w:r>
            <w:r w:rsidRPr="00C5200A">
              <w:rPr>
                <w:spacing w:val="-2"/>
                <w:sz w:val="16"/>
                <w:szCs w:val="16"/>
                <w:lang w:val="fr-FR"/>
              </w:rPr>
              <w:t>assurance et de contrôle de la qualité classés comme obligatoires, recommandés ou facultatifs.</w:t>
            </w:r>
          </w:p>
        </w:tc>
        <w:tc>
          <w:tcPr>
            <w:tcW w:w="992" w:type="dxa"/>
          </w:tcPr>
          <w:p w14:paraId="186940F0" w14:textId="77777777" w:rsidR="00770B34" w:rsidRPr="00C5200A" w:rsidRDefault="00770B34" w:rsidP="00054A7B">
            <w:pPr>
              <w:spacing w:before="240"/>
              <w:rPr>
                <w:spacing w:val="-2"/>
                <w:sz w:val="16"/>
                <w:szCs w:val="16"/>
              </w:rPr>
            </w:pPr>
            <w:r w:rsidRPr="00C5200A">
              <w:rPr>
                <w:spacing w:val="-2"/>
                <w:sz w:val="16"/>
                <w:szCs w:val="16"/>
                <w:lang w:val="fr-FR"/>
              </w:rPr>
              <w:t>2021</w:t>
            </w:r>
          </w:p>
        </w:tc>
        <w:tc>
          <w:tcPr>
            <w:tcW w:w="1411" w:type="dxa"/>
          </w:tcPr>
          <w:p w14:paraId="18ECFD9F" w14:textId="77777777" w:rsidR="00770B34" w:rsidRPr="00C5200A" w:rsidRDefault="00770B34" w:rsidP="00054A7B">
            <w:pPr>
              <w:spacing w:before="240"/>
              <w:rPr>
                <w:spacing w:val="-2"/>
                <w:sz w:val="16"/>
                <w:szCs w:val="16"/>
              </w:rPr>
            </w:pPr>
          </w:p>
        </w:tc>
      </w:tr>
      <w:tr w:rsidR="00770B34" w:rsidRPr="00C5200A" w14:paraId="2E394E15" w14:textId="77777777" w:rsidTr="00C5200A">
        <w:tc>
          <w:tcPr>
            <w:tcW w:w="1433" w:type="dxa"/>
            <w:vMerge w:val="restart"/>
          </w:tcPr>
          <w:p w14:paraId="3384F4B0" w14:textId="77777777" w:rsidR="00770B34" w:rsidRPr="00C5200A" w:rsidRDefault="00770B34" w:rsidP="00EA5C8B">
            <w:pPr>
              <w:spacing w:before="240"/>
              <w:jc w:val="left"/>
              <w:rPr>
                <w:b/>
                <w:bCs/>
                <w:spacing w:val="-2"/>
                <w:sz w:val="16"/>
                <w:szCs w:val="16"/>
              </w:rPr>
            </w:pPr>
            <w:r w:rsidRPr="00C5200A">
              <w:rPr>
                <w:b/>
                <w:bCs/>
                <w:spacing w:val="-2"/>
                <w:sz w:val="16"/>
                <w:szCs w:val="16"/>
                <w:lang w:val="fr-FR"/>
              </w:rPr>
              <w:t>Surveillance du climat</w:t>
            </w:r>
          </w:p>
        </w:tc>
        <w:tc>
          <w:tcPr>
            <w:tcW w:w="2504" w:type="dxa"/>
          </w:tcPr>
          <w:p w14:paraId="0EABE439" w14:textId="77777777" w:rsidR="005B7505" w:rsidRPr="00C5200A" w:rsidRDefault="005B7505" w:rsidP="005B7505">
            <w:pPr>
              <w:spacing w:before="240"/>
              <w:rPr>
                <w:spacing w:val="-2"/>
                <w:sz w:val="16"/>
                <w:szCs w:val="16"/>
                <w:lang w:val="fr-FR"/>
              </w:rPr>
            </w:pPr>
            <w:r w:rsidRPr="00C5200A">
              <w:rPr>
                <w:spacing w:val="-2"/>
                <w:sz w:val="16"/>
                <w:szCs w:val="16"/>
                <w:lang w:val="fr-FR"/>
              </w:rPr>
              <w:t>OMM-N° 100</w:t>
            </w:r>
          </w:p>
          <w:p w14:paraId="735F21D7" w14:textId="77777777" w:rsidR="00770B34" w:rsidRPr="00C5200A" w:rsidRDefault="00B36F3C" w:rsidP="005B7505">
            <w:pPr>
              <w:spacing w:before="240"/>
              <w:jc w:val="left"/>
              <w:rPr>
                <w:rFonts w:cs="Stone Sans ITC"/>
                <w:i/>
                <w:iCs/>
                <w:color w:val="211D1E"/>
                <w:spacing w:val="-2"/>
                <w:sz w:val="16"/>
                <w:szCs w:val="16"/>
                <w:lang w:val="fr-FR"/>
              </w:rPr>
            </w:pPr>
            <w:hyperlink r:id="rId48" w:history="1">
              <w:r w:rsidR="001F18A7" w:rsidRPr="00C5200A">
                <w:rPr>
                  <w:i/>
                  <w:iCs/>
                  <w:color w:val="0000FF"/>
                  <w:spacing w:val="-2"/>
                  <w:sz w:val="16"/>
                  <w:szCs w:val="16"/>
                  <w:lang w:val="fr-FR"/>
                </w:rPr>
                <w:t>Guide des pratiques climatologiques</w:t>
              </w:r>
            </w:hyperlink>
          </w:p>
        </w:tc>
        <w:tc>
          <w:tcPr>
            <w:tcW w:w="3288" w:type="dxa"/>
          </w:tcPr>
          <w:p w14:paraId="23A22BB8" w14:textId="2697CF52" w:rsidR="00770B34" w:rsidRPr="00C5200A" w:rsidRDefault="00770B34" w:rsidP="006E1243">
            <w:pPr>
              <w:spacing w:before="240"/>
              <w:jc w:val="left"/>
              <w:rPr>
                <w:spacing w:val="-2"/>
                <w:sz w:val="16"/>
                <w:szCs w:val="16"/>
                <w:lang w:val="fr-FR"/>
              </w:rPr>
            </w:pPr>
            <w:r w:rsidRPr="00C5200A">
              <w:rPr>
                <w:spacing w:val="-2"/>
                <w:sz w:val="16"/>
                <w:szCs w:val="16"/>
                <w:lang w:val="fr-FR"/>
              </w:rPr>
              <w:t>Orientation et assistance dans le développement d</w:t>
            </w:r>
            <w:r w:rsidR="005F6019" w:rsidRPr="00C5200A">
              <w:rPr>
                <w:spacing w:val="-2"/>
                <w:sz w:val="16"/>
                <w:szCs w:val="16"/>
                <w:lang w:val="fr-FR"/>
              </w:rPr>
              <w:t>’</w:t>
            </w:r>
            <w:r w:rsidRPr="00C5200A">
              <w:rPr>
                <w:spacing w:val="-2"/>
                <w:sz w:val="16"/>
                <w:szCs w:val="16"/>
                <w:lang w:val="fr-FR"/>
              </w:rPr>
              <w:t>activités nationales liées à l</w:t>
            </w:r>
            <w:r w:rsidR="005F6019" w:rsidRPr="00C5200A">
              <w:rPr>
                <w:spacing w:val="-2"/>
                <w:sz w:val="16"/>
                <w:szCs w:val="16"/>
                <w:lang w:val="fr-FR"/>
              </w:rPr>
              <w:t>’</w:t>
            </w:r>
            <w:r w:rsidRPr="00C5200A">
              <w:rPr>
                <w:spacing w:val="-2"/>
                <w:sz w:val="16"/>
                <w:szCs w:val="16"/>
                <w:lang w:val="fr-FR"/>
              </w:rPr>
              <w:t>information et aux services climatologiques</w:t>
            </w:r>
          </w:p>
        </w:tc>
        <w:tc>
          <w:tcPr>
            <w:tcW w:w="992" w:type="dxa"/>
          </w:tcPr>
          <w:p w14:paraId="1F73FA01"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3F4AA8C4" w14:textId="77777777" w:rsidR="00770B34" w:rsidRPr="00C5200A" w:rsidRDefault="00770B34" w:rsidP="00054A7B">
            <w:pPr>
              <w:spacing w:before="240"/>
              <w:rPr>
                <w:spacing w:val="-2"/>
                <w:sz w:val="16"/>
                <w:szCs w:val="16"/>
              </w:rPr>
            </w:pPr>
            <w:r w:rsidRPr="00C5200A">
              <w:rPr>
                <w:spacing w:val="-2"/>
                <w:sz w:val="16"/>
                <w:szCs w:val="16"/>
                <w:lang w:val="fr-FR"/>
              </w:rPr>
              <w:t>Chapitre 6</w:t>
            </w:r>
          </w:p>
        </w:tc>
      </w:tr>
      <w:tr w:rsidR="00770B34" w:rsidRPr="00C5200A" w14:paraId="27D7BC33" w14:textId="77777777" w:rsidTr="00C5200A">
        <w:tc>
          <w:tcPr>
            <w:tcW w:w="1433" w:type="dxa"/>
            <w:vMerge/>
          </w:tcPr>
          <w:p w14:paraId="67753E2A" w14:textId="77777777" w:rsidR="00770B34" w:rsidRPr="00C5200A" w:rsidRDefault="00770B34" w:rsidP="00054A7B">
            <w:pPr>
              <w:spacing w:before="240"/>
              <w:rPr>
                <w:spacing w:val="-2"/>
                <w:sz w:val="16"/>
                <w:szCs w:val="16"/>
              </w:rPr>
            </w:pPr>
          </w:p>
        </w:tc>
        <w:tc>
          <w:tcPr>
            <w:tcW w:w="2504" w:type="dxa"/>
          </w:tcPr>
          <w:p w14:paraId="17DEB67D" w14:textId="77777777" w:rsidR="003E2EFA" w:rsidRPr="00C5200A" w:rsidRDefault="003E2EFA" w:rsidP="003E2EFA">
            <w:pPr>
              <w:spacing w:before="240"/>
              <w:jc w:val="left"/>
              <w:rPr>
                <w:spacing w:val="-2"/>
                <w:sz w:val="16"/>
                <w:szCs w:val="16"/>
                <w:lang w:val="fr-FR"/>
              </w:rPr>
            </w:pPr>
            <w:r w:rsidRPr="00C5200A">
              <w:rPr>
                <w:spacing w:val="-2"/>
                <w:sz w:val="16"/>
                <w:szCs w:val="16"/>
                <w:lang w:val="fr-FR"/>
              </w:rPr>
              <w:t>OMM-N° 1160</w:t>
            </w:r>
          </w:p>
          <w:p w14:paraId="560B9C18" w14:textId="10648828" w:rsidR="00770B34" w:rsidRPr="00C5200A" w:rsidRDefault="00B36F3C" w:rsidP="003E2EFA">
            <w:pPr>
              <w:spacing w:before="240"/>
              <w:jc w:val="left"/>
              <w:rPr>
                <w:i/>
                <w:iCs/>
                <w:spacing w:val="-2"/>
                <w:sz w:val="16"/>
                <w:szCs w:val="16"/>
                <w:lang w:val="fr-FR"/>
              </w:rPr>
            </w:pPr>
            <w:hyperlink r:id="rId49" w:anchor=".YjBjQHrMJE8" w:history="1">
              <w:r w:rsidR="001F18A7" w:rsidRPr="00C5200A">
                <w:rPr>
                  <w:i/>
                  <w:iCs/>
                  <w:color w:val="0000FF"/>
                  <w:spacing w:val="-2"/>
                  <w:sz w:val="16"/>
                  <w:szCs w:val="16"/>
                  <w:lang w:val="fr-FR"/>
                </w:rPr>
                <w:t>Manuel du Système mondial intégré des systèmes d</w:t>
              </w:r>
              <w:r w:rsidR="005F6019" w:rsidRPr="00C5200A">
                <w:rPr>
                  <w:i/>
                  <w:iCs/>
                  <w:color w:val="0000FF"/>
                  <w:spacing w:val="-2"/>
                  <w:sz w:val="16"/>
                  <w:szCs w:val="16"/>
                  <w:lang w:val="fr-FR"/>
                </w:rPr>
                <w:t>’</w:t>
              </w:r>
              <w:r w:rsidR="001F18A7" w:rsidRPr="00C5200A">
                <w:rPr>
                  <w:i/>
                  <w:iCs/>
                  <w:color w:val="0000FF"/>
                  <w:spacing w:val="-2"/>
                  <w:sz w:val="16"/>
                  <w:szCs w:val="16"/>
                  <w:lang w:val="fr-FR"/>
                </w:rPr>
                <w:t>observation de l</w:t>
              </w:r>
              <w:r w:rsidR="005F6019" w:rsidRPr="00C5200A">
                <w:rPr>
                  <w:i/>
                  <w:iCs/>
                  <w:color w:val="0000FF"/>
                  <w:spacing w:val="-2"/>
                  <w:sz w:val="16"/>
                  <w:szCs w:val="16"/>
                  <w:lang w:val="fr-FR"/>
                </w:rPr>
                <w:t>’</w:t>
              </w:r>
              <w:r w:rsidR="001F18A7" w:rsidRPr="00C5200A">
                <w:rPr>
                  <w:i/>
                  <w:iCs/>
                  <w:color w:val="0000FF"/>
                  <w:spacing w:val="-2"/>
                  <w:sz w:val="16"/>
                  <w:szCs w:val="16"/>
                  <w:lang w:val="fr-FR"/>
                </w:rPr>
                <w:t>OMM</w:t>
              </w:r>
            </w:hyperlink>
          </w:p>
        </w:tc>
        <w:tc>
          <w:tcPr>
            <w:tcW w:w="3288" w:type="dxa"/>
          </w:tcPr>
          <w:p w14:paraId="167037E3" w14:textId="77777777" w:rsidR="00770B34" w:rsidRPr="00C5200A" w:rsidRDefault="00770B34" w:rsidP="00CE10EC">
            <w:pPr>
              <w:keepNext/>
              <w:keepLines/>
              <w:spacing w:before="240"/>
              <w:jc w:val="left"/>
              <w:rPr>
                <w:spacing w:val="-2"/>
                <w:sz w:val="16"/>
                <w:szCs w:val="16"/>
                <w:lang w:val="fr-FR"/>
              </w:rPr>
            </w:pPr>
            <w:r w:rsidRPr="00C5200A">
              <w:rPr>
                <w:spacing w:val="-2"/>
                <w:sz w:val="16"/>
                <w:szCs w:val="16"/>
                <w:lang w:val="fr-FR"/>
              </w:rPr>
              <w:t>Le manuel est destiné à:</w:t>
            </w:r>
          </w:p>
          <w:p w14:paraId="6A1CB9E8" w14:textId="49EA8A3F" w:rsidR="00770B34" w:rsidRPr="00C5200A" w:rsidRDefault="00770B34" w:rsidP="00CE10EC">
            <w:pPr>
              <w:keepNext/>
              <w:keepLines/>
              <w:spacing w:before="240"/>
              <w:jc w:val="left"/>
              <w:rPr>
                <w:spacing w:val="-2"/>
                <w:sz w:val="16"/>
                <w:szCs w:val="16"/>
                <w:lang w:val="fr-FR"/>
              </w:rPr>
            </w:pPr>
            <w:r w:rsidRPr="00C5200A">
              <w:rPr>
                <w:spacing w:val="-2"/>
                <w:sz w:val="16"/>
                <w:szCs w:val="16"/>
                <w:lang w:val="fr-FR"/>
              </w:rPr>
              <w:t>(a) Préciser les obligations des Membres quant à la mise en œuvre et à l</w:t>
            </w:r>
            <w:r w:rsidR="005F6019" w:rsidRPr="00C5200A">
              <w:rPr>
                <w:spacing w:val="-2"/>
                <w:sz w:val="16"/>
                <w:szCs w:val="16"/>
                <w:lang w:val="fr-FR"/>
              </w:rPr>
              <w:t>’</w:t>
            </w:r>
            <w:r w:rsidRPr="00C5200A">
              <w:rPr>
                <w:spacing w:val="-2"/>
                <w:sz w:val="16"/>
                <w:szCs w:val="16"/>
                <w:lang w:val="fr-FR"/>
              </w:rPr>
              <w:t xml:space="preserve">exploitation du </w:t>
            </w:r>
            <w:proofErr w:type="spellStart"/>
            <w:r w:rsidRPr="00C5200A">
              <w:rPr>
                <w:spacing w:val="-2"/>
                <w:sz w:val="16"/>
                <w:szCs w:val="16"/>
                <w:lang w:val="fr-FR"/>
              </w:rPr>
              <w:t>WIGOS</w:t>
            </w:r>
            <w:proofErr w:type="spellEnd"/>
            <w:r w:rsidRPr="00C5200A">
              <w:rPr>
                <w:spacing w:val="-2"/>
                <w:sz w:val="16"/>
                <w:szCs w:val="16"/>
                <w:lang w:val="fr-FR"/>
              </w:rPr>
              <w:t>.</w:t>
            </w:r>
          </w:p>
          <w:p w14:paraId="6B14ED31" w14:textId="6A009953" w:rsidR="00770B34" w:rsidRPr="00C5200A" w:rsidRDefault="00770B34" w:rsidP="006E1243">
            <w:pPr>
              <w:spacing w:before="240"/>
              <w:jc w:val="left"/>
              <w:rPr>
                <w:spacing w:val="-2"/>
                <w:sz w:val="16"/>
                <w:szCs w:val="16"/>
                <w:lang w:val="fr-FR"/>
              </w:rPr>
            </w:pPr>
            <w:r w:rsidRPr="00C5200A">
              <w:rPr>
                <w:spacing w:val="-2"/>
                <w:sz w:val="16"/>
                <w:szCs w:val="16"/>
                <w:lang w:val="fr-FR"/>
              </w:rPr>
              <w:t>(b) Faciliter la coopération en matière d</w:t>
            </w:r>
            <w:r w:rsidR="005F6019" w:rsidRPr="00C5200A">
              <w:rPr>
                <w:spacing w:val="-2"/>
                <w:sz w:val="16"/>
                <w:szCs w:val="16"/>
                <w:lang w:val="fr-FR"/>
              </w:rPr>
              <w:t>’</w:t>
            </w:r>
            <w:r w:rsidRPr="00C5200A">
              <w:rPr>
                <w:spacing w:val="-2"/>
                <w:sz w:val="16"/>
                <w:szCs w:val="16"/>
                <w:lang w:val="fr-FR"/>
              </w:rPr>
              <w:t>observation entre les Membres.</w:t>
            </w:r>
          </w:p>
          <w:p w14:paraId="1CDC70EE" w14:textId="0934EA76" w:rsidR="00770B34" w:rsidRPr="00C5200A" w:rsidRDefault="00770B34" w:rsidP="006E1243">
            <w:pPr>
              <w:spacing w:before="240"/>
              <w:jc w:val="left"/>
              <w:rPr>
                <w:spacing w:val="-2"/>
                <w:sz w:val="16"/>
                <w:szCs w:val="16"/>
                <w:lang w:val="fr-FR"/>
              </w:rPr>
            </w:pPr>
            <w:r w:rsidRPr="00C5200A">
              <w:rPr>
                <w:spacing w:val="-2"/>
                <w:sz w:val="16"/>
                <w:szCs w:val="16"/>
                <w:lang w:val="fr-FR"/>
              </w:rPr>
              <w:t>(c) Assurer l</w:t>
            </w:r>
            <w:r w:rsidR="005F6019" w:rsidRPr="00C5200A">
              <w:rPr>
                <w:spacing w:val="-2"/>
                <w:sz w:val="16"/>
                <w:szCs w:val="16"/>
                <w:lang w:val="fr-FR"/>
              </w:rPr>
              <w:t>’</w:t>
            </w:r>
            <w:r w:rsidRPr="00C5200A">
              <w:rPr>
                <w:spacing w:val="-2"/>
                <w:sz w:val="16"/>
                <w:szCs w:val="16"/>
                <w:lang w:val="fr-FR"/>
              </w:rPr>
              <w:t>uniformité et la normalisation des pratiques et des procédures employées pour atteindre les objectifs a) et b) ci-dessus.</w:t>
            </w:r>
          </w:p>
        </w:tc>
        <w:tc>
          <w:tcPr>
            <w:tcW w:w="992" w:type="dxa"/>
          </w:tcPr>
          <w:p w14:paraId="4FE52550" w14:textId="77777777" w:rsidR="00770B34" w:rsidRPr="00C5200A" w:rsidRDefault="00770B34" w:rsidP="00054A7B">
            <w:pPr>
              <w:spacing w:before="240"/>
              <w:rPr>
                <w:spacing w:val="-2"/>
                <w:sz w:val="16"/>
                <w:szCs w:val="16"/>
              </w:rPr>
            </w:pPr>
            <w:r w:rsidRPr="00C5200A">
              <w:rPr>
                <w:spacing w:val="-2"/>
                <w:sz w:val="16"/>
                <w:szCs w:val="16"/>
                <w:lang w:val="fr-FR"/>
              </w:rPr>
              <w:t>2021</w:t>
            </w:r>
          </w:p>
        </w:tc>
        <w:tc>
          <w:tcPr>
            <w:tcW w:w="1411" w:type="dxa"/>
          </w:tcPr>
          <w:p w14:paraId="24D55983" w14:textId="77777777" w:rsidR="00770B34" w:rsidRPr="00C5200A" w:rsidRDefault="00770B34" w:rsidP="00054A7B">
            <w:pPr>
              <w:spacing w:before="240"/>
              <w:rPr>
                <w:spacing w:val="-2"/>
                <w:sz w:val="16"/>
                <w:szCs w:val="16"/>
              </w:rPr>
            </w:pPr>
          </w:p>
        </w:tc>
      </w:tr>
      <w:tr w:rsidR="00770B34" w:rsidRPr="00C5200A" w14:paraId="626DD744" w14:textId="77777777" w:rsidTr="00C5200A">
        <w:tc>
          <w:tcPr>
            <w:tcW w:w="1433" w:type="dxa"/>
          </w:tcPr>
          <w:p w14:paraId="1A5BC08E" w14:textId="77777777" w:rsidR="00770B34" w:rsidRPr="00C5200A" w:rsidRDefault="00770B34" w:rsidP="00054A7B">
            <w:pPr>
              <w:spacing w:before="240"/>
              <w:rPr>
                <w:b/>
                <w:bCs/>
                <w:spacing w:val="-2"/>
                <w:sz w:val="16"/>
                <w:szCs w:val="16"/>
              </w:rPr>
            </w:pPr>
            <w:r w:rsidRPr="00C5200A">
              <w:rPr>
                <w:b/>
                <w:bCs/>
                <w:spacing w:val="-2"/>
                <w:sz w:val="16"/>
                <w:szCs w:val="16"/>
                <w:lang w:val="fr-FR"/>
              </w:rPr>
              <w:t>Prévision climatique</w:t>
            </w:r>
          </w:p>
        </w:tc>
        <w:tc>
          <w:tcPr>
            <w:tcW w:w="2504" w:type="dxa"/>
          </w:tcPr>
          <w:p w14:paraId="4CF6BAC3" w14:textId="77777777" w:rsidR="00770B34" w:rsidRPr="00C5200A" w:rsidRDefault="00770B34" w:rsidP="006E1243">
            <w:pPr>
              <w:spacing w:before="240"/>
              <w:jc w:val="left"/>
              <w:rPr>
                <w:spacing w:val="-2"/>
                <w:sz w:val="16"/>
                <w:szCs w:val="16"/>
              </w:rPr>
            </w:pPr>
            <w:r w:rsidRPr="00C5200A">
              <w:rPr>
                <w:spacing w:val="-2"/>
                <w:sz w:val="16"/>
                <w:szCs w:val="16"/>
                <w:lang w:val="en-AU"/>
              </w:rPr>
              <w:t>WMO-No. 1220</w:t>
            </w:r>
          </w:p>
          <w:p w14:paraId="3067A701" w14:textId="77777777" w:rsidR="00770B34" w:rsidRPr="00C5200A" w:rsidRDefault="00B36F3C" w:rsidP="006E1243">
            <w:pPr>
              <w:spacing w:before="240"/>
              <w:jc w:val="left"/>
              <w:rPr>
                <w:rFonts w:cs="Stone Sans ITC"/>
                <w:i/>
                <w:iCs/>
                <w:color w:val="211D1E"/>
                <w:spacing w:val="-2"/>
                <w:sz w:val="16"/>
                <w:szCs w:val="16"/>
              </w:rPr>
            </w:pPr>
            <w:hyperlink r:id="rId50" w:anchor=".YxjGA3ZBw2x" w:history="1">
              <w:r w:rsidR="001F18A7" w:rsidRPr="00C5200A">
                <w:rPr>
                  <w:i/>
                  <w:iCs/>
                  <w:color w:val="0000FF"/>
                  <w:spacing w:val="-2"/>
                  <w:sz w:val="16"/>
                  <w:szCs w:val="16"/>
                </w:rPr>
                <w:t>Guidance on Verification of Operational Seasonal Climate Forecasts</w:t>
              </w:r>
            </w:hyperlink>
          </w:p>
        </w:tc>
        <w:tc>
          <w:tcPr>
            <w:tcW w:w="3288" w:type="dxa"/>
          </w:tcPr>
          <w:p w14:paraId="137E94E0" w14:textId="1D3284D3" w:rsidR="00770B34" w:rsidRPr="00C5200A" w:rsidRDefault="00770B34" w:rsidP="006E1243">
            <w:pPr>
              <w:spacing w:before="240"/>
              <w:jc w:val="left"/>
              <w:rPr>
                <w:spacing w:val="-2"/>
                <w:sz w:val="16"/>
                <w:szCs w:val="16"/>
                <w:lang w:val="fr-FR"/>
              </w:rPr>
            </w:pPr>
            <w:r w:rsidRPr="00C5200A">
              <w:rPr>
                <w:spacing w:val="-2"/>
                <w:sz w:val="16"/>
                <w:szCs w:val="16"/>
                <w:lang w:val="fr-FR"/>
              </w:rPr>
              <w:t>Décrit et recommande des procédures pour la vérification des prévisions saisonnières probabilistes opérationnelles, y compris celles des forums régionaux sur l</w:t>
            </w:r>
            <w:r w:rsidR="005F6019" w:rsidRPr="00C5200A">
              <w:rPr>
                <w:spacing w:val="-2"/>
                <w:sz w:val="16"/>
                <w:szCs w:val="16"/>
                <w:lang w:val="fr-FR"/>
              </w:rPr>
              <w:t>’</w:t>
            </w:r>
            <w:r w:rsidRPr="00C5200A">
              <w:rPr>
                <w:spacing w:val="-2"/>
                <w:sz w:val="16"/>
                <w:szCs w:val="16"/>
                <w:lang w:val="fr-FR"/>
              </w:rPr>
              <w:t xml:space="preserve">évolution probable du climat, des </w:t>
            </w:r>
            <w:proofErr w:type="spellStart"/>
            <w:r w:rsidRPr="00C5200A">
              <w:rPr>
                <w:spacing w:val="-2"/>
                <w:sz w:val="16"/>
                <w:szCs w:val="16"/>
                <w:lang w:val="fr-FR"/>
              </w:rPr>
              <w:t>SMHN</w:t>
            </w:r>
            <w:proofErr w:type="spellEnd"/>
            <w:r w:rsidRPr="00C5200A">
              <w:rPr>
                <w:spacing w:val="-2"/>
                <w:sz w:val="16"/>
                <w:szCs w:val="16"/>
                <w:lang w:val="fr-FR"/>
              </w:rPr>
              <w:t xml:space="preserve"> et d</w:t>
            </w:r>
            <w:r w:rsidR="005F6019" w:rsidRPr="00C5200A">
              <w:rPr>
                <w:spacing w:val="-2"/>
                <w:sz w:val="16"/>
                <w:szCs w:val="16"/>
                <w:lang w:val="fr-FR"/>
              </w:rPr>
              <w:t>’</w:t>
            </w:r>
            <w:r w:rsidRPr="00C5200A">
              <w:rPr>
                <w:spacing w:val="-2"/>
                <w:sz w:val="16"/>
                <w:szCs w:val="16"/>
                <w:lang w:val="fr-FR"/>
              </w:rPr>
              <w:t>autres centres de prévision</w:t>
            </w:r>
          </w:p>
        </w:tc>
        <w:tc>
          <w:tcPr>
            <w:tcW w:w="992" w:type="dxa"/>
          </w:tcPr>
          <w:p w14:paraId="7A222219"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0A83194A" w14:textId="77777777" w:rsidR="00770B34" w:rsidRPr="00C5200A" w:rsidRDefault="00770B34" w:rsidP="00054A7B">
            <w:pPr>
              <w:spacing w:before="240"/>
              <w:rPr>
                <w:spacing w:val="-2"/>
                <w:sz w:val="16"/>
                <w:szCs w:val="16"/>
              </w:rPr>
            </w:pPr>
          </w:p>
        </w:tc>
      </w:tr>
      <w:tr w:rsidR="00770B34" w:rsidRPr="00C5200A" w14:paraId="1443F043" w14:textId="77777777" w:rsidTr="00C5200A">
        <w:tc>
          <w:tcPr>
            <w:tcW w:w="1433" w:type="dxa"/>
            <w:vMerge w:val="restart"/>
          </w:tcPr>
          <w:p w14:paraId="2AE82C10" w14:textId="4842EBDB" w:rsidR="00770B34" w:rsidRPr="00C5200A" w:rsidRDefault="00A86638" w:rsidP="00054A7B">
            <w:pPr>
              <w:spacing w:before="240"/>
              <w:rPr>
                <w:b/>
                <w:bCs/>
                <w:spacing w:val="-2"/>
                <w:sz w:val="16"/>
                <w:szCs w:val="16"/>
              </w:rPr>
            </w:pPr>
            <w:r w:rsidRPr="00C5200A">
              <w:rPr>
                <w:b/>
                <w:bCs/>
                <w:spacing w:val="-2"/>
                <w:sz w:val="16"/>
                <w:szCs w:val="16"/>
                <w:lang w:val="fr-FR"/>
              </w:rPr>
              <w:t>Fourniture de</w:t>
            </w:r>
            <w:r w:rsidR="00770B34" w:rsidRPr="00C5200A">
              <w:rPr>
                <w:b/>
                <w:bCs/>
                <w:spacing w:val="-2"/>
                <w:sz w:val="16"/>
                <w:szCs w:val="16"/>
                <w:lang w:val="fr-FR"/>
              </w:rPr>
              <w:t xml:space="preserve"> </w:t>
            </w:r>
            <w:r w:rsidRPr="00C5200A">
              <w:rPr>
                <w:b/>
                <w:bCs/>
                <w:spacing w:val="-2"/>
                <w:sz w:val="16"/>
                <w:szCs w:val="16"/>
                <w:lang w:val="fr-FR"/>
              </w:rPr>
              <w:t>s</w:t>
            </w:r>
            <w:r w:rsidR="00770B34" w:rsidRPr="00C5200A">
              <w:rPr>
                <w:b/>
                <w:bCs/>
                <w:spacing w:val="-2"/>
                <w:sz w:val="16"/>
                <w:szCs w:val="16"/>
                <w:lang w:val="fr-FR"/>
              </w:rPr>
              <w:t>ervices</w:t>
            </w:r>
          </w:p>
        </w:tc>
        <w:tc>
          <w:tcPr>
            <w:tcW w:w="2504" w:type="dxa"/>
          </w:tcPr>
          <w:p w14:paraId="27EF2BEB"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OMM-N° 1129</w:t>
            </w:r>
          </w:p>
          <w:p w14:paraId="1D74A280" w14:textId="444C9C73" w:rsidR="00770B34" w:rsidRPr="00C5200A" w:rsidRDefault="00B36F3C" w:rsidP="006E1243">
            <w:pPr>
              <w:spacing w:before="240"/>
              <w:jc w:val="left"/>
              <w:rPr>
                <w:i/>
                <w:iCs/>
                <w:spacing w:val="-2"/>
                <w:sz w:val="16"/>
                <w:szCs w:val="16"/>
                <w:lang w:val="fr-FR"/>
              </w:rPr>
            </w:pPr>
            <w:hyperlink r:id="rId51" w:history="1">
              <w:r w:rsidR="001F18A7" w:rsidRPr="00C5200A">
                <w:rPr>
                  <w:i/>
                  <w:iCs/>
                  <w:color w:val="0000FF"/>
                  <w:spacing w:val="-2"/>
                  <w:sz w:val="16"/>
                  <w:szCs w:val="16"/>
                  <w:lang w:val="fr-FR"/>
                </w:rPr>
                <w:t>Stratégie de l</w:t>
              </w:r>
              <w:r w:rsidR="005F6019" w:rsidRPr="00C5200A">
                <w:rPr>
                  <w:i/>
                  <w:iCs/>
                  <w:color w:val="0000FF"/>
                  <w:spacing w:val="-2"/>
                  <w:sz w:val="16"/>
                  <w:szCs w:val="16"/>
                  <w:lang w:val="fr-FR"/>
                </w:rPr>
                <w:t>’</w:t>
              </w:r>
              <w:r w:rsidR="001F18A7" w:rsidRPr="00C5200A">
                <w:rPr>
                  <w:i/>
                  <w:iCs/>
                  <w:color w:val="0000FF"/>
                  <w:spacing w:val="-2"/>
                  <w:sz w:val="16"/>
                  <w:szCs w:val="16"/>
                  <w:lang w:val="fr-FR"/>
                </w:rPr>
                <w:t xml:space="preserve">OMM en matière de prestation de services et plan de mise en </w:t>
              </w:r>
              <w:proofErr w:type="spellStart"/>
              <w:r w:rsidR="001F18A7" w:rsidRPr="00C5200A">
                <w:rPr>
                  <w:i/>
                  <w:iCs/>
                  <w:color w:val="0000FF"/>
                  <w:spacing w:val="-2"/>
                  <w:sz w:val="16"/>
                  <w:szCs w:val="16"/>
                  <w:lang w:val="fr-FR"/>
                </w:rPr>
                <w:t>oeuvre</w:t>
              </w:r>
              <w:proofErr w:type="spellEnd"/>
            </w:hyperlink>
          </w:p>
        </w:tc>
        <w:tc>
          <w:tcPr>
            <w:tcW w:w="3288" w:type="dxa"/>
          </w:tcPr>
          <w:p w14:paraId="1E8AD0F5"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 xml:space="preserve">Aide les </w:t>
            </w:r>
            <w:proofErr w:type="spellStart"/>
            <w:r w:rsidRPr="00C5200A">
              <w:rPr>
                <w:spacing w:val="-2"/>
                <w:sz w:val="16"/>
                <w:szCs w:val="16"/>
                <w:lang w:val="fr-FR"/>
              </w:rPr>
              <w:t>SMHN</w:t>
            </w:r>
            <w:proofErr w:type="spellEnd"/>
            <w:r w:rsidRPr="00C5200A">
              <w:rPr>
                <w:spacing w:val="-2"/>
                <w:sz w:val="16"/>
                <w:szCs w:val="16"/>
                <w:lang w:val="fr-FR"/>
              </w:rPr>
              <w:t xml:space="preserve"> à améliorer les normes de prestation de services dans la fourniture de produits et de services aux utilisateurs et aux clients</w:t>
            </w:r>
          </w:p>
        </w:tc>
        <w:tc>
          <w:tcPr>
            <w:tcW w:w="992" w:type="dxa"/>
          </w:tcPr>
          <w:p w14:paraId="4E7F1348" w14:textId="77777777" w:rsidR="00770B34" w:rsidRPr="00C5200A" w:rsidRDefault="00770B34" w:rsidP="00054A7B">
            <w:pPr>
              <w:spacing w:before="240"/>
              <w:rPr>
                <w:spacing w:val="-2"/>
                <w:sz w:val="16"/>
                <w:szCs w:val="16"/>
              </w:rPr>
            </w:pPr>
            <w:r w:rsidRPr="00C5200A">
              <w:rPr>
                <w:spacing w:val="-2"/>
                <w:sz w:val="16"/>
                <w:szCs w:val="16"/>
                <w:lang w:val="fr-FR"/>
              </w:rPr>
              <w:t>2014</w:t>
            </w:r>
          </w:p>
        </w:tc>
        <w:tc>
          <w:tcPr>
            <w:tcW w:w="1411" w:type="dxa"/>
          </w:tcPr>
          <w:p w14:paraId="7C13878C" w14:textId="77777777" w:rsidR="00770B34" w:rsidRPr="00C5200A" w:rsidRDefault="00770B34" w:rsidP="00054A7B">
            <w:pPr>
              <w:spacing w:before="240"/>
              <w:rPr>
                <w:spacing w:val="-2"/>
                <w:sz w:val="16"/>
                <w:szCs w:val="16"/>
              </w:rPr>
            </w:pPr>
          </w:p>
        </w:tc>
      </w:tr>
      <w:tr w:rsidR="00770B34" w:rsidRPr="00C5200A" w14:paraId="49DE5C5F" w14:textId="77777777" w:rsidTr="00C5200A">
        <w:tc>
          <w:tcPr>
            <w:tcW w:w="1433" w:type="dxa"/>
            <w:vMerge/>
          </w:tcPr>
          <w:p w14:paraId="0D64EB1F" w14:textId="77777777" w:rsidR="00770B34" w:rsidRPr="00C5200A" w:rsidRDefault="00770B34" w:rsidP="00054A7B">
            <w:pPr>
              <w:spacing w:before="240"/>
              <w:rPr>
                <w:spacing w:val="-2"/>
                <w:sz w:val="16"/>
                <w:szCs w:val="16"/>
              </w:rPr>
            </w:pPr>
          </w:p>
        </w:tc>
        <w:tc>
          <w:tcPr>
            <w:tcW w:w="2504" w:type="dxa"/>
          </w:tcPr>
          <w:p w14:paraId="739CC140" w14:textId="77777777" w:rsidR="00770B34" w:rsidRPr="00C5200A" w:rsidRDefault="00770B34" w:rsidP="006E1243">
            <w:pPr>
              <w:spacing w:before="240"/>
              <w:jc w:val="left"/>
              <w:rPr>
                <w:spacing w:val="-2"/>
                <w:sz w:val="16"/>
                <w:szCs w:val="16"/>
              </w:rPr>
            </w:pPr>
            <w:r w:rsidRPr="00C5200A">
              <w:rPr>
                <w:spacing w:val="-2"/>
                <w:sz w:val="16"/>
                <w:szCs w:val="16"/>
                <w:lang w:val="en-AU"/>
              </w:rPr>
              <w:t>WMO-No. 1247</w:t>
            </w:r>
          </w:p>
          <w:p w14:paraId="5FAEAEE8" w14:textId="77777777" w:rsidR="00770B34" w:rsidRPr="00C5200A" w:rsidRDefault="00B36F3C" w:rsidP="006E1243">
            <w:pPr>
              <w:spacing w:before="240"/>
              <w:jc w:val="left"/>
              <w:rPr>
                <w:i/>
                <w:iCs/>
                <w:spacing w:val="-2"/>
                <w:sz w:val="16"/>
                <w:szCs w:val="16"/>
              </w:rPr>
            </w:pPr>
            <w:hyperlink r:id="rId52" w:history="1">
              <w:r w:rsidR="001F18A7" w:rsidRPr="00C5200A">
                <w:rPr>
                  <w:i/>
                  <w:iCs/>
                  <w:color w:val="0000FF"/>
                  <w:spacing w:val="-2"/>
                  <w:sz w:val="16"/>
                  <w:szCs w:val="16"/>
                </w:rPr>
                <w:t>Capacity Development for Climate Services: Guidelines for National Meteorological and Hydrological Services</w:t>
              </w:r>
            </w:hyperlink>
          </w:p>
        </w:tc>
        <w:tc>
          <w:tcPr>
            <w:tcW w:w="3288" w:type="dxa"/>
          </w:tcPr>
          <w:p w14:paraId="4B78E175" w14:textId="01A4C381" w:rsidR="00770B34" w:rsidRPr="00C5200A" w:rsidRDefault="00770B34" w:rsidP="006E1243">
            <w:pPr>
              <w:spacing w:before="240"/>
              <w:jc w:val="left"/>
              <w:rPr>
                <w:spacing w:val="-2"/>
                <w:sz w:val="16"/>
                <w:szCs w:val="16"/>
                <w:lang w:val="fr-FR"/>
              </w:rPr>
            </w:pPr>
            <w:r w:rsidRPr="00C5200A">
              <w:rPr>
                <w:spacing w:val="-2"/>
                <w:sz w:val="16"/>
                <w:szCs w:val="16"/>
                <w:lang w:val="fr-FR"/>
              </w:rPr>
              <w:t xml:space="preserve">Fournit aux </w:t>
            </w:r>
            <w:proofErr w:type="spellStart"/>
            <w:r w:rsidRPr="00C5200A">
              <w:rPr>
                <w:spacing w:val="-2"/>
                <w:sz w:val="16"/>
                <w:szCs w:val="16"/>
                <w:lang w:val="fr-FR"/>
              </w:rPr>
              <w:t>SMHN</w:t>
            </w:r>
            <w:proofErr w:type="spellEnd"/>
            <w:r w:rsidRPr="00C5200A">
              <w:rPr>
                <w:spacing w:val="-2"/>
                <w:sz w:val="16"/>
                <w:szCs w:val="16"/>
                <w:lang w:val="fr-FR"/>
              </w:rPr>
              <w:t xml:space="preserve"> et aux autres fournisseurs de services climatologiques des informations actualisées sur les ressources, les stratégies, les procédures et les meilleures pratiques disponibles pour les aider à développer leurs capacités en matière de fourniture et d</w:t>
            </w:r>
            <w:r w:rsidR="005F6019" w:rsidRPr="00C5200A">
              <w:rPr>
                <w:spacing w:val="-2"/>
                <w:sz w:val="16"/>
                <w:szCs w:val="16"/>
                <w:lang w:val="fr-FR"/>
              </w:rPr>
              <w:t>’</w:t>
            </w:r>
            <w:r w:rsidRPr="00C5200A">
              <w:rPr>
                <w:spacing w:val="-2"/>
                <w:sz w:val="16"/>
                <w:szCs w:val="16"/>
                <w:lang w:val="fr-FR"/>
              </w:rPr>
              <w:t>utilisation des services climatologiques.</w:t>
            </w:r>
          </w:p>
        </w:tc>
        <w:tc>
          <w:tcPr>
            <w:tcW w:w="992" w:type="dxa"/>
          </w:tcPr>
          <w:p w14:paraId="776E23E9" w14:textId="77777777" w:rsidR="00770B34" w:rsidRPr="00C5200A" w:rsidRDefault="00770B34" w:rsidP="00054A7B">
            <w:pPr>
              <w:spacing w:before="240"/>
              <w:rPr>
                <w:spacing w:val="-2"/>
                <w:sz w:val="16"/>
                <w:szCs w:val="16"/>
              </w:rPr>
            </w:pPr>
            <w:r w:rsidRPr="00C5200A">
              <w:rPr>
                <w:spacing w:val="-2"/>
                <w:sz w:val="16"/>
                <w:szCs w:val="16"/>
                <w:lang w:val="fr-FR"/>
              </w:rPr>
              <w:t>2020</w:t>
            </w:r>
          </w:p>
        </w:tc>
        <w:tc>
          <w:tcPr>
            <w:tcW w:w="1411" w:type="dxa"/>
          </w:tcPr>
          <w:p w14:paraId="57649CC0" w14:textId="77777777" w:rsidR="00770B34" w:rsidRPr="00C5200A" w:rsidRDefault="00770B34" w:rsidP="00054A7B">
            <w:pPr>
              <w:spacing w:before="240"/>
              <w:rPr>
                <w:spacing w:val="-2"/>
                <w:sz w:val="16"/>
                <w:szCs w:val="16"/>
              </w:rPr>
            </w:pPr>
          </w:p>
        </w:tc>
      </w:tr>
      <w:tr w:rsidR="00770B34" w:rsidRPr="00C5200A" w14:paraId="31582016" w14:textId="77777777" w:rsidTr="00C5200A">
        <w:tc>
          <w:tcPr>
            <w:tcW w:w="1433" w:type="dxa"/>
            <w:vMerge/>
          </w:tcPr>
          <w:p w14:paraId="728A948E" w14:textId="77777777" w:rsidR="00770B34" w:rsidRPr="00C5200A" w:rsidRDefault="00770B34" w:rsidP="00054A7B">
            <w:pPr>
              <w:spacing w:before="240"/>
              <w:rPr>
                <w:spacing w:val="-2"/>
                <w:sz w:val="16"/>
                <w:szCs w:val="16"/>
              </w:rPr>
            </w:pPr>
          </w:p>
        </w:tc>
        <w:tc>
          <w:tcPr>
            <w:tcW w:w="2504" w:type="dxa"/>
          </w:tcPr>
          <w:p w14:paraId="497208F1" w14:textId="77777777" w:rsidR="00770B34" w:rsidRPr="00C5200A" w:rsidRDefault="00770B34" w:rsidP="006E1243">
            <w:pPr>
              <w:spacing w:before="240"/>
              <w:jc w:val="left"/>
              <w:rPr>
                <w:spacing w:val="-2"/>
                <w:sz w:val="16"/>
                <w:szCs w:val="16"/>
              </w:rPr>
            </w:pPr>
            <w:r w:rsidRPr="00C5200A">
              <w:rPr>
                <w:spacing w:val="-2"/>
                <w:sz w:val="16"/>
                <w:szCs w:val="16"/>
                <w:lang w:val="en-AU"/>
              </w:rPr>
              <w:t>WMO-No. 1214</w:t>
            </w:r>
          </w:p>
          <w:p w14:paraId="36CDDB0B" w14:textId="77777777" w:rsidR="00770B34" w:rsidRPr="00C5200A" w:rsidRDefault="00B36F3C" w:rsidP="006E1243">
            <w:pPr>
              <w:spacing w:before="240"/>
              <w:jc w:val="left"/>
              <w:rPr>
                <w:i/>
                <w:iCs/>
                <w:spacing w:val="-2"/>
                <w:sz w:val="16"/>
                <w:szCs w:val="16"/>
              </w:rPr>
            </w:pPr>
            <w:hyperlink r:id="rId53" w:history="1">
              <w:r w:rsidR="001F18A7" w:rsidRPr="00C5200A">
                <w:rPr>
                  <w:i/>
                  <w:iCs/>
                  <w:color w:val="0000FF"/>
                  <w:spacing w:val="-2"/>
                  <w:sz w:val="16"/>
                  <w:szCs w:val="16"/>
                </w:rPr>
                <w:t>Guidance on Good Practices for Climate Services User Engagement</w:t>
              </w:r>
            </w:hyperlink>
          </w:p>
        </w:tc>
        <w:tc>
          <w:tcPr>
            <w:tcW w:w="3288" w:type="dxa"/>
          </w:tcPr>
          <w:p w14:paraId="12591881" w14:textId="77777777" w:rsidR="00770B34" w:rsidRPr="00C5200A" w:rsidRDefault="00770B34" w:rsidP="006E1243">
            <w:pPr>
              <w:spacing w:before="240"/>
              <w:jc w:val="left"/>
              <w:rPr>
                <w:spacing w:val="-2"/>
                <w:sz w:val="16"/>
                <w:szCs w:val="16"/>
                <w:lang w:val="fr-FR"/>
              </w:rPr>
            </w:pPr>
            <w:r w:rsidRPr="00C5200A">
              <w:rPr>
                <w:spacing w:val="-2"/>
                <w:sz w:val="16"/>
                <w:szCs w:val="16"/>
                <w:lang w:val="fr-FR"/>
              </w:rPr>
              <w:t>Fourniture et utilisation de services climatologiques</w:t>
            </w:r>
          </w:p>
        </w:tc>
        <w:tc>
          <w:tcPr>
            <w:tcW w:w="992" w:type="dxa"/>
          </w:tcPr>
          <w:p w14:paraId="7F0DC8BA" w14:textId="77777777" w:rsidR="00770B34" w:rsidRPr="00C5200A" w:rsidRDefault="00770B34" w:rsidP="00054A7B">
            <w:pPr>
              <w:spacing w:before="240"/>
              <w:rPr>
                <w:spacing w:val="-2"/>
                <w:sz w:val="16"/>
                <w:szCs w:val="16"/>
              </w:rPr>
            </w:pPr>
            <w:r w:rsidRPr="00C5200A">
              <w:rPr>
                <w:spacing w:val="-2"/>
                <w:sz w:val="16"/>
                <w:szCs w:val="16"/>
                <w:lang w:val="fr-FR"/>
              </w:rPr>
              <w:t>2018</w:t>
            </w:r>
          </w:p>
        </w:tc>
        <w:tc>
          <w:tcPr>
            <w:tcW w:w="1411" w:type="dxa"/>
          </w:tcPr>
          <w:p w14:paraId="4EDA8CCB" w14:textId="77777777" w:rsidR="00770B34" w:rsidRPr="00C5200A" w:rsidRDefault="00770B34" w:rsidP="00054A7B">
            <w:pPr>
              <w:spacing w:before="240"/>
              <w:rPr>
                <w:spacing w:val="-2"/>
                <w:sz w:val="16"/>
                <w:szCs w:val="16"/>
              </w:rPr>
            </w:pPr>
          </w:p>
        </w:tc>
      </w:tr>
    </w:tbl>
    <w:p w14:paraId="67FA40C7" w14:textId="0587FB80" w:rsidR="00770B34" w:rsidRPr="00897B41" w:rsidRDefault="009947FA" w:rsidP="009947FA">
      <w:pPr>
        <w:spacing w:before="240"/>
        <w:jc w:val="center"/>
      </w:pPr>
      <w:r>
        <w:rPr>
          <w:lang w:val="fr-FR"/>
        </w:rPr>
        <w:t>_______________</w:t>
      </w:r>
    </w:p>
    <w:sectPr w:rsidR="00770B34" w:rsidRPr="00897B41" w:rsidSect="0020095E">
      <w:headerReference w:type="even" r:id="rId54"/>
      <w:headerReference w:type="default" r:id="rId55"/>
      <w:headerReference w:type="first" r:id="rId5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1AC4" w14:textId="77777777" w:rsidR="0039406D" w:rsidRDefault="0039406D">
      <w:r>
        <w:separator/>
      </w:r>
    </w:p>
    <w:p w14:paraId="40C1B203" w14:textId="77777777" w:rsidR="0039406D" w:rsidRDefault="0039406D"/>
    <w:p w14:paraId="61D6EAA4" w14:textId="77777777" w:rsidR="0039406D" w:rsidRDefault="0039406D"/>
  </w:endnote>
  <w:endnote w:type="continuationSeparator" w:id="0">
    <w:p w14:paraId="18604DAD" w14:textId="77777777" w:rsidR="0039406D" w:rsidRDefault="0039406D">
      <w:r>
        <w:continuationSeparator/>
      </w:r>
    </w:p>
    <w:p w14:paraId="41909CFF" w14:textId="77777777" w:rsidR="0039406D" w:rsidRDefault="0039406D"/>
    <w:p w14:paraId="63E3B07C" w14:textId="77777777" w:rsidR="0039406D" w:rsidRDefault="0039406D"/>
  </w:endnote>
  <w:endnote w:type="continuationNotice" w:id="1">
    <w:p w14:paraId="7ACD6C27" w14:textId="77777777" w:rsidR="0039406D" w:rsidRDefault="0039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C068" w14:textId="77777777" w:rsidR="0039406D" w:rsidRDefault="0039406D">
      <w:r>
        <w:separator/>
      </w:r>
    </w:p>
  </w:footnote>
  <w:footnote w:type="continuationSeparator" w:id="0">
    <w:p w14:paraId="4D44E832" w14:textId="77777777" w:rsidR="0039406D" w:rsidRDefault="0039406D">
      <w:r>
        <w:continuationSeparator/>
      </w:r>
    </w:p>
    <w:p w14:paraId="678C9CEE" w14:textId="77777777" w:rsidR="0039406D" w:rsidRDefault="0039406D"/>
    <w:p w14:paraId="186D3D57" w14:textId="77777777" w:rsidR="0039406D" w:rsidRDefault="0039406D"/>
  </w:footnote>
  <w:footnote w:type="continuationNotice" w:id="1">
    <w:p w14:paraId="1E874B4F" w14:textId="77777777" w:rsidR="0039406D" w:rsidRDefault="0039406D"/>
  </w:footnote>
  <w:footnote w:id="2">
    <w:p w14:paraId="0F43124A" w14:textId="77777777" w:rsidR="00770B34" w:rsidRPr="005B5B85" w:rsidRDefault="00770B34" w:rsidP="00770B34">
      <w:pPr>
        <w:pStyle w:val="FootnoteText"/>
        <w:rPr>
          <w:sz w:val="16"/>
          <w:szCs w:val="16"/>
          <w:lang w:val="fr-FR"/>
        </w:rPr>
      </w:pPr>
      <w:r w:rsidRPr="005B5B85">
        <w:rPr>
          <w:rStyle w:val="FootnoteReference"/>
          <w:sz w:val="16"/>
          <w:szCs w:val="16"/>
          <w:lang w:val="fr-FR"/>
        </w:rPr>
        <w:footnoteRef/>
      </w:r>
      <w:r w:rsidRPr="005B5B85">
        <w:rPr>
          <w:sz w:val="16"/>
          <w:szCs w:val="16"/>
          <w:lang w:val="fr-FR"/>
        </w:rPr>
        <w:t xml:space="preserve"> Comme cela est précisé dans la norme ISO 9001:2015, Systèmes de management de la qualité – section 0.2, Exigences.</w:t>
      </w:r>
    </w:p>
  </w:footnote>
  <w:footnote w:id="3">
    <w:p w14:paraId="1B216BF7" w14:textId="1300608F" w:rsidR="00770B34" w:rsidRPr="00444EFB" w:rsidRDefault="00770B34" w:rsidP="00770B34">
      <w:pPr>
        <w:pStyle w:val="FootnoteText"/>
        <w:rPr>
          <w:sz w:val="16"/>
          <w:szCs w:val="16"/>
          <w:lang w:val="fr-FR"/>
        </w:rPr>
      </w:pPr>
      <w:r w:rsidRPr="00444EFB">
        <w:rPr>
          <w:rStyle w:val="FootnoteReference"/>
          <w:sz w:val="16"/>
          <w:szCs w:val="16"/>
          <w:lang w:val="fr-FR"/>
        </w:rPr>
        <w:footnoteRef/>
      </w:r>
      <w:r w:rsidRPr="00444EFB">
        <w:rPr>
          <w:sz w:val="16"/>
          <w:szCs w:val="16"/>
          <w:lang w:val="fr-FR"/>
        </w:rPr>
        <w:t xml:space="preserve"> «SL» est le numéro séquentiel d</w:t>
      </w:r>
      <w:r w:rsidR="005F6019" w:rsidRPr="00444EFB">
        <w:rPr>
          <w:sz w:val="16"/>
          <w:szCs w:val="16"/>
          <w:lang w:val="fr-FR"/>
        </w:rPr>
        <w:t>’</w:t>
      </w:r>
      <w:r w:rsidRPr="00444EFB">
        <w:rPr>
          <w:sz w:val="16"/>
          <w:szCs w:val="16"/>
          <w:lang w:val="fr-FR"/>
        </w:rPr>
        <w:t>une annexe parmi de nombreuses autres faisant partie d</w:t>
      </w:r>
      <w:r w:rsidR="005F6019" w:rsidRPr="00444EFB">
        <w:rPr>
          <w:sz w:val="16"/>
          <w:szCs w:val="16"/>
          <w:lang w:val="fr-FR"/>
        </w:rPr>
        <w:t>’</w:t>
      </w:r>
      <w:r w:rsidRPr="00444EFB">
        <w:rPr>
          <w:sz w:val="16"/>
          <w:szCs w:val="16"/>
          <w:lang w:val="fr-FR"/>
        </w:rPr>
        <w:t>un document intitulé Directives ISO/ Commission électrotechnique internationale (CEI), partie 1, «Supplément ISO consolidé - Procédures spécifiques à l</w:t>
      </w:r>
      <w:r w:rsidR="005F6019" w:rsidRPr="00444EFB">
        <w:rPr>
          <w:sz w:val="16"/>
          <w:szCs w:val="16"/>
          <w:lang w:val="fr-FR"/>
        </w:rPr>
        <w:t>’</w:t>
      </w:r>
      <w:r w:rsidRPr="00444EFB">
        <w:rPr>
          <w:sz w:val="16"/>
          <w:szCs w:val="16"/>
          <w:lang w:val="fr-FR"/>
        </w:rPr>
        <w:t xml:space="preserve">ISO». </w:t>
      </w:r>
    </w:p>
  </w:footnote>
  <w:footnote w:id="4">
    <w:p w14:paraId="6C37965B" w14:textId="5E983B33" w:rsidR="00770B34" w:rsidRPr="0097571E" w:rsidRDefault="00770B34" w:rsidP="00770B34">
      <w:pPr>
        <w:pStyle w:val="FootnoteText"/>
        <w:rPr>
          <w:sz w:val="16"/>
          <w:szCs w:val="16"/>
          <w:lang w:val="fr-FR"/>
        </w:rPr>
      </w:pPr>
      <w:r w:rsidRPr="0097571E">
        <w:rPr>
          <w:rStyle w:val="FootnoteReference"/>
          <w:sz w:val="16"/>
          <w:szCs w:val="16"/>
          <w:lang w:val="fr-FR"/>
        </w:rPr>
        <w:footnoteRef/>
      </w:r>
      <w:r w:rsidRPr="0097571E">
        <w:rPr>
          <w:sz w:val="16"/>
          <w:szCs w:val="16"/>
          <w:lang w:val="fr-FR"/>
        </w:rPr>
        <w:t xml:space="preserve"> Seules les informations qui peuvent faire l</w:t>
      </w:r>
      <w:r w:rsidR="005F6019" w:rsidRPr="0097571E">
        <w:rPr>
          <w:sz w:val="16"/>
          <w:szCs w:val="16"/>
          <w:lang w:val="fr-FR"/>
        </w:rPr>
        <w:t>’</w:t>
      </w:r>
      <w:r w:rsidRPr="0097571E">
        <w:rPr>
          <w:sz w:val="16"/>
          <w:szCs w:val="16"/>
          <w:lang w:val="fr-FR"/>
        </w:rPr>
        <w:t>objet d</w:t>
      </w:r>
      <w:r w:rsidR="005F6019" w:rsidRPr="0097571E">
        <w:rPr>
          <w:sz w:val="16"/>
          <w:szCs w:val="16"/>
          <w:lang w:val="fr-FR"/>
        </w:rPr>
        <w:t>’</w:t>
      </w:r>
      <w:r w:rsidRPr="0097571E">
        <w:rPr>
          <w:sz w:val="16"/>
          <w:szCs w:val="16"/>
          <w:lang w:val="fr-FR"/>
        </w:rPr>
        <w:t>un certain degré de vérification doivent être acceptées comme preuves. Lorsque le degré de vérification est faible, les auditeurs doivent faire appel à leur jugement professionnel pour déterminer le degré de confiance que l</w:t>
      </w:r>
      <w:r w:rsidR="005F6019" w:rsidRPr="0097571E">
        <w:rPr>
          <w:sz w:val="16"/>
          <w:szCs w:val="16"/>
          <w:lang w:val="fr-FR"/>
        </w:rPr>
        <w:t>’</w:t>
      </w:r>
      <w:r w:rsidRPr="0097571E">
        <w:rPr>
          <w:sz w:val="16"/>
          <w:szCs w:val="16"/>
          <w:lang w:val="fr-FR"/>
        </w:rPr>
        <w:t>on peut lui accorder en tant qu</w:t>
      </w:r>
      <w:r w:rsidR="005F6019" w:rsidRPr="0097571E">
        <w:rPr>
          <w:sz w:val="16"/>
          <w:szCs w:val="16"/>
          <w:lang w:val="fr-FR"/>
        </w:rPr>
        <w:t>’</w:t>
      </w:r>
      <w:r w:rsidRPr="0097571E">
        <w:rPr>
          <w:sz w:val="16"/>
          <w:szCs w:val="16"/>
          <w:lang w:val="fr-FR"/>
        </w:rPr>
        <w:t>élément probant. Les documents obsolètes ne sont pas acceptables. Les documents sont signés par l</w:t>
      </w:r>
      <w:r w:rsidR="005F6019" w:rsidRPr="0097571E">
        <w:rPr>
          <w:sz w:val="16"/>
          <w:szCs w:val="16"/>
          <w:lang w:val="fr-FR"/>
        </w:rPr>
        <w:t>’</w:t>
      </w:r>
      <w:r w:rsidRPr="0097571E">
        <w:rPr>
          <w:sz w:val="16"/>
          <w:szCs w:val="16"/>
          <w:lang w:val="fr-FR"/>
        </w:rPr>
        <w:t>autorité compétente.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4E0" w14:textId="77777777" w:rsidR="002B7375" w:rsidRDefault="00B36F3C">
    <w:pPr>
      <w:pStyle w:val="Header"/>
    </w:pPr>
    <w:r>
      <w:rPr>
        <w:noProof/>
      </w:rPr>
      <w:pict w14:anchorId="7B895D9C">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91378">
        <v:shape id="_x0000_s2065" type="#_x0000_m209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1B4625" w14:textId="77777777" w:rsidR="00E81AD2" w:rsidRDefault="00E81AD2"/>
  <w:p w14:paraId="2C5EBB15" w14:textId="77777777" w:rsidR="002B7375" w:rsidRDefault="00B36F3C">
    <w:pPr>
      <w:pStyle w:val="Header"/>
    </w:pPr>
    <w:r>
      <w:rPr>
        <w:noProof/>
      </w:rPr>
      <w:pict w14:anchorId="25CCCEB8">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232071">
        <v:shape id="_x0000_s2067" type="#_x0000_m209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3BCC9A" w14:textId="77777777" w:rsidR="00E81AD2" w:rsidRDefault="00E81AD2"/>
  <w:p w14:paraId="1624FDB9" w14:textId="77777777" w:rsidR="002B7375" w:rsidRDefault="00B36F3C">
    <w:pPr>
      <w:pStyle w:val="Header"/>
    </w:pPr>
    <w:r>
      <w:rPr>
        <w:noProof/>
      </w:rPr>
      <w:pict w14:anchorId="07A0605A">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9D133F">
        <v:shape id="_x0000_s2069" type="#_x0000_m209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084A" w14:textId="750E51F6" w:rsidR="00770B34" w:rsidRPr="005F6019" w:rsidRDefault="00BF1B6E" w:rsidP="00BF1B6E">
    <w:pPr>
      <w:pStyle w:val="Header"/>
      <w:rPr>
        <w:sz w:val="18"/>
        <w:szCs w:val="18"/>
      </w:rPr>
    </w:pPr>
    <w:r w:rsidRPr="005F6019">
      <w:rPr>
        <w:sz w:val="18"/>
        <w:szCs w:val="18"/>
      </w:rPr>
      <w:t>SERCOM-2/INF. 5.5(1</w:t>
    </w:r>
    <w:r w:rsidR="001D0CF0" w:rsidRPr="005F6019">
      <w:rPr>
        <w:sz w:val="18"/>
        <w:szCs w:val="18"/>
        <w:lang w:val="en-CH"/>
      </w:rPr>
      <w:t>a</w:t>
    </w:r>
    <w:r w:rsidRPr="005F6019">
      <w:rPr>
        <w:sz w:val="18"/>
        <w:szCs w:val="18"/>
      </w:rPr>
      <w:t xml:space="preserve">), p. </w:t>
    </w:r>
    <w:r w:rsidRPr="005F6019">
      <w:rPr>
        <w:rStyle w:val="PageNumber"/>
        <w:sz w:val="18"/>
        <w:szCs w:val="18"/>
      </w:rPr>
      <w:fldChar w:fldCharType="begin"/>
    </w:r>
    <w:r w:rsidRPr="005F6019">
      <w:rPr>
        <w:rStyle w:val="PageNumber"/>
        <w:sz w:val="18"/>
        <w:szCs w:val="18"/>
      </w:rPr>
      <w:instrText xml:space="preserve"> PAGE </w:instrText>
    </w:r>
    <w:r w:rsidRPr="005F6019">
      <w:rPr>
        <w:rStyle w:val="PageNumber"/>
        <w:sz w:val="18"/>
        <w:szCs w:val="18"/>
      </w:rPr>
      <w:fldChar w:fldCharType="separate"/>
    </w:r>
    <w:r w:rsidRPr="005F6019">
      <w:rPr>
        <w:rStyle w:val="PageNumber"/>
        <w:sz w:val="18"/>
        <w:szCs w:val="18"/>
      </w:rPr>
      <w:t>2</w:t>
    </w:r>
    <w:r w:rsidRPr="005F6019">
      <w:rPr>
        <w:rStyle w:val="PageNumber"/>
        <w:sz w:val="18"/>
        <w:szCs w:val="18"/>
      </w:rPr>
      <w:fldChar w:fldCharType="end"/>
    </w:r>
    <w:r w:rsidR="00B36F3C" w:rsidRPr="005F6019">
      <w:rPr>
        <w:sz w:val="18"/>
        <w:szCs w:val="18"/>
      </w:rPr>
      <w:pict w14:anchorId="5AF81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6192;visibility:hidden;mso-position-horizontal-relative:text;mso-position-vertical-relative:text">
          <v:path gradientshapeok="f"/>
          <o:lock v:ext="edit" selection="t"/>
        </v:shape>
      </w:pict>
    </w:r>
    <w:r w:rsidR="00B36F3C" w:rsidRPr="005F6019">
      <w:rPr>
        <w:sz w:val="18"/>
        <w:szCs w:val="18"/>
      </w:rPr>
      <w:pict w14:anchorId="5F5DC4C5">
        <v:shape id="_x0000_s2091"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9179" w14:textId="2CF197AA" w:rsidR="002B7375" w:rsidRDefault="00B36F3C" w:rsidP="00EA0457">
    <w:pPr>
      <w:pStyle w:val="Header"/>
      <w:spacing w:after="120"/>
      <w:jc w:val="left"/>
    </w:pPr>
    <w:r>
      <w:pict w14:anchorId="1EEFD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58240;visibility:hidden">
          <v:path gradientshapeok="f"/>
          <o:lock v:ext="edit" selection="t"/>
        </v:shape>
      </w:pict>
    </w:r>
    <w:r>
      <w:pict w14:anchorId="4F9F1711">
        <v:shape id="_x0000_s2089" type="#_x0000_t75" style="position:absolute;margin-left:0;margin-top:0;width:50pt;height:50pt;z-index:251659264;visibility:hidden">
          <v:path gradientshapeok="f"/>
          <o:lock v:ext="edit" selection="t"/>
        </v:shape>
      </w:pict>
    </w:r>
    <w:r>
      <w:pict w14:anchorId="57ED1C4C">
        <v:shape id="_x0000_s2088" type="#_x0000_t75" style="position:absolute;margin-left:0;margin-top:0;width:50pt;height:50pt;z-index:25166028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1E43" w14:textId="77777777" w:rsidR="002B7375" w:rsidRDefault="00B36F3C">
    <w:pPr>
      <w:pStyle w:val="Header"/>
    </w:pPr>
    <w:r>
      <w:rPr>
        <w:noProof/>
      </w:rPr>
      <w:pict w14:anchorId="0B1B410D">
        <v:shapetype id="_x0000_m2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9B4167">
        <v:shape id="_x0000_s2049" type="#_x0000_m2095"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42BF50" w14:textId="77777777" w:rsidR="00E81AD2" w:rsidRDefault="00E81AD2"/>
  <w:p w14:paraId="57B24B22" w14:textId="77777777" w:rsidR="002B7375" w:rsidRDefault="00B36F3C">
    <w:pPr>
      <w:pStyle w:val="Header"/>
    </w:pPr>
    <w:r>
      <w:rPr>
        <w:noProof/>
      </w:rPr>
      <w:pict w14:anchorId="7228D04D">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CC098B">
        <v:shape id="_x0000_s2051" type="#_x0000_m2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F946EB" w14:textId="77777777" w:rsidR="00E81AD2" w:rsidRDefault="00E81AD2"/>
  <w:p w14:paraId="0F2290F9" w14:textId="77777777" w:rsidR="002B7375" w:rsidRDefault="00B36F3C">
    <w:pPr>
      <w:pStyle w:val="Header"/>
    </w:pPr>
    <w:r>
      <w:rPr>
        <w:noProof/>
      </w:rPr>
      <w:pict w14:anchorId="0896DECF">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EE5F5A">
        <v:shape id="_x0000_s2053" type="#_x0000_m2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45C" w14:textId="6213A5AE" w:rsidR="00A432CD" w:rsidRPr="00AB6594" w:rsidRDefault="00AB6594" w:rsidP="00AB6594">
    <w:pPr>
      <w:pStyle w:val="Header"/>
    </w:pPr>
    <w:r>
      <w:t>SERCOM-2/INF. 5.5(1</w:t>
    </w:r>
    <w:r>
      <w:rPr>
        <w:lang w:val="en-CH"/>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8000" behindDoc="0" locked="0" layoutInCell="1" allowOverlap="1" wp14:anchorId="561A48EE" wp14:editId="6BDB97E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4"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FCC8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o:lock v:ext="edit" selection="t" aspectratio="t"/>
            </v:rect>
          </w:pict>
        </mc:Fallback>
      </mc:AlternateContent>
    </w:r>
    <w:r>
      <w:rPr>
        <w:noProof/>
      </w:rPr>
      <mc:AlternateContent>
        <mc:Choice Requires="wps">
          <w:drawing>
            <wp:anchor distT="0" distB="0" distL="114300" distR="114300" simplePos="0" relativeHeight="251649024" behindDoc="0" locked="0" layoutInCell="1" allowOverlap="1" wp14:anchorId="496CAE3F" wp14:editId="293E8F9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3"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F1E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o:lock v:ext="edit" selection="t" aspectratio="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463D" w14:textId="5C4DDF7A" w:rsidR="002B7375" w:rsidRDefault="00AB6594">
    <w:pPr>
      <w:pStyle w:val="Header"/>
    </w:pPr>
    <w:r>
      <w:t>SERCOM-2/INF. 5.5(1</w:t>
    </w:r>
    <w:r>
      <w:rPr>
        <w:lang w:val="en-CH"/>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w:rPr>
        <w:noProof/>
      </w:rPr>
      <mc:AlternateContent>
        <mc:Choice Requires="wps">
          <w:drawing>
            <wp:anchor distT="0" distB="0" distL="114300" distR="114300" simplePos="0" relativeHeight="251645952" behindDoc="0" locked="0" layoutInCell="1" allowOverlap="1" wp14:anchorId="51DCFC7E" wp14:editId="2A40CDA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74F5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o:lock v:ext="edit" selection="t" aspectratio="t"/>
            </v:rect>
          </w:pict>
        </mc:Fallback>
      </mc:AlternateContent>
    </w:r>
    <w:r>
      <w:rPr>
        <w:noProof/>
      </w:rPr>
      <mc:AlternateContent>
        <mc:Choice Requires="wps">
          <w:drawing>
            <wp:anchor distT="0" distB="0" distL="114300" distR="114300" simplePos="0" relativeHeight="251646976" behindDoc="0" locked="0" layoutInCell="1" allowOverlap="1" wp14:anchorId="25CF576D" wp14:editId="4CDA927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C08F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o:lock v:ext="edit" selection="t" aspectratio="t"/>
            </v:rect>
          </w:pict>
        </mc:Fallback>
      </mc:AlternateContent>
    </w:r>
    <w:r w:rsidR="00B36F3C">
      <w:pict w14:anchorId="5FC1E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61312;visibility:hidden;mso-position-horizontal-relative:text;mso-position-vertical-relative:text">
          <v:path gradientshapeok="f"/>
          <o:lock v:ext="edit" selection="t"/>
        </v:shape>
      </w:pict>
    </w:r>
    <w:r w:rsidR="00B36F3C">
      <w:pict w14:anchorId="13552300">
        <v:shape id="_x0000_s2081" type="#_x0000_t75" style="position:absolute;left:0;text-align:left;margin-left:0;margin-top:0;width:50pt;height:50pt;z-index:251662336;visibility:hidden;mso-position-horizontal-relative:text;mso-position-vertical-relative:text">
          <v:path gradientshapeok="f"/>
          <o:lock v:ext="edit" selection="t"/>
        </v:shape>
      </w:pict>
    </w:r>
    <w:r w:rsidR="00B36F3C">
      <w:pict w14:anchorId="7AA991B3">
        <v:shape id="_x0000_s2080" type="#_x0000_t75" style="position:absolute;left:0;text-align:left;margin-left:0;margin-top:0;width:50pt;height:50pt;z-index:25166336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58"/>
    <w:multiLevelType w:val="hybridMultilevel"/>
    <w:tmpl w:val="A254E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1D4EAC"/>
    <w:multiLevelType w:val="hybridMultilevel"/>
    <w:tmpl w:val="6BAC12E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CD632A7"/>
    <w:multiLevelType w:val="multilevel"/>
    <w:tmpl w:val="D7880E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E41085F"/>
    <w:multiLevelType w:val="hybridMultilevel"/>
    <w:tmpl w:val="B8B6C0F0"/>
    <w:lvl w:ilvl="0" w:tplc="CE2AA058">
      <w:numFmt w:val="bullet"/>
      <w:lvlText w:val="—"/>
      <w:lvlJc w:val="left"/>
      <w:pPr>
        <w:ind w:left="1077" w:hanging="360"/>
      </w:pPr>
      <w:rPr>
        <w:rFonts w:ascii="Verdana" w:eastAsia="Arial" w:hAnsi="Verdana" w:cs="Aria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0A6543C"/>
    <w:multiLevelType w:val="hybridMultilevel"/>
    <w:tmpl w:val="D91EDC24"/>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362AA"/>
    <w:multiLevelType w:val="hybridMultilevel"/>
    <w:tmpl w:val="BFDE55C2"/>
    <w:lvl w:ilvl="0" w:tplc="CE2AA058">
      <w:numFmt w:val="bullet"/>
      <w:lvlText w:val="—"/>
      <w:lvlJc w:val="left"/>
      <w:pPr>
        <w:ind w:left="720" w:hanging="360"/>
      </w:pPr>
      <w:rPr>
        <w:rFonts w:ascii="Verdana" w:eastAsia="Arial" w:hAnsi="Verdan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842A71"/>
    <w:multiLevelType w:val="hybridMultilevel"/>
    <w:tmpl w:val="20DC0BC6"/>
    <w:lvl w:ilvl="0" w:tplc="C40A4EB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E910C49"/>
    <w:multiLevelType w:val="hybridMultilevel"/>
    <w:tmpl w:val="32D22B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A0D103B"/>
    <w:multiLevelType w:val="hybridMultilevel"/>
    <w:tmpl w:val="BA76CC74"/>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4CDE131A"/>
    <w:multiLevelType w:val="hybridMultilevel"/>
    <w:tmpl w:val="F0C2D8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536351C"/>
    <w:multiLevelType w:val="hybridMultilevel"/>
    <w:tmpl w:val="2796E994"/>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97072D1"/>
    <w:multiLevelType w:val="hybridMultilevel"/>
    <w:tmpl w:val="B56449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A6108FD"/>
    <w:multiLevelType w:val="hybridMultilevel"/>
    <w:tmpl w:val="39C0EF2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B6E6A"/>
    <w:multiLevelType w:val="hybridMultilevel"/>
    <w:tmpl w:val="2CFE829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61EC67FA"/>
    <w:multiLevelType w:val="hybridMultilevel"/>
    <w:tmpl w:val="D7DCCC06"/>
    <w:lvl w:ilvl="0" w:tplc="100C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15:restartNumberingAfterBreak="0">
    <w:nsid w:val="647E008F"/>
    <w:multiLevelType w:val="hybridMultilevel"/>
    <w:tmpl w:val="A630074C"/>
    <w:lvl w:ilvl="0" w:tplc="2000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9022B1"/>
    <w:multiLevelType w:val="hybridMultilevel"/>
    <w:tmpl w:val="38DE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36579"/>
    <w:multiLevelType w:val="hybridMultilevel"/>
    <w:tmpl w:val="644C49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04B4EC6"/>
    <w:multiLevelType w:val="multilevel"/>
    <w:tmpl w:val="DF52D2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354904">
    <w:abstractNumId w:val="18"/>
  </w:num>
  <w:num w:numId="2" w16cid:durableId="1557668194">
    <w:abstractNumId w:val="16"/>
  </w:num>
  <w:num w:numId="3" w16cid:durableId="405806003">
    <w:abstractNumId w:val="1"/>
  </w:num>
  <w:num w:numId="4" w16cid:durableId="972293745">
    <w:abstractNumId w:val="2"/>
  </w:num>
  <w:num w:numId="5" w16cid:durableId="1554464466">
    <w:abstractNumId w:val="0"/>
  </w:num>
  <w:num w:numId="6" w16cid:durableId="1018117153">
    <w:abstractNumId w:val="8"/>
  </w:num>
  <w:num w:numId="7" w16cid:durableId="721490786">
    <w:abstractNumId w:val="7"/>
  </w:num>
  <w:num w:numId="8" w16cid:durableId="1865904425">
    <w:abstractNumId w:val="15"/>
  </w:num>
  <w:num w:numId="9" w16cid:durableId="29653023">
    <w:abstractNumId w:val="12"/>
  </w:num>
  <w:num w:numId="10" w16cid:durableId="860821312">
    <w:abstractNumId w:val="9"/>
  </w:num>
  <w:num w:numId="11" w16cid:durableId="251160560">
    <w:abstractNumId w:val="11"/>
  </w:num>
  <w:num w:numId="12" w16cid:durableId="13309209">
    <w:abstractNumId w:val="6"/>
  </w:num>
  <w:num w:numId="13" w16cid:durableId="1677801122">
    <w:abstractNumId w:val="17"/>
  </w:num>
  <w:num w:numId="14" w16cid:durableId="1877426953">
    <w:abstractNumId w:val="5"/>
  </w:num>
  <w:num w:numId="15" w16cid:durableId="350839485">
    <w:abstractNumId w:val="3"/>
  </w:num>
  <w:num w:numId="16" w16cid:durableId="1527602221">
    <w:abstractNumId w:val="14"/>
  </w:num>
  <w:num w:numId="17" w16cid:durableId="1189879500">
    <w:abstractNumId w:val="13"/>
  </w:num>
  <w:num w:numId="18" w16cid:durableId="1587961437">
    <w:abstractNumId w:val="4"/>
  </w:num>
  <w:num w:numId="19" w16cid:durableId="123393179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9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cysTAxNzKzNLRQ0lEKTi0uzszPAykwrAUAeSxLuiwAAAA="/>
  </w:docVars>
  <w:rsids>
    <w:rsidRoot w:val="00041764"/>
    <w:rsid w:val="00005301"/>
    <w:rsid w:val="00010A5C"/>
    <w:rsid w:val="00012937"/>
    <w:rsid w:val="000133EE"/>
    <w:rsid w:val="000206A8"/>
    <w:rsid w:val="00027205"/>
    <w:rsid w:val="0003137A"/>
    <w:rsid w:val="00040C6E"/>
    <w:rsid w:val="00041171"/>
    <w:rsid w:val="00041727"/>
    <w:rsid w:val="00041764"/>
    <w:rsid w:val="0004226F"/>
    <w:rsid w:val="00050F8E"/>
    <w:rsid w:val="000518BB"/>
    <w:rsid w:val="00052518"/>
    <w:rsid w:val="00054A7B"/>
    <w:rsid w:val="00056FD4"/>
    <w:rsid w:val="000573AD"/>
    <w:rsid w:val="0006123B"/>
    <w:rsid w:val="00064F6B"/>
    <w:rsid w:val="00071363"/>
    <w:rsid w:val="00071CA9"/>
    <w:rsid w:val="00072F17"/>
    <w:rsid w:val="0007304C"/>
    <w:rsid w:val="000731AA"/>
    <w:rsid w:val="000806D8"/>
    <w:rsid w:val="00082C80"/>
    <w:rsid w:val="00083847"/>
    <w:rsid w:val="00083C36"/>
    <w:rsid w:val="00084D58"/>
    <w:rsid w:val="00085524"/>
    <w:rsid w:val="00092CAE"/>
    <w:rsid w:val="00095E48"/>
    <w:rsid w:val="000A4F1C"/>
    <w:rsid w:val="000A69BF"/>
    <w:rsid w:val="000B2732"/>
    <w:rsid w:val="000C225A"/>
    <w:rsid w:val="000C36FF"/>
    <w:rsid w:val="000C6781"/>
    <w:rsid w:val="000C7AE4"/>
    <w:rsid w:val="000D0753"/>
    <w:rsid w:val="000D3111"/>
    <w:rsid w:val="000F5E49"/>
    <w:rsid w:val="000F7A87"/>
    <w:rsid w:val="00102EAE"/>
    <w:rsid w:val="001047DC"/>
    <w:rsid w:val="00105D2E"/>
    <w:rsid w:val="00111BFD"/>
    <w:rsid w:val="0011498B"/>
    <w:rsid w:val="001170E3"/>
    <w:rsid w:val="00120147"/>
    <w:rsid w:val="00123140"/>
    <w:rsid w:val="00123D94"/>
    <w:rsid w:val="00130BBC"/>
    <w:rsid w:val="00133D13"/>
    <w:rsid w:val="00150DBD"/>
    <w:rsid w:val="00156F9B"/>
    <w:rsid w:val="00163BA3"/>
    <w:rsid w:val="00166B31"/>
    <w:rsid w:val="00167D54"/>
    <w:rsid w:val="00174C48"/>
    <w:rsid w:val="001754DE"/>
    <w:rsid w:val="00176AB5"/>
    <w:rsid w:val="00180771"/>
    <w:rsid w:val="00190854"/>
    <w:rsid w:val="001914F7"/>
    <w:rsid w:val="001930A3"/>
    <w:rsid w:val="00196EB8"/>
    <w:rsid w:val="001A25F0"/>
    <w:rsid w:val="001A341E"/>
    <w:rsid w:val="001B0EA6"/>
    <w:rsid w:val="001B1CDF"/>
    <w:rsid w:val="001B2EC4"/>
    <w:rsid w:val="001B478E"/>
    <w:rsid w:val="001B56F4"/>
    <w:rsid w:val="001B651F"/>
    <w:rsid w:val="001C4606"/>
    <w:rsid w:val="001C5462"/>
    <w:rsid w:val="001C7632"/>
    <w:rsid w:val="001D0CF0"/>
    <w:rsid w:val="001D265C"/>
    <w:rsid w:val="001D3062"/>
    <w:rsid w:val="001D3CFB"/>
    <w:rsid w:val="001D559B"/>
    <w:rsid w:val="001D6302"/>
    <w:rsid w:val="001E2C22"/>
    <w:rsid w:val="001E740C"/>
    <w:rsid w:val="001E7DD0"/>
    <w:rsid w:val="001F18A7"/>
    <w:rsid w:val="001F1BDA"/>
    <w:rsid w:val="0020095E"/>
    <w:rsid w:val="00210BFE"/>
    <w:rsid w:val="00210D30"/>
    <w:rsid w:val="002204FD"/>
    <w:rsid w:val="00221020"/>
    <w:rsid w:val="00227029"/>
    <w:rsid w:val="002308B5"/>
    <w:rsid w:val="00233C0B"/>
    <w:rsid w:val="00234A34"/>
    <w:rsid w:val="00250A0A"/>
    <w:rsid w:val="0025255D"/>
    <w:rsid w:val="00255EE3"/>
    <w:rsid w:val="00256B3D"/>
    <w:rsid w:val="0026743C"/>
    <w:rsid w:val="00270480"/>
    <w:rsid w:val="002779AF"/>
    <w:rsid w:val="002823D8"/>
    <w:rsid w:val="00283ECF"/>
    <w:rsid w:val="002840FF"/>
    <w:rsid w:val="0028531A"/>
    <w:rsid w:val="00285446"/>
    <w:rsid w:val="00290082"/>
    <w:rsid w:val="00295593"/>
    <w:rsid w:val="002A354F"/>
    <w:rsid w:val="002A386C"/>
    <w:rsid w:val="002B09DF"/>
    <w:rsid w:val="002B540D"/>
    <w:rsid w:val="002B5573"/>
    <w:rsid w:val="002B735B"/>
    <w:rsid w:val="002B7375"/>
    <w:rsid w:val="002B7A7E"/>
    <w:rsid w:val="002C30BC"/>
    <w:rsid w:val="002C5965"/>
    <w:rsid w:val="002C5E15"/>
    <w:rsid w:val="002C7A88"/>
    <w:rsid w:val="002C7AB9"/>
    <w:rsid w:val="002D232B"/>
    <w:rsid w:val="002D2759"/>
    <w:rsid w:val="002D5E00"/>
    <w:rsid w:val="002D6DAC"/>
    <w:rsid w:val="002D6EEE"/>
    <w:rsid w:val="002E261D"/>
    <w:rsid w:val="002E3FAD"/>
    <w:rsid w:val="002E4E16"/>
    <w:rsid w:val="002F11D0"/>
    <w:rsid w:val="002F1568"/>
    <w:rsid w:val="002F6DAC"/>
    <w:rsid w:val="00301E8C"/>
    <w:rsid w:val="00307DDD"/>
    <w:rsid w:val="003143C9"/>
    <w:rsid w:val="003146E9"/>
    <w:rsid w:val="00314D5D"/>
    <w:rsid w:val="00320009"/>
    <w:rsid w:val="0032424A"/>
    <w:rsid w:val="003245D3"/>
    <w:rsid w:val="003307A4"/>
    <w:rsid w:val="00330AA3"/>
    <w:rsid w:val="00331584"/>
    <w:rsid w:val="00331964"/>
    <w:rsid w:val="00334987"/>
    <w:rsid w:val="003377EE"/>
    <w:rsid w:val="00340C69"/>
    <w:rsid w:val="00342E34"/>
    <w:rsid w:val="003523E8"/>
    <w:rsid w:val="00371CF1"/>
    <w:rsid w:val="0037222D"/>
    <w:rsid w:val="00373128"/>
    <w:rsid w:val="003750C1"/>
    <w:rsid w:val="00376D85"/>
    <w:rsid w:val="0038051E"/>
    <w:rsid w:val="00380AF7"/>
    <w:rsid w:val="0039406D"/>
    <w:rsid w:val="00394A05"/>
    <w:rsid w:val="00397770"/>
    <w:rsid w:val="00397880"/>
    <w:rsid w:val="003A2D7D"/>
    <w:rsid w:val="003A7016"/>
    <w:rsid w:val="003B0C08"/>
    <w:rsid w:val="003B73CB"/>
    <w:rsid w:val="003C17A5"/>
    <w:rsid w:val="003C1843"/>
    <w:rsid w:val="003D1552"/>
    <w:rsid w:val="003E2EFA"/>
    <w:rsid w:val="003E381F"/>
    <w:rsid w:val="003E4046"/>
    <w:rsid w:val="003F003A"/>
    <w:rsid w:val="003F125B"/>
    <w:rsid w:val="003F4FB8"/>
    <w:rsid w:val="003F7B3F"/>
    <w:rsid w:val="004058AD"/>
    <w:rsid w:val="0041078D"/>
    <w:rsid w:val="004120D6"/>
    <w:rsid w:val="00413FB9"/>
    <w:rsid w:val="00416F97"/>
    <w:rsid w:val="00425173"/>
    <w:rsid w:val="0043039B"/>
    <w:rsid w:val="00436197"/>
    <w:rsid w:val="004423FE"/>
    <w:rsid w:val="00444EFB"/>
    <w:rsid w:val="00445C35"/>
    <w:rsid w:val="004541B3"/>
    <w:rsid w:val="00454B41"/>
    <w:rsid w:val="0045663A"/>
    <w:rsid w:val="00460EFE"/>
    <w:rsid w:val="0046344E"/>
    <w:rsid w:val="0046400A"/>
    <w:rsid w:val="004667E7"/>
    <w:rsid w:val="004672CF"/>
    <w:rsid w:val="004709AF"/>
    <w:rsid w:val="00470DEF"/>
    <w:rsid w:val="00475797"/>
    <w:rsid w:val="00476D0A"/>
    <w:rsid w:val="00491024"/>
    <w:rsid w:val="0049253B"/>
    <w:rsid w:val="004A140B"/>
    <w:rsid w:val="004A1A67"/>
    <w:rsid w:val="004A4B47"/>
    <w:rsid w:val="004B0EC9"/>
    <w:rsid w:val="004B7BAA"/>
    <w:rsid w:val="004C2DF7"/>
    <w:rsid w:val="004C41FA"/>
    <w:rsid w:val="004C4E0B"/>
    <w:rsid w:val="004D3B1D"/>
    <w:rsid w:val="004D497E"/>
    <w:rsid w:val="004E4809"/>
    <w:rsid w:val="004E4CC3"/>
    <w:rsid w:val="004E5985"/>
    <w:rsid w:val="004E5EEA"/>
    <w:rsid w:val="004E6352"/>
    <w:rsid w:val="004E6460"/>
    <w:rsid w:val="004F6284"/>
    <w:rsid w:val="004F6B46"/>
    <w:rsid w:val="0050425E"/>
    <w:rsid w:val="00511999"/>
    <w:rsid w:val="005145D6"/>
    <w:rsid w:val="00521EA5"/>
    <w:rsid w:val="00525B80"/>
    <w:rsid w:val="0053098F"/>
    <w:rsid w:val="00536B2E"/>
    <w:rsid w:val="00540FA2"/>
    <w:rsid w:val="00546D8E"/>
    <w:rsid w:val="00553092"/>
    <w:rsid w:val="00553738"/>
    <w:rsid w:val="00553F7E"/>
    <w:rsid w:val="0056152A"/>
    <w:rsid w:val="0056646F"/>
    <w:rsid w:val="00571AE1"/>
    <w:rsid w:val="00573D2D"/>
    <w:rsid w:val="00574743"/>
    <w:rsid w:val="00581B28"/>
    <w:rsid w:val="005859C2"/>
    <w:rsid w:val="00592267"/>
    <w:rsid w:val="0059421F"/>
    <w:rsid w:val="005A0C91"/>
    <w:rsid w:val="005A0D41"/>
    <w:rsid w:val="005A136D"/>
    <w:rsid w:val="005B0AE2"/>
    <w:rsid w:val="005B1F2C"/>
    <w:rsid w:val="005B5B85"/>
    <w:rsid w:val="005B5F3C"/>
    <w:rsid w:val="005B7505"/>
    <w:rsid w:val="005C41F2"/>
    <w:rsid w:val="005D03D9"/>
    <w:rsid w:val="005D1EE8"/>
    <w:rsid w:val="005D2039"/>
    <w:rsid w:val="005D5430"/>
    <w:rsid w:val="005D56AE"/>
    <w:rsid w:val="005D666D"/>
    <w:rsid w:val="005E3A59"/>
    <w:rsid w:val="005F58B1"/>
    <w:rsid w:val="005F6019"/>
    <w:rsid w:val="00604802"/>
    <w:rsid w:val="00615AB0"/>
    <w:rsid w:val="00616247"/>
    <w:rsid w:val="0061778C"/>
    <w:rsid w:val="00620E4F"/>
    <w:rsid w:val="00636B90"/>
    <w:rsid w:val="0064738B"/>
    <w:rsid w:val="006508EA"/>
    <w:rsid w:val="00667E86"/>
    <w:rsid w:val="0068382D"/>
    <w:rsid w:val="0068392D"/>
    <w:rsid w:val="00697DB5"/>
    <w:rsid w:val="006A1B33"/>
    <w:rsid w:val="006A492A"/>
    <w:rsid w:val="006A7480"/>
    <w:rsid w:val="006B5C72"/>
    <w:rsid w:val="006B7C5A"/>
    <w:rsid w:val="006C289D"/>
    <w:rsid w:val="006D0310"/>
    <w:rsid w:val="006D2009"/>
    <w:rsid w:val="006D5576"/>
    <w:rsid w:val="006E1243"/>
    <w:rsid w:val="006E766D"/>
    <w:rsid w:val="006F3DB7"/>
    <w:rsid w:val="006F4B29"/>
    <w:rsid w:val="006F6806"/>
    <w:rsid w:val="006F6CE9"/>
    <w:rsid w:val="0070517C"/>
    <w:rsid w:val="00705C9F"/>
    <w:rsid w:val="00716951"/>
    <w:rsid w:val="00720F6B"/>
    <w:rsid w:val="00730ADA"/>
    <w:rsid w:val="00732C37"/>
    <w:rsid w:val="00735D9E"/>
    <w:rsid w:val="00735F2B"/>
    <w:rsid w:val="00745A09"/>
    <w:rsid w:val="00746B16"/>
    <w:rsid w:val="00751EAF"/>
    <w:rsid w:val="00751EDC"/>
    <w:rsid w:val="00754CF7"/>
    <w:rsid w:val="00757B0D"/>
    <w:rsid w:val="00761320"/>
    <w:rsid w:val="007651B1"/>
    <w:rsid w:val="00767CE1"/>
    <w:rsid w:val="00770B34"/>
    <w:rsid w:val="00771A68"/>
    <w:rsid w:val="007744D2"/>
    <w:rsid w:val="00783E1D"/>
    <w:rsid w:val="00786136"/>
    <w:rsid w:val="0079236E"/>
    <w:rsid w:val="007B05CF"/>
    <w:rsid w:val="007C212A"/>
    <w:rsid w:val="007D5B3C"/>
    <w:rsid w:val="007E7D21"/>
    <w:rsid w:val="007E7DBD"/>
    <w:rsid w:val="007F482F"/>
    <w:rsid w:val="007F64BB"/>
    <w:rsid w:val="007F7C94"/>
    <w:rsid w:val="0080398D"/>
    <w:rsid w:val="00805174"/>
    <w:rsid w:val="00806385"/>
    <w:rsid w:val="00807CC5"/>
    <w:rsid w:val="00807ED7"/>
    <w:rsid w:val="00807FD4"/>
    <w:rsid w:val="0081485F"/>
    <w:rsid w:val="00814CC6"/>
    <w:rsid w:val="0082661C"/>
    <w:rsid w:val="00826D53"/>
    <w:rsid w:val="008273AA"/>
    <w:rsid w:val="00831751"/>
    <w:rsid w:val="00833369"/>
    <w:rsid w:val="00835B42"/>
    <w:rsid w:val="0084185D"/>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B41"/>
    <w:rsid w:val="008A7313"/>
    <w:rsid w:val="008A7D91"/>
    <w:rsid w:val="008B176E"/>
    <w:rsid w:val="008B7FC7"/>
    <w:rsid w:val="008C4337"/>
    <w:rsid w:val="008C4F06"/>
    <w:rsid w:val="008D0C90"/>
    <w:rsid w:val="008E1E4A"/>
    <w:rsid w:val="008E3414"/>
    <w:rsid w:val="008E39B5"/>
    <w:rsid w:val="008E61C4"/>
    <w:rsid w:val="008F0615"/>
    <w:rsid w:val="008F103E"/>
    <w:rsid w:val="008F1FDB"/>
    <w:rsid w:val="008F36FB"/>
    <w:rsid w:val="00902EA9"/>
    <w:rsid w:val="0090427F"/>
    <w:rsid w:val="00907E5E"/>
    <w:rsid w:val="009117AD"/>
    <w:rsid w:val="009140EE"/>
    <w:rsid w:val="00920506"/>
    <w:rsid w:val="0093001F"/>
    <w:rsid w:val="00931DEB"/>
    <w:rsid w:val="00933957"/>
    <w:rsid w:val="009356FA"/>
    <w:rsid w:val="0094603B"/>
    <w:rsid w:val="009504A1"/>
    <w:rsid w:val="00950605"/>
    <w:rsid w:val="00952233"/>
    <w:rsid w:val="00954D66"/>
    <w:rsid w:val="0095732D"/>
    <w:rsid w:val="00960324"/>
    <w:rsid w:val="00963F8F"/>
    <w:rsid w:val="00973C62"/>
    <w:rsid w:val="0097571E"/>
    <w:rsid w:val="00975D76"/>
    <w:rsid w:val="00982E51"/>
    <w:rsid w:val="009874B9"/>
    <w:rsid w:val="00993581"/>
    <w:rsid w:val="009947FA"/>
    <w:rsid w:val="009A2564"/>
    <w:rsid w:val="009A288C"/>
    <w:rsid w:val="009A64C1"/>
    <w:rsid w:val="009B6697"/>
    <w:rsid w:val="009C0BB8"/>
    <w:rsid w:val="009C2B43"/>
    <w:rsid w:val="009C2EA4"/>
    <w:rsid w:val="009C4C04"/>
    <w:rsid w:val="009D0926"/>
    <w:rsid w:val="009D5213"/>
    <w:rsid w:val="009E1C95"/>
    <w:rsid w:val="009E2CC6"/>
    <w:rsid w:val="009F196A"/>
    <w:rsid w:val="009F669B"/>
    <w:rsid w:val="009F7566"/>
    <w:rsid w:val="009F7F18"/>
    <w:rsid w:val="00A02A72"/>
    <w:rsid w:val="00A06BFE"/>
    <w:rsid w:val="00A10F5D"/>
    <w:rsid w:val="00A1199A"/>
    <w:rsid w:val="00A1243C"/>
    <w:rsid w:val="00A12834"/>
    <w:rsid w:val="00A135AE"/>
    <w:rsid w:val="00A14AF1"/>
    <w:rsid w:val="00A16891"/>
    <w:rsid w:val="00A268CE"/>
    <w:rsid w:val="00A31AB0"/>
    <w:rsid w:val="00A332E8"/>
    <w:rsid w:val="00A35AF5"/>
    <w:rsid w:val="00A35DDF"/>
    <w:rsid w:val="00A367B8"/>
    <w:rsid w:val="00A36CBA"/>
    <w:rsid w:val="00A432CD"/>
    <w:rsid w:val="00A45741"/>
    <w:rsid w:val="00A47EF6"/>
    <w:rsid w:val="00A50291"/>
    <w:rsid w:val="00A530E4"/>
    <w:rsid w:val="00A604CD"/>
    <w:rsid w:val="00A60FE6"/>
    <w:rsid w:val="00A622F5"/>
    <w:rsid w:val="00A6416D"/>
    <w:rsid w:val="00A654BE"/>
    <w:rsid w:val="00A66DD6"/>
    <w:rsid w:val="00A75018"/>
    <w:rsid w:val="00A76A60"/>
    <w:rsid w:val="00A771FD"/>
    <w:rsid w:val="00A80767"/>
    <w:rsid w:val="00A81C90"/>
    <w:rsid w:val="00A86638"/>
    <w:rsid w:val="00A874EF"/>
    <w:rsid w:val="00A91F1D"/>
    <w:rsid w:val="00A95415"/>
    <w:rsid w:val="00AA3C89"/>
    <w:rsid w:val="00AB32BD"/>
    <w:rsid w:val="00AB4723"/>
    <w:rsid w:val="00AB6594"/>
    <w:rsid w:val="00AC2B3C"/>
    <w:rsid w:val="00AC4CDB"/>
    <w:rsid w:val="00AC70FE"/>
    <w:rsid w:val="00AD3AA3"/>
    <w:rsid w:val="00AD4358"/>
    <w:rsid w:val="00AF03E7"/>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6413"/>
    <w:rsid w:val="00B32409"/>
    <w:rsid w:val="00B36F3C"/>
    <w:rsid w:val="00B424D9"/>
    <w:rsid w:val="00B447C0"/>
    <w:rsid w:val="00B52510"/>
    <w:rsid w:val="00B53E53"/>
    <w:rsid w:val="00B548A2"/>
    <w:rsid w:val="00B56934"/>
    <w:rsid w:val="00B62F03"/>
    <w:rsid w:val="00B649BA"/>
    <w:rsid w:val="00B66A49"/>
    <w:rsid w:val="00B72444"/>
    <w:rsid w:val="00B801EA"/>
    <w:rsid w:val="00B82CF8"/>
    <w:rsid w:val="00B93B62"/>
    <w:rsid w:val="00B953D1"/>
    <w:rsid w:val="00B96D93"/>
    <w:rsid w:val="00BA30D0"/>
    <w:rsid w:val="00BA4EBA"/>
    <w:rsid w:val="00BA53FD"/>
    <w:rsid w:val="00BB0D32"/>
    <w:rsid w:val="00BC3BEF"/>
    <w:rsid w:val="00BC76B5"/>
    <w:rsid w:val="00BD5420"/>
    <w:rsid w:val="00BD6277"/>
    <w:rsid w:val="00BD7A8C"/>
    <w:rsid w:val="00BE3DE2"/>
    <w:rsid w:val="00BE746D"/>
    <w:rsid w:val="00BF1B6E"/>
    <w:rsid w:val="00BF5191"/>
    <w:rsid w:val="00C02FD5"/>
    <w:rsid w:val="00C04BD2"/>
    <w:rsid w:val="00C07DFA"/>
    <w:rsid w:val="00C13EEC"/>
    <w:rsid w:val="00C14689"/>
    <w:rsid w:val="00C156A4"/>
    <w:rsid w:val="00C20FAA"/>
    <w:rsid w:val="00C23509"/>
    <w:rsid w:val="00C2459D"/>
    <w:rsid w:val="00C2755A"/>
    <w:rsid w:val="00C27B61"/>
    <w:rsid w:val="00C316F1"/>
    <w:rsid w:val="00C331F7"/>
    <w:rsid w:val="00C36F43"/>
    <w:rsid w:val="00C42C95"/>
    <w:rsid w:val="00C4470F"/>
    <w:rsid w:val="00C50727"/>
    <w:rsid w:val="00C5200A"/>
    <w:rsid w:val="00C55E5B"/>
    <w:rsid w:val="00C56689"/>
    <w:rsid w:val="00C62739"/>
    <w:rsid w:val="00C66B0A"/>
    <w:rsid w:val="00C720A4"/>
    <w:rsid w:val="00C74600"/>
    <w:rsid w:val="00C74F59"/>
    <w:rsid w:val="00C75AEB"/>
    <w:rsid w:val="00C7611C"/>
    <w:rsid w:val="00C87D7C"/>
    <w:rsid w:val="00C94097"/>
    <w:rsid w:val="00C947ED"/>
    <w:rsid w:val="00CA4269"/>
    <w:rsid w:val="00CA48CA"/>
    <w:rsid w:val="00CA7330"/>
    <w:rsid w:val="00CB1C84"/>
    <w:rsid w:val="00CB5363"/>
    <w:rsid w:val="00CB64F0"/>
    <w:rsid w:val="00CC2909"/>
    <w:rsid w:val="00CC7654"/>
    <w:rsid w:val="00CD0549"/>
    <w:rsid w:val="00CD292E"/>
    <w:rsid w:val="00CE10EC"/>
    <w:rsid w:val="00CE5C39"/>
    <w:rsid w:val="00CE6B3C"/>
    <w:rsid w:val="00CF01E0"/>
    <w:rsid w:val="00CF630C"/>
    <w:rsid w:val="00D05E6F"/>
    <w:rsid w:val="00D15E53"/>
    <w:rsid w:val="00D20296"/>
    <w:rsid w:val="00D2231A"/>
    <w:rsid w:val="00D2620F"/>
    <w:rsid w:val="00D276BD"/>
    <w:rsid w:val="00D27929"/>
    <w:rsid w:val="00D33442"/>
    <w:rsid w:val="00D419C6"/>
    <w:rsid w:val="00D44BAD"/>
    <w:rsid w:val="00D45B55"/>
    <w:rsid w:val="00D4785A"/>
    <w:rsid w:val="00D50367"/>
    <w:rsid w:val="00D52E43"/>
    <w:rsid w:val="00D664D7"/>
    <w:rsid w:val="00D66CC3"/>
    <w:rsid w:val="00D67E1E"/>
    <w:rsid w:val="00D7097B"/>
    <w:rsid w:val="00D7197D"/>
    <w:rsid w:val="00D72BC4"/>
    <w:rsid w:val="00D815FC"/>
    <w:rsid w:val="00D8517B"/>
    <w:rsid w:val="00D91DFA"/>
    <w:rsid w:val="00D942B1"/>
    <w:rsid w:val="00D97E04"/>
    <w:rsid w:val="00DA159A"/>
    <w:rsid w:val="00DA56E9"/>
    <w:rsid w:val="00DB1AB2"/>
    <w:rsid w:val="00DB2F98"/>
    <w:rsid w:val="00DC17C2"/>
    <w:rsid w:val="00DC4FDF"/>
    <w:rsid w:val="00DC66F0"/>
    <w:rsid w:val="00DD3105"/>
    <w:rsid w:val="00DD3A65"/>
    <w:rsid w:val="00DD62C6"/>
    <w:rsid w:val="00DE3B92"/>
    <w:rsid w:val="00DE48B4"/>
    <w:rsid w:val="00DE5ACA"/>
    <w:rsid w:val="00DE7137"/>
    <w:rsid w:val="00DF18E4"/>
    <w:rsid w:val="00DF534D"/>
    <w:rsid w:val="00E00498"/>
    <w:rsid w:val="00E13E72"/>
    <w:rsid w:val="00E1464C"/>
    <w:rsid w:val="00E14ADB"/>
    <w:rsid w:val="00E16E5C"/>
    <w:rsid w:val="00E22960"/>
    <w:rsid w:val="00E22F78"/>
    <w:rsid w:val="00E2425D"/>
    <w:rsid w:val="00E24F87"/>
    <w:rsid w:val="00E2617A"/>
    <w:rsid w:val="00E273FB"/>
    <w:rsid w:val="00E31CD4"/>
    <w:rsid w:val="00E371C3"/>
    <w:rsid w:val="00E45526"/>
    <w:rsid w:val="00E538E6"/>
    <w:rsid w:val="00E56696"/>
    <w:rsid w:val="00E724B1"/>
    <w:rsid w:val="00E74332"/>
    <w:rsid w:val="00E76744"/>
    <w:rsid w:val="00E768A9"/>
    <w:rsid w:val="00E802A2"/>
    <w:rsid w:val="00E81AD2"/>
    <w:rsid w:val="00E8410F"/>
    <w:rsid w:val="00E84519"/>
    <w:rsid w:val="00E85C0B"/>
    <w:rsid w:val="00EA0457"/>
    <w:rsid w:val="00EA101C"/>
    <w:rsid w:val="00EA5C8B"/>
    <w:rsid w:val="00EA7089"/>
    <w:rsid w:val="00EB13D7"/>
    <w:rsid w:val="00EB1E83"/>
    <w:rsid w:val="00ED22CB"/>
    <w:rsid w:val="00ED4BB1"/>
    <w:rsid w:val="00ED67AF"/>
    <w:rsid w:val="00EE11F0"/>
    <w:rsid w:val="00EE128C"/>
    <w:rsid w:val="00EE4C48"/>
    <w:rsid w:val="00EE5D2E"/>
    <w:rsid w:val="00EE66E0"/>
    <w:rsid w:val="00EE7E6F"/>
    <w:rsid w:val="00EF66D9"/>
    <w:rsid w:val="00EF68E3"/>
    <w:rsid w:val="00EF6BA5"/>
    <w:rsid w:val="00EF780D"/>
    <w:rsid w:val="00EF7A98"/>
    <w:rsid w:val="00F0267E"/>
    <w:rsid w:val="00F071B2"/>
    <w:rsid w:val="00F11B47"/>
    <w:rsid w:val="00F2412D"/>
    <w:rsid w:val="00F25D8D"/>
    <w:rsid w:val="00F25E86"/>
    <w:rsid w:val="00F270C3"/>
    <w:rsid w:val="00F3069C"/>
    <w:rsid w:val="00F3603E"/>
    <w:rsid w:val="00F43EC0"/>
    <w:rsid w:val="00F44CCB"/>
    <w:rsid w:val="00F474C9"/>
    <w:rsid w:val="00F5126B"/>
    <w:rsid w:val="00F54EA3"/>
    <w:rsid w:val="00F61675"/>
    <w:rsid w:val="00F63495"/>
    <w:rsid w:val="00F6686B"/>
    <w:rsid w:val="00F67F74"/>
    <w:rsid w:val="00F712B3"/>
    <w:rsid w:val="00F71E9F"/>
    <w:rsid w:val="00F73DE3"/>
    <w:rsid w:val="00F744BF"/>
    <w:rsid w:val="00F7632C"/>
    <w:rsid w:val="00F77219"/>
    <w:rsid w:val="00F8391B"/>
    <w:rsid w:val="00F84DD2"/>
    <w:rsid w:val="00F95439"/>
    <w:rsid w:val="00FB0872"/>
    <w:rsid w:val="00FB20D7"/>
    <w:rsid w:val="00FB2FD2"/>
    <w:rsid w:val="00FB54CC"/>
    <w:rsid w:val="00FD1A37"/>
    <w:rsid w:val="00FD4E5B"/>
    <w:rsid w:val="00FE11C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
    <o:shapelayout v:ext="edit">
      <o:idmap v:ext="edit" data="1"/>
    </o:shapelayout>
  </w:shapeDefaults>
  <w:decimalSymbol w:val=","/>
  <w:listSeparator w:val=";"/>
  <w14:docId w14:val="30E4330B"/>
  <w15:docId w15:val="{59CDF4F5-30B1-428E-8CDF-CEA5770E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70B34"/>
    <w:pPr>
      <w:tabs>
        <w:tab w:val="clear" w:pos="1134"/>
      </w:tabs>
      <w:spacing w:after="160" w:line="259" w:lineRule="auto"/>
      <w:ind w:left="720"/>
      <w:contextualSpacing/>
      <w:jc w:val="left"/>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770B34"/>
    <w:rPr>
      <w:rFonts w:ascii="Verdana" w:eastAsia="Arial" w:hAnsi="Verdana" w:cs="Arial"/>
      <w:lang w:val="en-GB" w:eastAsia="en-US"/>
    </w:rPr>
  </w:style>
  <w:style w:type="character" w:customStyle="1" w:styleId="FooterChar">
    <w:name w:val="Footer Char"/>
    <w:basedOn w:val="DefaultParagraphFont"/>
    <w:link w:val="Footer"/>
    <w:uiPriority w:val="99"/>
    <w:rsid w:val="00770B34"/>
    <w:rPr>
      <w:rFonts w:ascii="Verdana" w:eastAsia="Arial" w:hAnsi="Verdana" w:cs="Arial"/>
      <w:lang w:val="en-GB" w:eastAsia="en-US"/>
    </w:rPr>
  </w:style>
  <w:style w:type="table" w:styleId="PlainTable4">
    <w:name w:val="Plain Table 4"/>
    <w:basedOn w:val="TableNormal"/>
    <w:uiPriority w:val="44"/>
    <w:rsid w:val="00770B34"/>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70B34"/>
    <w:pPr>
      <w:autoSpaceDE w:val="0"/>
      <w:autoSpaceDN w:val="0"/>
      <w:adjustRightInd w:val="0"/>
    </w:pPr>
    <w:rPr>
      <w:rFonts w:ascii="Univers 55" w:eastAsiaTheme="minorHAnsi" w:hAnsi="Univers 55" w:cs="Univers 55"/>
      <w:color w:val="000000"/>
      <w:sz w:val="24"/>
      <w:szCs w:val="24"/>
      <w:lang w:val="en-GB" w:eastAsia="en-US"/>
    </w:rPr>
  </w:style>
  <w:style w:type="character" w:customStyle="1" w:styleId="CommentTextChar">
    <w:name w:val="Comment Text Char"/>
    <w:basedOn w:val="DefaultParagraphFont"/>
    <w:link w:val="CommentText"/>
    <w:uiPriority w:val="99"/>
    <w:semiHidden/>
    <w:rsid w:val="00770B3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770B34"/>
    <w:rPr>
      <w:rFonts w:ascii="Verdana" w:eastAsia="Arial" w:hAnsi="Verdana" w:cs="Arial"/>
      <w:b/>
      <w:bCs/>
      <w:lang w:val="en-GB" w:eastAsia="en-US"/>
    </w:rPr>
  </w:style>
  <w:style w:type="paragraph" w:styleId="Revision">
    <w:name w:val="Revision"/>
    <w:hidden/>
    <w:uiPriority w:val="99"/>
    <w:semiHidden/>
    <w:rsid w:val="00770B34"/>
    <w:rPr>
      <w:rFonts w:asciiTheme="minorHAnsi" w:eastAsiaTheme="minorHAnsi" w:hAnsiTheme="minorHAnsi" w:cstheme="minorBidi"/>
      <w:sz w:val="22"/>
      <w:szCs w:val="22"/>
      <w:lang w:val="en-AU" w:eastAsia="en-US"/>
    </w:rPr>
  </w:style>
  <w:style w:type="paragraph" w:customStyle="1" w:styleId="paragraph">
    <w:name w:val="paragraph"/>
    <w:basedOn w:val="Normal"/>
    <w:rsid w:val="00770B34"/>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770B34"/>
  </w:style>
  <w:style w:type="character" w:customStyle="1" w:styleId="eop">
    <w:name w:val="eop"/>
    <w:basedOn w:val="DefaultParagraphFont"/>
    <w:rsid w:val="00770B34"/>
  </w:style>
  <w:style w:type="character" w:customStyle="1" w:styleId="scxw166913847">
    <w:name w:val="scxw166913847"/>
    <w:basedOn w:val="DefaultParagraphFont"/>
    <w:rsid w:val="00770B34"/>
  </w:style>
  <w:style w:type="paragraph" w:customStyle="1" w:styleId="StyleListParagraphBefore12ptAfter6pt">
    <w:name w:val="Style List Paragraph + Before:  12 pt After:  6 pt"/>
    <w:basedOn w:val="ListParagraph"/>
    <w:rsid w:val="00444EFB"/>
    <w:pPr>
      <w:spacing w:before="240" w:after="120"/>
    </w:pPr>
    <w:rPr>
      <w:rFonts w:ascii="Verdana" w:eastAsia="Times New Roman"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645" TargetMode="External"/><Relationship Id="rId18" Type="http://schemas.openxmlformats.org/officeDocument/2006/relationships/header" Target="header2.xml"/><Relationship Id="rId26" Type="http://schemas.openxmlformats.org/officeDocument/2006/relationships/hyperlink" Target="https://library.wmo.int/doc_num.php?explnum_id=5174" TargetMode="External"/><Relationship Id="rId39" Type="http://schemas.openxmlformats.org/officeDocument/2006/relationships/hyperlink" Target="https://library.wmo.int/index.php?lvl=notice_display&amp;id=12516" TargetMode="External"/><Relationship Id="rId21" Type="http://schemas.openxmlformats.org/officeDocument/2006/relationships/image" Target="media/image6.jpeg"/><Relationship Id="rId34" Type="http://schemas.openxmlformats.org/officeDocument/2006/relationships/hyperlink" Target="https://library.wmo.int/doc_num.php?explnum_id=5174" TargetMode="External"/><Relationship Id="rId42" Type="http://schemas.openxmlformats.org/officeDocument/2006/relationships/hyperlink" Target="https://library.wmo.int/doc_num.php?explnum_id=10751" TargetMode="External"/><Relationship Id="rId47" Type="http://schemas.openxmlformats.org/officeDocument/2006/relationships/hyperlink" Target="https://library.wmo.int/?lvl=notice_display&amp;id=21686" TargetMode="External"/><Relationship Id="rId50" Type="http://schemas.openxmlformats.org/officeDocument/2006/relationships/hyperlink" Target="https://library.wmo.int/index.php?lvl=notice_display&amp;id=20618"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g"/><Relationship Id="rId29" Type="http://schemas.openxmlformats.org/officeDocument/2006/relationships/hyperlink" Target="https://library.wmo.int/doc_num.php?explnum_id=10075" TargetMode="External"/><Relationship Id="rId11" Type="http://schemas.openxmlformats.org/officeDocument/2006/relationships/image" Target="media/image1.jpeg"/><Relationship Id="rId24" Type="http://schemas.openxmlformats.org/officeDocument/2006/relationships/hyperlink" Target="https://www.iso.org/standard/70017.html" TargetMode="External"/><Relationship Id="rId32" Type="http://schemas.openxmlformats.org/officeDocument/2006/relationships/hyperlink" Target="https://library.wmo.int/doc_num.php?explnum_id=4141" TargetMode="External"/><Relationship Id="rId37" Type="http://schemas.openxmlformats.org/officeDocument/2006/relationships/hyperlink" Target="https://library.wmo.int/?lvl=notice_display&amp;id=19223" TargetMode="External"/><Relationship Id="rId40" Type="http://schemas.openxmlformats.org/officeDocument/2006/relationships/hyperlink" Target="https://library.wmo.int/doc_num.php?explnum_id=5541" TargetMode="External"/><Relationship Id="rId45" Type="http://schemas.openxmlformats.org/officeDocument/2006/relationships/hyperlink" Target="https://library.wmo.int/doc_num.php?explnum_id=3318" TargetMode="External"/><Relationship Id="rId53" Type="http://schemas.openxmlformats.org/officeDocument/2006/relationships/hyperlink" Target="https://library.wmo.int/doc_num.php?explnum_id=4550"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image" Target="media/image7.jpeg"/><Relationship Id="rId27" Type="http://schemas.openxmlformats.org/officeDocument/2006/relationships/hyperlink" Target="https://library.wmo.int/index.php?lvl=notice_display&amp;id=14073" TargetMode="External"/><Relationship Id="rId30" Type="http://schemas.openxmlformats.org/officeDocument/2006/relationships/hyperlink" Target="https://library.wmo.int/doc_num.php?explnum_id=10955" TargetMode="External"/><Relationship Id="rId35" Type="http://schemas.openxmlformats.org/officeDocument/2006/relationships/hyperlink" Target="https://library.wmo.int/doc_num.php?explnum_id=4237" TargetMode="External"/><Relationship Id="rId43" Type="http://schemas.openxmlformats.org/officeDocument/2006/relationships/hyperlink" Target="https://library.wmo.int/index.php?lvl=notice_display&amp;id=12793" TargetMode="External"/><Relationship Id="rId48" Type="http://schemas.openxmlformats.org/officeDocument/2006/relationships/hyperlink" Target="https://library.wmo.int/doc_num.php?explnum_id=5541"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library.wmo.int/doc_num.php?explnum_id=7854" TargetMode="Externa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eader" Target="header1.xml"/><Relationship Id="rId25" Type="http://schemas.openxmlformats.org/officeDocument/2006/relationships/hyperlink" Target="https://library.wmo.int/doc_num.php?explnum_id=4141" TargetMode="External"/><Relationship Id="rId33" Type="http://schemas.openxmlformats.org/officeDocument/2006/relationships/hyperlink" Target="https://library.wmo.int/index.php?lvl=notice_display&amp;id=20172" TargetMode="External"/><Relationship Id="rId38" Type="http://schemas.openxmlformats.org/officeDocument/2006/relationships/hyperlink" Target="https://library.wmo.int/doc_num.php?explnum_id=7871" TargetMode="External"/><Relationship Id="rId46" Type="http://schemas.openxmlformats.org/officeDocument/2006/relationships/hyperlink" Target="https://library.wmo.int/?lvl=notice_display&amp;id=21686" TargetMode="External"/><Relationship Id="rId20" Type="http://schemas.openxmlformats.org/officeDocument/2006/relationships/image" Target="media/image5.png"/><Relationship Id="rId41" Type="http://schemas.openxmlformats.org/officeDocument/2006/relationships/hyperlink" Target="https://library.wmo.int/index.php?lvl=notice_display&amp;id=12407"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so.org/developing-standards.html" TargetMode="External"/><Relationship Id="rId23" Type="http://schemas.openxmlformats.org/officeDocument/2006/relationships/hyperlink" Target="https://www.iso.org/standard/62085.html" TargetMode="External"/><Relationship Id="rId28" Type="http://schemas.openxmlformats.org/officeDocument/2006/relationships/hyperlink" Target="https://library.wmo.int/doc_num.php?explnum_id=4237" TargetMode="External"/><Relationship Id="rId36" Type="http://schemas.openxmlformats.org/officeDocument/2006/relationships/hyperlink" Target="https://library.wmo.int/doc_num.php?explnum_id=10075" TargetMode="External"/><Relationship Id="rId49" Type="http://schemas.openxmlformats.org/officeDocument/2006/relationships/hyperlink" Target="https://library.wmo.int/?lvl=notice_display&amp;id=19223"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doc_num.php?explnum_id=5541" TargetMode="External"/><Relationship Id="rId44" Type="http://schemas.openxmlformats.org/officeDocument/2006/relationships/hyperlink" Target="https://library.wmo.int/doc_num.php?explnum_id=7867" TargetMode="External"/><Relationship Id="rId52" Type="http://schemas.openxmlformats.org/officeDocument/2006/relationships/hyperlink" Target="https://library.wmo.int/doc_num.php?explnum_id=102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D7A09AA7-33B9-495B-BB3D-C703E1D14082}"/>
</file>

<file path=customXml/itemProps2.xml><?xml version="1.0" encoding="utf-8"?>
<ds:datastoreItem xmlns:ds="http://schemas.openxmlformats.org/officeDocument/2006/customXml" ds:itemID="{3936869B-2C75-4D22-B10F-D0AAA242A8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ce21bc6c-711a-4065-a01c-a8f0e29e3ad8"/>
    <ds:schemaRef ds:uri="3679bf0f-1d7e-438f-afa5-6ebf1e20f9b8"/>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6712</Words>
  <Characters>36922</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43547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Amir H. Delju</dc:creator>
  <cp:lastModifiedBy>Geneviève Delajod</cp:lastModifiedBy>
  <cp:revision>21</cp:revision>
  <cp:lastPrinted>2013-03-12T09:27:00Z</cp:lastPrinted>
  <dcterms:created xsi:type="dcterms:W3CDTF">2022-09-14T10:32:00Z</dcterms:created>
  <dcterms:modified xsi:type="dcterms:W3CDTF">2022-09-22T08:37:00Z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09/22/2022 07:32:06</vt:lpwstr>
  </property>
  <property fmtid="{D5CDD505-2E9C-101B-9397-08002B2CF9AE}" pid="7" name="OriginalDocID">
    <vt:lpwstr>0a032c39-dfb0-425e-8def-f8742bbe2dbe</vt:lpwstr>
  </property>
</Properties>
</file>