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CellMar>
          <w:left w:w="0" w:type="dxa"/>
          <w:right w:w="0" w:type="dxa"/>
        </w:tblCellMar>
        <w:tblLook w:val="01E0" w:firstRow="1" w:lastRow="1" w:firstColumn="1" w:lastColumn="1" w:noHBand="0" w:noVBand="0"/>
      </w:tblPr>
      <w:tblGrid>
        <w:gridCol w:w="499"/>
        <w:gridCol w:w="6906"/>
        <w:gridCol w:w="2909"/>
      </w:tblGrid>
      <w:tr w:rsidR="00041727" w:rsidRPr="00F5126B" w14:paraId="5C1D8C5A" w14:textId="77777777" w:rsidTr="00204109">
        <w:trPr>
          <w:trHeight w:val="282"/>
        </w:trPr>
        <w:tc>
          <w:tcPr>
            <w:tcW w:w="499" w:type="dxa"/>
            <w:vMerge w:val="restart"/>
            <w:tcBorders>
              <w:bottom w:val="nil"/>
            </w:tcBorders>
            <w:textDirection w:val="btLr"/>
            <w:vAlign w:val="center"/>
          </w:tcPr>
          <w:p w14:paraId="45783B14" w14:textId="77777777" w:rsidR="00041727" w:rsidRPr="00041727" w:rsidRDefault="00527225" w:rsidP="00E7151C">
            <w:pPr>
              <w:tabs>
                <w:tab w:val="clear" w:pos="1134"/>
                <w:tab w:val="left" w:pos="6946"/>
              </w:tabs>
              <w:suppressAutoHyphens/>
              <w:spacing w:after="120" w:line="252" w:lineRule="auto"/>
              <w:ind w:left="175" w:right="113"/>
              <w:jc w:val="right"/>
              <w:rPr>
                <w:noProof/>
                <w:color w:val="365F91" w:themeColor="accent1" w:themeShade="BF"/>
                <w:sz w:val="12"/>
                <w:szCs w:val="12"/>
                <w:lang w:val="en-US" w:eastAsia="zh-CN"/>
              </w:rPr>
            </w:pPr>
            <w:r w:rsidRPr="00410F8F">
              <w:rPr>
                <w:noProof/>
                <w:color w:val="365F91" w:themeColor="accent1" w:themeShade="BF"/>
                <w:sz w:val="10"/>
                <w:szCs w:val="10"/>
                <w:lang w:val="en-US" w:eastAsia="zh-CN"/>
              </w:rPr>
              <w:t>TIEMPO</w:t>
            </w:r>
            <w:r w:rsidR="00041727" w:rsidRPr="001D265C">
              <w:rPr>
                <w:noProof/>
                <w:color w:val="365F91" w:themeColor="accent1" w:themeShade="BF"/>
                <w:sz w:val="10"/>
                <w:szCs w:val="10"/>
                <w:lang w:val="en-US" w:eastAsia="zh-CN"/>
              </w:rPr>
              <w:t xml:space="preserve"> CLIMA </w:t>
            </w:r>
            <w:r>
              <w:rPr>
                <w:noProof/>
                <w:color w:val="365F91" w:themeColor="accent1" w:themeShade="BF"/>
                <w:sz w:val="10"/>
                <w:szCs w:val="10"/>
                <w:lang w:val="en-US" w:eastAsia="zh-CN"/>
              </w:rPr>
              <w:t>AGUA</w:t>
            </w:r>
          </w:p>
        </w:tc>
        <w:tc>
          <w:tcPr>
            <w:tcW w:w="6906" w:type="dxa"/>
            <w:vMerge w:val="restart"/>
            <w:noWrap/>
            <w:tcMar>
              <w:left w:w="0" w:type="dxa"/>
              <w:right w:w="0" w:type="dxa"/>
            </w:tcMar>
          </w:tcPr>
          <w:p w14:paraId="307F5332" w14:textId="77777777" w:rsidR="00041727" w:rsidRPr="00527225" w:rsidRDefault="00041727" w:rsidP="007D650E">
            <w:pPr>
              <w:tabs>
                <w:tab w:val="clear" w:pos="1134"/>
                <w:tab w:val="left" w:pos="6946"/>
              </w:tabs>
              <w:suppressAutoHyphens/>
              <w:spacing w:after="120" w:line="252" w:lineRule="auto"/>
              <w:ind w:left="1205"/>
              <w:jc w:val="left"/>
              <w:rPr>
                <w:rStyle w:val="StyleComplex11ptBoldAccent1"/>
              </w:rPr>
            </w:pPr>
            <w:r w:rsidRPr="002C5965">
              <w:rPr>
                <w:noProof/>
                <w:color w:val="365F91" w:themeColor="accent1" w:themeShade="BF"/>
                <w:szCs w:val="22"/>
                <w:lang w:val="en-US" w:eastAsia="zh-CN"/>
              </w:rPr>
              <w:drawing>
                <wp:anchor distT="0" distB="0" distL="114300" distR="114300" simplePos="0" relativeHeight="251664896" behindDoc="1" locked="1" layoutInCell="1" allowOverlap="1" wp14:anchorId="05954D69" wp14:editId="4BC7766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25" w:rsidRPr="00527225">
              <w:rPr>
                <w:rStyle w:val="StyleComplex11ptBoldAccent1"/>
              </w:rPr>
              <w:t>Organización Meteorológica Mundial</w:t>
            </w:r>
          </w:p>
          <w:p w14:paraId="1FA77258" w14:textId="77777777" w:rsidR="00041727" w:rsidRPr="00527225" w:rsidRDefault="007F44EB" w:rsidP="007D650E">
            <w:pPr>
              <w:tabs>
                <w:tab w:val="clear" w:pos="1134"/>
                <w:tab w:val="left" w:pos="6946"/>
              </w:tabs>
              <w:suppressAutoHyphens/>
              <w:spacing w:after="120" w:line="252" w:lineRule="auto"/>
              <w:ind w:left="1205"/>
              <w:jc w:val="left"/>
              <w:rPr>
                <w:rFonts w:cs="Tahoma"/>
                <w:b/>
                <w:color w:val="365F91" w:themeColor="accent1" w:themeShade="BF"/>
                <w:spacing w:val="-2"/>
                <w:szCs w:val="22"/>
                <w:lang w:val="es-ES"/>
              </w:rPr>
            </w:pPr>
            <w:r w:rsidRPr="006D2AB8">
              <w:rPr>
                <w:b/>
                <w:bCs/>
                <w:color w:val="365F91"/>
                <w:lang w:val="es-ES"/>
              </w:rPr>
              <w:t>COMISIÓN DE APLICACIONES Y SERVICIOS METEOROLÓGICOS, CLIMÁTICOS, HIDROLÓGICOS Y MEDIOAMBIENTALES CONEXOS</w:t>
            </w:r>
          </w:p>
          <w:p w14:paraId="75DA50E3" w14:textId="77777777" w:rsidR="00041727" w:rsidRPr="00527225" w:rsidRDefault="00204109" w:rsidP="007D650E">
            <w:pPr>
              <w:tabs>
                <w:tab w:val="clear" w:pos="1134"/>
                <w:tab w:val="left" w:pos="6946"/>
              </w:tabs>
              <w:suppressAutoHyphens/>
              <w:spacing w:after="120" w:line="252" w:lineRule="auto"/>
              <w:ind w:left="1205"/>
              <w:jc w:val="left"/>
              <w:rPr>
                <w:rFonts w:cs="Tahoma"/>
                <w:b/>
                <w:bCs/>
                <w:color w:val="365F91" w:themeColor="accent1" w:themeShade="BF"/>
                <w:szCs w:val="22"/>
                <w:lang w:val="es-ES"/>
              </w:rPr>
            </w:pPr>
            <w:r>
              <w:rPr>
                <w:rFonts w:cstheme="minorBidi"/>
                <w:b/>
                <w:snapToGrid w:val="0"/>
                <w:color w:val="365F91" w:themeColor="accent1" w:themeShade="BF"/>
                <w:szCs w:val="22"/>
                <w:lang w:val="es-ES"/>
              </w:rPr>
              <w:t>Segunda</w:t>
            </w:r>
            <w:r w:rsidR="00527225">
              <w:rPr>
                <w:rFonts w:cstheme="minorBidi"/>
                <w:b/>
                <w:snapToGrid w:val="0"/>
                <w:color w:val="365F91" w:themeColor="accent1" w:themeShade="BF"/>
                <w:szCs w:val="22"/>
                <w:lang w:val="es-ES"/>
              </w:rPr>
              <w:t xml:space="preserve"> reunión</w:t>
            </w:r>
            <w:r w:rsidR="00041727" w:rsidRPr="00527225">
              <w:rPr>
                <w:rFonts w:cstheme="minorBidi"/>
                <w:b/>
                <w:snapToGrid w:val="0"/>
                <w:color w:val="365F91" w:themeColor="accent1" w:themeShade="BF"/>
                <w:szCs w:val="22"/>
                <w:lang w:val="es-ES"/>
              </w:rPr>
              <w:br/>
            </w:r>
            <w:r w:rsidR="00E16696">
              <w:rPr>
                <w:color w:val="365F91"/>
                <w:lang w:val="es-ES"/>
              </w:rPr>
              <w:t xml:space="preserve">Ginebra, </w:t>
            </w:r>
            <w:r>
              <w:rPr>
                <w:color w:val="365F91"/>
                <w:lang w:val="es-ES"/>
              </w:rPr>
              <w:t>17</w:t>
            </w:r>
            <w:r w:rsidR="007D650E" w:rsidRPr="006D2AB8">
              <w:rPr>
                <w:color w:val="365F91"/>
                <w:lang w:val="es-ES"/>
              </w:rPr>
              <w:t xml:space="preserve"> a 2</w:t>
            </w:r>
            <w:r>
              <w:rPr>
                <w:color w:val="365F91"/>
                <w:lang w:val="es-ES"/>
              </w:rPr>
              <w:t>1</w:t>
            </w:r>
            <w:r w:rsidR="007D650E" w:rsidRPr="006D2AB8">
              <w:rPr>
                <w:color w:val="365F91"/>
                <w:lang w:val="es-ES"/>
              </w:rPr>
              <w:t xml:space="preserve"> de </w:t>
            </w:r>
            <w:r>
              <w:rPr>
                <w:color w:val="365F91"/>
                <w:lang w:val="es-ES"/>
              </w:rPr>
              <w:t>octubre</w:t>
            </w:r>
            <w:r w:rsidR="007D650E" w:rsidRPr="006D2AB8">
              <w:rPr>
                <w:color w:val="365F91"/>
                <w:lang w:val="es-ES"/>
              </w:rPr>
              <w:t xml:space="preserve"> de 202</w:t>
            </w:r>
            <w:r>
              <w:rPr>
                <w:color w:val="365F91"/>
                <w:lang w:val="es-ES"/>
              </w:rPr>
              <w:t>2</w:t>
            </w:r>
          </w:p>
        </w:tc>
        <w:tc>
          <w:tcPr>
            <w:tcW w:w="2909" w:type="dxa"/>
          </w:tcPr>
          <w:p w14:paraId="535E1A23" w14:textId="6951665F" w:rsidR="00041727" w:rsidRPr="00814CC6" w:rsidRDefault="00C52769" w:rsidP="00BA7E19">
            <w:pPr>
              <w:tabs>
                <w:tab w:val="clear" w:pos="1134"/>
              </w:tabs>
              <w:spacing w:after="60"/>
              <w:jc w:val="right"/>
              <w:rPr>
                <w:rFonts w:cs="Tahoma"/>
                <w:b/>
                <w:bCs/>
                <w:color w:val="365F91" w:themeColor="accent1" w:themeShade="BF"/>
                <w:szCs w:val="22"/>
                <w:lang w:val="fr-FR"/>
              </w:rPr>
            </w:pPr>
            <w:r w:rsidRPr="00C52769">
              <w:rPr>
                <w:rFonts w:cs="Tahoma"/>
                <w:b/>
                <w:bCs/>
                <w:color w:val="365F91" w:themeColor="accent1" w:themeShade="BF"/>
                <w:szCs w:val="22"/>
                <w:lang w:val="es-ES"/>
              </w:rPr>
              <w:t>SERCOM-2/INF. 5.4</w:t>
            </w:r>
          </w:p>
        </w:tc>
      </w:tr>
      <w:tr w:rsidR="00041727" w:rsidRPr="002C5965" w14:paraId="4A93ADEA" w14:textId="77777777" w:rsidTr="00204109">
        <w:trPr>
          <w:trHeight w:val="730"/>
        </w:trPr>
        <w:tc>
          <w:tcPr>
            <w:tcW w:w="499" w:type="dxa"/>
            <w:vMerge/>
            <w:tcBorders>
              <w:bottom w:val="nil"/>
            </w:tcBorders>
          </w:tcPr>
          <w:p w14:paraId="749E3827" w14:textId="77777777" w:rsidR="00041727" w:rsidRPr="00814CC6" w:rsidRDefault="00041727" w:rsidP="00604802">
            <w:pPr>
              <w:tabs>
                <w:tab w:val="left" w:pos="6946"/>
              </w:tabs>
              <w:suppressAutoHyphens/>
              <w:spacing w:after="120" w:line="252" w:lineRule="auto"/>
              <w:ind w:left="1134"/>
              <w:jc w:val="left"/>
              <w:rPr>
                <w:color w:val="365F91" w:themeColor="accent1" w:themeShade="BF"/>
                <w:szCs w:val="22"/>
                <w:lang w:val="fr-FR" w:eastAsia="zh-CN"/>
              </w:rPr>
            </w:pPr>
          </w:p>
        </w:tc>
        <w:tc>
          <w:tcPr>
            <w:tcW w:w="6906" w:type="dxa"/>
            <w:vMerge/>
            <w:noWrap/>
          </w:tcPr>
          <w:p w14:paraId="74DD19BD" w14:textId="77777777" w:rsidR="00041727" w:rsidRPr="00814CC6" w:rsidRDefault="00041727" w:rsidP="00604802">
            <w:pPr>
              <w:tabs>
                <w:tab w:val="left" w:pos="6946"/>
              </w:tabs>
              <w:suppressAutoHyphens/>
              <w:spacing w:after="120" w:line="252" w:lineRule="auto"/>
              <w:ind w:left="1134"/>
              <w:jc w:val="left"/>
              <w:rPr>
                <w:color w:val="365F91" w:themeColor="accent1" w:themeShade="BF"/>
                <w:szCs w:val="22"/>
                <w:lang w:val="fr-FR" w:eastAsia="zh-CN"/>
              </w:rPr>
            </w:pPr>
          </w:p>
        </w:tc>
        <w:tc>
          <w:tcPr>
            <w:tcW w:w="2909" w:type="dxa"/>
          </w:tcPr>
          <w:p w14:paraId="61316550" w14:textId="2ED470BE" w:rsidR="00041727" w:rsidRPr="002C5965" w:rsidRDefault="00527225" w:rsidP="00BA7E19">
            <w:pPr>
              <w:pStyle w:val="StyleComplexTahomaComplex11ptAccent1RightAfter-"/>
              <w:ind w:right="0"/>
            </w:pPr>
            <w:r>
              <w:t>Presentado por</w:t>
            </w:r>
            <w:r w:rsidR="00041727" w:rsidRPr="002C5965">
              <w:t>:</w:t>
            </w:r>
            <w:r w:rsidR="00041727" w:rsidRPr="002C5965">
              <w:br/>
            </w:r>
            <w:r w:rsidR="0003508F" w:rsidRPr="0003508F">
              <w:t>Presidente del SC-AVI</w:t>
            </w:r>
          </w:p>
          <w:p w14:paraId="3F089F6E" w14:textId="525CEB7C" w:rsidR="00041727" w:rsidRPr="002C5965" w:rsidRDefault="0003508F" w:rsidP="00BA7E19">
            <w:pPr>
              <w:pStyle w:val="StyleComplexTahomaComplex11ptAccent1RightAfter-"/>
              <w:ind w:right="0"/>
            </w:pPr>
            <w:r>
              <w:rPr>
                <w:bCs/>
                <w:color w:val="365F91"/>
              </w:rPr>
              <w:t>30</w:t>
            </w:r>
            <w:r w:rsidR="00527225" w:rsidRPr="007F7A32">
              <w:t>.</w:t>
            </w:r>
            <w:r>
              <w:t>VIII</w:t>
            </w:r>
            <w:r w:rsidR="00A41E35">
              <w:t>.202</w:t>
            </w:r>
            <w:r w:rsidR="003F4786">
              <w:t>2</w:t>
            </w:r>
          </w:p>
          <w:p w14:paraId="48D911FB" w14:textId="7F01FD18" w:rsidR="00041727" w:rsidRPr="002C5965" w:rsidRDefault="00041727" w:rsidP="00BA7E19">
            <w:pPr>
              <w:tabs>
                <w:tab w:val="clear" w:pos="1134"/>
              </w:tabs>
              <w:spacing w:before="120" w:after="60"/>
              <w:jc w:val="right"/>
              <w:rPr>
                <w:rFonts w:cs="Tahoma"/>
                <w:b/>
                <w:bCs/>
                <w:color w:val="365F91" w:themeColor="accent1" w:themeShade="BF"/>
                <w:szCs w:val="22"/>
              </w:rPr>
            </w:pPr>
          </w:p>
        </w:tc>
      </w:tr>
    </w:tbl>
    <w:p w14:paraId="21CC9B75" w14:textId="77777777" w:rsidR="00DE4B27" w:rsidRDefault="00DE4B27" w:rsidP="0003508F">
      <w:pPr>
        <w:tabs>
          <w:tab w:val="left" w:pos="708"/>
        </w:tabs>
        <w:spacing w:before="240" w:after="160" w:line="254" w:lineRule="auto"/>
        <w:jc w:val="left"/>
        <w:rPr>
          <w:rFonts w:eastAsia="Calibri" w:cs="Calibri"/>
          <w:i/>
          <w:iCs/>
          <w:color w:val="FF0000"/>
          <w:bdr w:val="none" w:sz="0" w:space="0" w:color="auto" w:frame="1"/>
          <w:lang w:val="es-ES_tradnl" w:eastAsia="zh-CN"/>
        </w:rPr>
      </w:pPr>
      <w:r>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36E34A33" w14:textId="02E57DEB" w:rsidR="00C52769" w:rsidRPr="00E063DB" w:rsidRDefault="00C52769" w:rsidP="00C52769">
      <w:pPr>
        <w:pStyle w:val="Heading2"/>
      </w:pPr>
      <w:r>
        <w:rPr>
          <w:lang w:val="es-ES"/>
        </w:rPr>
        <w:t>ESTADO DE LA ACTUALIZACIÓN DEL PLAN A LARGO PLAZO DE METEOROLOGÍA AERONÁUTICA</w:t>
      </w:r>
    </w:p>
    <w:p w14:paraId="48A25FC4" w14:textId="77777777" w:rsidR="00C52769" w:rsidRPr="00E063DB" w:rsidRDefault="00C52769" w:rsidP="00C52769">
      <w:pPr>
        <w:pStyle w:val="Heading3"/>
      </w:pPr>
      <w:r>
        <w:rPr>
          <w:lang w:val="es-ES"/>
        </w:rPr>
        <w:t>Información general</w:t>
      </w:r>
    </w:p>
    <w:p w14:paraId="1840C8DC" w14:textId="77777777" w:rsidR="00C52769" w:rsidRPr="00C52769" w:rsidRDefault="00C52769" w:rsidP="00C52769">
      <w:pPr>
        <w:spacing w:before="240" w:after="240"/>
        <w:jc w:val="left"/>
        <w:rPr>
          <w:lang w:val="es-ES"/>
        </w:rPr>
      </w:pPr>
      <w:r>
        <w:rPr>
          <w:lang w:val="es-ES"/>
        </w:rPr>
        <w:t>En 2019, el Decimoctavo Congreso Meteorológico Mundial, a través de la Resolución 28 (Cg-18), respaldó la publicación de una primera edición de un Plan a Largo Plazo para la Meteorología Aeronáutica (LTP-</w:t>
      </w:r>
      <w:proofErr w:type="spellStart"/>
      <w:r>
        <w:rPr>
          <w:lang w:val="es-ES"/>
        </w:rPr>
        <w:t>AeM</w:t>
      </w:r>
      <w:proofErr w:type="spellEnd"/>
      <w:r>
        <w:rPr>
          <w:lang w:val="es-ES"/>
        </w:rPr>
        <w:t>). La elaboración del plan a largo plazo es fruto del trabajo realizado por la Comisión de Meteorología Aeronáutica (</w:t>
      </w:r>
      <w:proofErr w:type="spellStart"/>
      <w:r>
        <w:rPr>
          <w:lang w:val="es-ES"/>
        </w:rPr>
        <w:t>CMAe</w:t>
      </w:r>
      <w:proofErr w:type="spellEnd"/>
      <w:r>
        <w:rPr>
          <w:lang w:val="es-ES"/>
        </w:rPr>
        <w:t>). El Congreso acordó que el plan a largo plazo debe ser un documento vivo que se revise regularmente y se actualice periódicamente para garantizar un alto grado de alineación con el Plan Estratégico de la OMM y el Plan Mundial de Navegación Aérea (GANP) de la Organización de Aviación Civil Internacional (OACI).</w:t>
      </w:r>
    </w:p>
    <w:p w14:paraId="08664D8F" w14:textId="77777777" w:rsidR="00C52769" w:rsidRPr="00C52769" w:rsidRDefault="00C52769" w:rsidP="00C52769">
      <w:pPr>
        <w:spacing w:before="240" w:after="240"/>
        <w:jc w:val="left"/>
        <w:rPr>
          <w:lang w:val="es-ES"/>
        </w:rPr>
      </w:pPr>
      <w:r>
        <w:rPr>
          <w:lang w:val="es-ES"/>
        </w:rPr>
        <w:t xml:space="preserve">La primera edición del Plan a Largo Plazo de Meteorología Aeronáutica está disponible en la publicación de la OMM </w:t>
      </w:r>
      <w:proofErr w:type="spellStart"/>
      <w:r>
        <w:rPr>
          <w:lang w:val="es-ES"/>
        </w:rPr>
        <w:t>AeM</w:t>
      </w:r>
      <w:proofErr w:type="spellEnd"/>
      <w:r>
        <w:rPr>
          <w:lang w:val="es-ES"/>
        </w:rPr>
        <w:t xml:space="preserve"> SERIES </w:t>
      </w:r>
      <w:proofErr w:type="spellStart"/>
      <w:r>
        <w:rPr>
          <w:lang w:val="es-ES"/>
        </w:rPr>
        <w:t>Nº</w:t>
      </w:r>
      <w:proofErr w:type="spellEnd"/>
      <w:r>
        <w:rPr>
          <w:lang w:val="es-ES"/>
        </w:rPr>
        <w:t xml:space="preserve"> 5 (sólo en inglés).</w:t>
      </w:r>
    </w:p>
    <w:p w14:paraId="57BA0BD0" w14:textId="77777777" w:rsidR="00C52769" w:rsidRPr="00C52769" w:rsidRDefault="00C52769" w:rsidP="00C52769">
      <w:pPr>
        <w:jc w:val="left"/>
        <w:rPr>
          <w:lang w:val="es-ES"/>
        </w:rPr>
      </w:pPr>
      <w:r>
        <w:rPr>
          <w:lang w:val="es-ES"/>
        </w:rPr>
        <w:t>El objetivo del plan a largo plazo es proporcionar un marco en el que los proveedores de servicios meteorológicos aeronáuticos de los Miembros de la OMM en particular, y las comunidades de meteorología y aviación en general, puedan planificar una transformación de un enfoque convencional "centrado en el producto" a un enfoque moderno "centrado en la información" hasta 2030 y posteriormente. Como tal, el plan a largo plazo presta la debida atención al progreso del transporte aéreo en todo el sector previsto para la próxima década o más y es complementario del GANP de la OACI. Esto es necesario para garantizar que, a medida que la visión de la OACI de un sistema de gestión del tráfico aéreo globalmente interoperable y armonizado del futuro se haga plenamente realidad, los avances por parte de la OMM puedan y se produzcan al unísono.</w:t>
      </w:r>
    </w:p>
    <w:p w14:paraId="1764127E" w14:textId="77777777" w:rsidR="00C52769" w:rsidRPr="00C52769" w:rsidRDefault="00C52769" w:rsidP="00C52769">
      <w:pPr>
        <w:spacing w:before="240" w:after="240"/>
        <w:jc w:val="left"/>
        <w:rPr>
          <w:lang w:val="es-ES"/>
        </w:rPr>
      </w:pPr>
      <w:r>
        <w:rPr>
          <w:lang w:val="es-ES"/>
        </w:rPr>
        <w:t>El plan a largo plazo ofrece una visión, una estrategia móvil que ayudará a la OMM, a sus Miembros y a sus socios a garantizar que la prestación de servicios meteorológicos aeronáuticos evolucione de manera que se aprovechen los avances científicos y tecnológicos, de los proveedores de servicios y de los consumidores. El plan a largo plazo tiene en cuenta las implicaciones que un mayor crecimiento previsto del tráfico aéreo y un clima cambiante tendrían, no sólo en las necesidades de los usuarios de la aviación en cuanto a servicios de información meteorológica, sino también en la prestación real de servicios meteorológicos que deben suministrarse a nivel nacional, regional y mundial.</w:t>
      </w:r>
      <w:bookmarkStart w:id="0" w:name="_Int_wF1tR12N"/>
      <w:bookmarkEnd w:id="0"/>
    </w:p>
    <w:p w14:paraId="75261CC6" w14:textId="77777777" w:rsidR="00C52769" w:rsidRPr="00C52769" w:rsidRDefault="00C52769" w:rsidP="00C52769">
      <w:pPr>
        <w:spacing w:before="240" w:after="120"/>
        <w:jc w:val="left"/>
        <w:rPr>
          <w:lang w:val="es-ES"/>
        </w:rPr>
      </w:pPr>
      <w:r>
        <w:rPr>
          <w:lang w:val="es-ES"/>
        </w:rPr>
        <w:lastRenderedPageBreak/>
        <w:t>En su conjunto, si se aplican adecuadamente y se dotan de los recursos necesarios, los desarrollos esbozados en el plan a largo plazo ofrecen la posibilidad de servir mejor a las necesidades y expectativas de la aviación civil internacional durante la próxima década y posteriormente, asegurando así que la OMM y sus Miembros sigan siendo componentes integrales, creíbles y relevantes del sistema mundial de navegación aérea.</w:t>
      </w:r>
    </w:p>
    <w:p w14:paraId="522AD030" w14:textId="77777777" w:rsidR="00C52769" w:rsidRPr="00E063DB" w:rsidRDefault="00C52769" w:rsidP="00C52769">
      <w:pPr>
        <w:pStyle w:val="Heading3"/>
      </w:pPr>
      <w:r>
        <w:rPr>
          <w:lang w:val="es-ES"/>
        </w:rPr>
        <w:t>Últimos avances</w:t>
      </w:r>
    </w:p>
    <w:p w14:paraId="4F81AFCE" w14:textId="77777777" w:rsidR="00C52769" w:rsidRPr="00C52769" w:rsidRDefault="00C52769" w:rsidP="00C52769">
      <w:pPr>
        <w:jc w:val="left"/>
        <w:rPr>
          <w:lang w:val="es-ES"/>
        </w:rPr>
      </w:pPr>
      <w:r>
        <w:rPr>
          <w:lang w:val="es-ES"/>
        </w:rPr>
        <w:t>Desde la publicación de la primera edición del Plan a Largo Plazo de Meteorología Aeronáutica en 2019, el mundo ha sido testigo del inicio de la pandemia del Coronavirus (COVID-19). La aviación ha sido uno de los múltiples sectores gravemente afectados por la pandemia. La demanda de los consumidores de viajes aéreos comerciales se redujo drásticamente en 2020. La recuperación posterior en 2021 y 2022 ha sido gradual y a menudo irregular. La recesión económica mundial provocada por la pandemia ha tenido un efecto dominó en toda la cadena de suministro de la aviación, incluidos los requisitos y la prestación de servicios de asistencia meteorológica a la aeronáutica.</w:t>
      </w:r>
    </w:p>
    <w:p w14:paraId="3D426108" w14:textId="77777777" w:rsidR="00C52769" w:rsidRPr="00C52769" w:rsidRDefault="00C52769" w:rsidP="00C52769">
      <w:pPr>
        <w:spacing w:before="240" w:after="240"/>
        <w:jc w:val="left"/>
        <w:rPr>
          <w:lang w:val="es-ES"/>
        </w:rPr>
      </w:pPr>
      <w:r>
        <w:rPr>
          <w:lang w:val="es-ES"/>
        </w:rPr>
        <w:t>Tras la primera reunión del Comité Permanente de Servicios para la Aviación (SC-AVI-1), celebrada en diciembre de 2020, el Comité Permanente trató de responder a la petición del Congreso de que el plan a largo plazo se mantuviera en revisión y, en su caso, se actualizara. Por ejemplo, en 2021, el SC-AVI creó un equipo de trabajo sobre la actualización del Plan a Largo Plazo de Meteorología Aeronáutica (TT-LTP), compuesto por un experto de cada una de las seis regiones de la OMM. El objetivo del TT-LTP era ayudar al SC-AVI a preparar una actualización del plan a largo plazo para presentarlo a la Comisión de Servicios (SERCOM) en 2022 y, posteriormente, al Congreso o al Consejo Ejecutivo en 2023.</w:t>
      </w:r>
    </w:p>
    <w:p w14:paraId="369138AA" w14:textId="77777777" w:rsidR="00C52769" w:rsidRPr="00C52769" w:rsidRDefault="00C52769" w:rsidP="00C52769">
      <w:pPr>
        <w:spacing w:before="240" w:after="240"/>
        <w:jc w:val="left"/>
        <w:rPr>
          <w:lang w:val="es-ES"/>
        </w:rPr>
      </w:pPr>
      <w:r>
        <w:rPr>
          <w:lang w:val="es-ES"/>
        </w:rPr>
        <w:t xml:space="preserve">En la segunda reunión del Comité Permanente de Servicios para la Aviación (SC-AVI-2), celebrada en marzo/abril de 2022, el Comité Permanente recibió un informe sobre los avances del TT-LTP. Aunque el TT-LTP ha realizado algunos progresos, el Comité Permanente consideró que era necesario examinar con más detalle cómo reestructurar y reescribir el plan a largo plazo para garantizar que respondiera </w:t>
      </w:r>
      <w:proofErr w:type="gramStart"/>
      <w:r>
        <w:rPr>
          <w:lang w:val="es-ES"/>
        </w:rPr>
        <w:t>adecuadamente y necesariamente</w:t>
      </w:r>
      <w:proofErr w:type="gramEnd"/>
      <w:r>
        <w:rPr>
          <w:lang w:val="es-ES"/>
        </w:rPr>
        <w:t xml:space="preserve"> a las repercusiones a medio y largo plazo de acontecimientos mundiales como la pandemia y el cambio climático. De hecho, el Comité Permanente consideró algunos de los muchos factores que influyen en la prestación actual y futura de los servicios de asistencia meteorológica a la aeronáutica, entre ellos:</w:t>
      </w:r>
    </w:p>
    <w:p w14:paraId="7C37938B" w14:textId="77777777" w:rsidR="00C52769" w:rsidRPr="00C52769" w:rsidRDefault="00C52769" w:rsidP="00C52769">
      <w:pPr>
        <w:pStyle w:val="ListParagraph"/>
        <w:numPr>
          <w:ilvl w:val="0"/>
          <w:numId w:val="7"/>
        </w:numPr>
        <w:spacing w:before="240"/>
        <w:ind w:left="1134" w:hanging="567"/>
        <w:rPr>
          <w:rFonts w:ascii="Verdana" w:hAnsi="Verdana"/>
          <w:sz w:val="20"/>
          <w:szCs w:val="20"/>
          <w:lang w:val="es-ES"/>
        </w:rPr>
      </w:pPr>
      <w:r>
        <w:rPr>
          <w:lang w:val="es-ES"/>
        </w:rPr>
        <w:t>La inversión en el consorcio global de la meteorología</w:t>
      </w:r>
    </w:p>
    <w:p w14:paraId="7B2427C4" w14:textId="77777777" w:rsidR="00C52769" w:rsidRPr="00C52769" w:rsidRDefault="00C52769" w:rsidP="00C52769">
      <w:pPr>
        <w:pStyle w:val="ListParagraph"/>
        <w:numPr>
          <w:ilvl w:val="0"/>
          <w:numId w:val="7"/>
        </w:numPr>
        <w:spacing w:before="240"/>
        <w:ind w:left="1134" w:hanging="567"/>
        <w:rPr>
          <w:rFonts w:ascii="Verdana" w:hAnsi="Verdana"/>
          <w:sz w:val="20"/>
          <w:szCs w:val="20"/>
          <w:lang w:val="es-ES"/>
        </w:rPr>
      </w:pPr>
      <w:r>
        <w:rPr>
          <w:lang w:val="es-ES"/>
        </w:rPr>
        <w:t>La recuperación de la pandemia de la COVID-19</w:t>
      </w:r>
    </w:p>
    <w:p w14:paraId="3516762D" w14:textId="77777777" w:rsidR="00C52769" w:rsidRPr="00C52769" w:rsidRDefault="00C52769" w:rsidP="00C52769">
      <w:pPr>
        <w:pStyle w:val="ListParagraph"/>
        <w:numPr>
          <w:ilvl w:val="0"/>
          <w:numId w:val="7"/>
        </w:numPr>
        <w:spacing w:before="240"/>
        <w:ind w:left="1134" w:hanging="567"/>
        <w:rPr>
          <w:rFonts w:ascii="Verdana" w:hAnsi="Verdana"/>
          <w:sz w:val="20"/>
          <w:szCs w:val="20"/>
          <w:lang w:val="es-ES"/>
        </w:rPr>
      </w:pPr>
      <w:r>
        <w:rPr>
          <w:lang w:val="es-ES"/>
        </w:rPr>
        <w:t>La demanda de la industria de la aviación de información meteorológica digitalizada, georreferenciada, de alta calidad y sin fisuras a nivel mundial</w:t>
      </w:r>
    </w:p>
    <w:p w14:paraId="39C06C72" w14:textId="77777777" w:rsidR="00C52769" w:rsidRPr="00C52769" w:rsidRDefault="00C52769" w:rsidP="00C52769">
      <w:pPr>
        <w:pStyle w:val="ListParagraph"/>
        <w:numPr>
          <w:ilvl w:val="0"/>
          <w:numId w:val="7"/>
        </w:numPr>
        <w:spacing w:before="240"/>
        <w:ind w:left="1134" w:hanging="567"/>
        <w:rPr>
          <w:rFonts w:ascii="Verdana" w:hAnsi="Verdana"/>
          <w:sz w:val="20"/>
          <w:szCs w:val="20"/>
          <w:lang w:val="es-ES"/>
        </w:rPr>
      </w:pPr>
      <w:r>
        <w:rPr>
          <w:lang w:val="es-ES"/>
        </w:rPr>
        <w:t>Impulso mundial para la sostenibilidad medioambiental</w:t>
      </w:r>
    </w:p>
    <w:p w14:paraId="260D31EC" w14:textId="77777777" w:rsidR="00C52769" w:rsidRPr="00C52769" w:rsidRDefault="00C52769" w:rsidP="00C52769">
      <w:pPr>
        <w:pStyle w:val="ListParagraph"/>
        <w:numPr>
          <w:ilvl w:val="0"/>
          <w:numId w:val="7"/>
        </w:numPr>
        <w:spacing w:before="240"/>
        <w:ind w:left="1134" w:hanging="567"/>
        <w:rPr>
          <w:rFonts w:ascii="Verdana" w:hAnsi="Verdana"/>
          <w:sz w:val="20"/>
          <w:szCs w:val="20"/>
          <w:lang w:val="es-ES"/>
        </w:rPr>
      </w:pPr>
      <w:r>
        <w:rPr>
          <w:lang w:val="es-ES"/>
        </w:rPr>
        <w:t xml:space="preserve">Los avances de la ciencia y la tecnología (por ejemplo, alta resolución, sistemas de predicción por conjuntos, inteligencia artificial, aprendizaje automático y sistemas de </w:t>
      </w:r>
      <w:proofErr w:type="spellStart"/>
      <w:r>
        <w:rPr>
          <w:lang w:val="es-ES"/>
        </w:rPr>
        <w:t>nowcasting</w:t>
      </w:r>
      <w:proofErr w:type="spellEnd"/>
      <w:r>
        <w:rPr>
          <w:lang w:val="es-ES"/>
        </w:rPr>
        <w:t>)</w:t>
      </w:r>
    </w:p>
    <w:p w14:paraId="634102C6" w14:textId="77777777" w:rsidR="00C52769" w:rsidRPr="00C52769" w:rsidRDefault="00C52769" w:rsidP="00C52769">
      <w:pPr>
        <w:pStyle w:val="ListParagraph"/>
        <w:numPr>
          <w:ilvl w:val="0"/>
          <w:numId w:val="7"/>
        </w:numPr>
        <w:spacing w:before="240"/>
        <w:ind w:left="1134" w:hanging="567"/>
        <w:rPr>
          <w:rFonts w:ascii="Verdana" w:hAnsi="Verdana"/>
          <w:sz w:val="20"/>
          <w:szCs w:val="20"/>
          <w:lang w:val="es-ES"/>
        </w:rPr>
      </w:pPr>
      <w:r>
        <w:rPr>
          <w:lang w:val="es-ES"/>
        </w:rPr>
        <w:t>Futuras funciones del personal meteorológico aeronáutico</w:t>
      </w:r>
    </w:p>
    <w:p w14:paraId="5014502D" w14:textId="77777777" w:rsidR="00C52769" w:rsidRPr="00C52769" w:rsidRDefault="00C52769" w:rsidP="00C52769">
      <w:pPr>
        <w:jc w:val="left"/>
        <w:rPr>
          <w:lang w:val="es-ES"/>
        </w:rPr>
      </w:pPr>
      <w:r>
        <w:rPr>
          <w:lang w:val="es-ES"/>
        </w:rPr>
        <w:t>Además, el Comité Permanente reconoció que, en el futuro, era probable que se necesitara un número menor de Miembros de la OMM para prestar todos los componentes de la prestación de servicios de asistencia meteorológica a la aeronáutica.</w:t>
      </w:r>
    </w:p>
    <w:p w14:paraId="3654BDEB" w14:textId="77777777" w:rsidR="00C52769" w:rsidRPr="00E063DB" w:rsidRDefault="00C52769" w:rsidP="00C52769">
      <w:pPr>
        <w:pStyle w:val="Heading3"/>
      </w:pPr>
      <w:r>
        <w:rPr>
          <w:lang w:val="es-ES"/>
        </w:rPr>
        <w:t>Próximos pasos</w:t>
      </w:r>
    </w:p>
    <w:p w14:paraId="6C06A59A" w14:textId="77777777" w:rsidR="00C52769" w:rsidRPr="00C52769" w:rsidRDefault="00C52769" w:rsidP="00C52769">
      <w:pPr>
        <w:spacing w:before="360" w:after="240"/>
        <w:jc w:val="left"/>
        <w:rPr>
          <w:lang w:val="es-ES"/>
        </w:rPr>
      </w:pPr>
      <w:r>
        <w:rPr>
          <w:lang w:val="es-ES"/>
        </w:rPr>
        <w:t xml:space="preserve">Después de la SC-AVI-2 y teniendo en cuenta la información obtenida durante y desde la reunión, los Coordinadores Temáticos de Estrategia y Gobernanza dentro de la SC-AVI han dirigido el desarrollo de un proyecto de marco para informar la segunda edición del Plan a </w:t>
      </w:r>
      <w:r>
        <w:rPr>
          <w:lang w:val="es-ES"/>
        </w:rPr>
        <w:lastRenderedPageBreak/>
        <w:t>Largo Plazo para la Meteorología Aeronáutica. La segunda edición deberá estar terminada a tiempo para ser examinada en la tercera reunión del Comité Permanente de Servicios para la Aviación (SC-AVI-3) a finales de 2023 y luego en la tercera sesión de la Comisión de Servicios (SERCOM-3) a principios de 2024.</w:t>
      </w:r>
    </w:p>
    <w:p w14:paraId="560BFEDA" w14:textId="77777777" w:rsidR="00C52769" w:rsidRPr="00C52769" w:rsidRDefault="00C52769" w:rsidP="00C52769">
      <w:pPr>
        <w:spacing w:before="240" w:after="240"/>
        <w:jc w:val="left"/>
        <w:rPr>
          <w:lang w:val="es-ES"/>
        </w:rPr>
      </w:pPr>
      <w:r>
        <w:rPr>
          <w:lang w:val="es-ES"/>
        </w:rPr>
        <w:t>El cuadro 1 ilustra la posible nueva estructura y el contenido del plan a largo plazo.</w:t>
      </w:r>
    </w:p>
    <w:p w14:paraId="253CDF6B" w14:textId="77777777" w:rsidR="00C52769" w:rsidRPr="00C52769" w:rsidRDefault="00C52769" w:rsidP="00C52769">
      <w:pPr>
        <w:spacing w:before="240" w:after="240"/>
        <w:jc w:val="left"/>
        <w:rPr>
          <w:lang w:val="es-ES"/>
        </w:rPr>
      </w:pPr>
      <w:r>
        <w:rPr>
          <w:lang w:val="es-ES"/>
        </w:rPr>
        <w:t>Queda por determinar si la actualización del plan a largo plazo se someterá simplemente a la aprobación de la SERCOM-3 en 2024 antes de su publicación o si el Consejo Ejecutivo o el Congreso Extraordinario de 2024 o 2025 participarán en el proceso de aprobación final. En cualquier caso, se prevé que la segunda edición del Plan a largo plazo de meteorología aeronáutica sea publicada por la OMM antes de finales de 2025.</w:t>
      </w:r>
    </w:p>
    <w:p w14:paraId="2B53C6C4" w14:textId="77777777" w:rsidR="00C52769" w:rsidRPr="00E063DB" w:rsidRDefault="00C52769" w:rsidP="00C52769">
      <w:pPr>
        <w:pStyle w:val="WMOBodyText"/>
        <w:jc w:val="center"/>
      </w:pPr>
      <w:r>
        <w:rPr>
          <w:lang w:val="es-ES"/>
        </w:rPr>
        <w:t>_______________</w:t>
      </w:r>
    </w:p>
    <w:p w14:paraId="47FD1E33" w14:textId="77777777" w:rsidR="00C52769" w:rsidRPr="00E063DB" w:rsidRDefault="00C52769" w:rsidP="00C52769">
      <w:pPr>
        <w:pStyle w:val="Heading3"/>
        <w:jc w:val="center"/>
      </w:pPr>
      <w:bookmarkStart w:id="1" w:name="_Table_1._Illustration"/>
      <w:bookmarkEnd w:id="1"/>
      <w:r>
        <w:rPr>
          <w:lang w:val="es-ES"/>
        </w:rPr>
        <w:t>Cuadro 1. Ilustración de la posible nueva estructura y contenido del Plan a Largo Plazo de Meteorología Aeronáutica.</w:t>
      </w:r>
    </w:p>
    <w:tbl>
      <w:tblPr>
        <w:tblStyle w:val="TableGrid"/>
        <w:tblW w:w="0" w:type="auto"/>
        <w:tblLayout w:type="fixed"/>
        <w:tblLook w:val="04A0" w:firstRow="1" w:lastRow="0" w:firstColumn="1" w:lastColumn="0" w:noHBand="0" w:noVBand="1"/>
      </w:tblPr>
      <w:tblGrid>
        <w:gridCol w:w="3114"/>
        <w:gridCol w:w="6515"/>
      </w:tblGrid>
      <w:tr w:rsidR="00C52769" w:rsidRPr="00E063DB" w14:paraId="31839EE4" w14:textId="77777777" w:rsidTr="006379C0">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7C71ED" w14:textId="77777777" w:rsidR="00C52769" w:rsidRPr="00E063DB" w:rsidRDefault="00C52769" w:rsidP="006379C0">
            <w:pPr>
              <w:jc w:val="left"/>
              <w:rPr>
                <w:b/>
                <w:bCs/>
              </w:rPr>
            </w:pPr>
            <w:r>
              <w:rPr>
                <w:b/>
                <w:bCs/>
                <w:lang w:val="es-ES"/>
              </w:rPr>
              <w:t>Título de la sección</w:t>
            </w:r>
          </w:p>
        </w:tc>
        <w:tc>
          <w:tcPr>
            <w:tcW w:w="65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2B846A" w14:textId="77777777" w:rsidR="00C52769" w:rsidRPr="00E063DB" w:rsidRDefault="00C52769" w:rsidP="006379C0">
            <w:pPr>
              <w:jc w:val="left"/>
              <w:rPr>
                <w:b/>
                <w:bCs/>
              </w:rPr>
            </w:pPr>
            <w:r>
              <w:rPr>
                <w:b/>
                <w:bCs/>
                <w:lang w:val="es-ES"/>
              </w:rPr>
              <w:t>Contenido</w:t>
            </w:r>
            <w:r>
              <w:rPr>
                <w:lang w:val="es-ES"/>
              </w:rPr>
              <w:t xml:space="preserve"> </w:t>
            </w:r>
          </w:p>
        </w:tc>
      </w:tr>
      <w:tr w:rsidR="00C52769" w:rsidRPr="00DE4B27" w14:paraId="10A62D5E" w14:textId="77777777" w:rsidTr="006379C0">
        <w:tc>
          <w:tcPr>
            <w:tcW w:w="3114" w:type="dxa"/>
            <w:tcBorders>
              <w:top w:val="single" w:sz="4" w:space="0" w:color="auto"/>
              <w:left w:val="single" w:sz="4" w:space="0" w:color="auto"/>
              <w:bottom w:val="single" w:sz="4" w:space="0" w:color="auto"/>
              <w:right w:val="single" w:sz="4" w:space="0" w:color="auto"/>
            </w:tcBorders>
            <w:hideMark/>
          </w:tcPr>
          <w:p w14:paraId="21735624" w14:textId="77777777" w:rsidR="00C52769" w:rsidRPr="00E063DB" w:rsidRDefault="00C52769" w:rsidP="006379C0">
            <w:pPr>
              <w:spacing w:before="60"/>
              <w:jc w:val="left"/>
            </w:pPr>
            <w:r>
              <w:rPr>
                <w:lang w:val="es-ES"/>
              </w:rPr>
              <w:t>Introducción/Antecedentes</w:t>
            </w:r>
          </w:p>
        </w:tc>
        <w:tc>
          <w:tcPr>
            <w:tcW w:w="6515" w:type="dxa"/>
            <w:tcBorders>
              <w:top w:val="single" w:sz="4" w:space="0" w:color="auto"/>
              <w:left w:val="single" w:sz="4" w:space="0" w:color="auto"/>
              <w:bottom w:val="single" w:sz="4" w:space="0" w:color="auto"/>
              <w:right w:val="single" w:sz="4" w:space="0" w:color="auto"/>
            </w:tcBorders>
            <w:hideMark/>
          </w:tcPr>
          <w:p w14:paraId="60BC573A" w14:textId="77777777" w:rsidR="00C52769" w:rsidRPr="00C52769" w:rsidRDefault="00C52769" w:rsidP="00C52769">
            <w:pPr>
              <w:pStyle w:val="ListParagraph"/>
              <w:numPr>
                <w:ilvl w:val="0"/>
                <w:numId w:val="1"/>
              </w:numPr>
              <w:spacing w:before="60" w:after="0" w:line="240" w:lineRule="auto"/>
              <w:ind w:left="312" w:hanging="284"/>
              <w:contextualSpacing w:val="0"/>
              <w:rPr>
                <w:rFonts w:ascii="Verdana" w:hAnsi="Verdana"/>
                <w:sz w:val="20"/>
                <w:szCs w:val="20"/>
                <w:lang w:val="es-ES"/>
              </w:rPr>
            </w:pPr>
            <w:r>
              <w:rPr>
                <w:lang w:val="es-ES"/>
              </w:rPr>
              <w:t>Resumen de los cambios de la versión 2019</w:t>
            </w:r>
          </w:p>
          <w:p w14:paraId="346B3618" w14:textId="77777777" w:rsidR="00C52769" w:rsidRPr="00C52769" w:rsidRDefault="00C52769" w:rsidP="00C52769">
            <w:pPr>
              <w:pStyle w:val="ListParagraph"/>
              <w:numPr>
                <w:ilvl w:val="0"/>
                <w:numId w:val="1"/>
              </w:numPr>
              <w:spacing w:line="256" w:lineRule="auto"/>
              <w:ind w:left="313" w:right="66" w:hanging="283"/>
              <w:rPr>
                <w:rFonts w:ascii="Verdana" w:hAnsi="Verdana"/>
                <w:sz w:val="20"/>
                <w:szCs w:val="20"/>
                <w:lang w:val="es-ES"/>
              </w:rPr>
            </w:pPr>
            <w:r>
              <w:rPr>
                <w:lang w:val="es-ES"/>
              </w:rPr>
              <w:t>Recuperación de la industria tras la pandemia de la COVID-19</w:t>
            </w:r>
          </w:p>
          <w:p w14:paraId="10071163" w14:textId="77777777" w:rsidR="00C52769" w:rsidRPr="00C52769" w:rsidRDefault="00C52769" w:rsidP="00C52769">
            <w:pPr>
              <w:pStyle w:val="ListParagraph"/>
              <w:numPr>
                <w:ilvl w:val="0"/>
                <w:numId w:val="1"/>
              </w:numPr>
              <w:spacing w:line="256" w:lineRule="auto"/>
              <w:ind w:left="313" w:hanging="283"/>
              <w:rPr>
                <w:rFonts w:ascii="Verdana" w:hAnsi="Verdana"/>
                <w:sz w:val="20"/>
                <w:szCs w:val="20"/>
                <w:lang w:val="es-ES"/>
              </w:rPr>
            </w:pPr>
            <w:r>
              <w:rPr>
                <w:lang w:val="es-ES"/>
              </w:rPr>
              <w:t>Resumen de las necesidades del sector con respecto a las normas mundiales, la calidad y los servicios de información</w:t>
            </w:r>
          </w:p>
          <w:p w14:paraId="7A32AE32" w14:textId="77777777" w:rsidR="00C52769" w:rsidRPr="00E063DB" w:rsidRDefault="00C52769" w:rsidP="00C52769">
            <w:pPr>
              <w:pStyle w:val="ListParagraph"/>
              <w:numPr>
                <w:ilvl w:val="0"/>
                <w:numId w:val="1"/>
              </w:numPr>
              <w:spacing w:line="256" w:lineRule="auto"/>
              <w:ind w:left="313" w:hanging="283"/>
              <w:rPr>
                <w:rFonts w:ascii="Verdana" w:hAnsi="Verdana"/>
                <w:sz w:val="20"/>
                <w:szCs w:val="20"/>
              </w:rPr>
            </w:pPr>
            <w:r>
              <w:rPr>
                <w:lang w:val="es-ES"/>
              </w:rPr>
              <w:t>Consideraciones sobre la sostenibilidad medioambiental</w:t>
            </w:r>
          </w:p>
          <w:p w14:paraId="0551ACF4" w14:textId="77777777" w:rsidR="00C52769" w:rsidRPr="00C52769" w:rsidRDefault="00C52769" w:rsidP="00C52769">
            <w:pPr>
              <w:pStyle w:val="ListParagraph"/>
              <w:numPr>
                <w:ilvl w:val="0"/>
                <w:numId w:val="1"/>
              </w:numPr>
              <w:spacing w:line="256" w:lineRule="auto"/>
              <w:ind w:left="313" w:hanging="283"/>
              <w:rPr>
                <w:rFonts w:ascii="Verdana" w:hAnsi="Verdana"/>
                <w:sz w:val="20"/>
                <w:szCs w:val="20"/>
                <w:lang w:val="es-ES"/>
              </w:rPr>
            </w:pPr>
            <w:r>
              <w:rPr>
                <w:lang w:val="es-ES"/>
              </w:rPr>
              <w:t>Diversas motivaciones entre los miembros de la OMM para la prestación de servicios a la aviación</w:t>
            </w:r>
          </w:p>
          <w:p w14:paraId="2964B8A0" w14:textId="77777777" w:rsidR="00C52769" w:rsidRPr="00E063DB" w:rsidRDefault="00C52769" w:rsidP="00C52769">
            <w:pPr>
              <w:pStyle w:val="ListParagraph"/>
              <w:numPr>
                <w:ilvl w:val="0"/>
                <w:numId w:val="1"/>
              </w:numPr>
              <w:spacing w:line="256" w:lineRule="auto"/>
              <w:ind w:left="313" w:hanging="283"/>
              <w:rPr>
                <w:rFonts w:ascii="Verdana" w:hAnsi="Verdana"/>
                <w:sz w:val="20"/>
                <w:szCs w:val="20"/>
              </w:rPr>
            </w:pPr>
            <w:r>
              <w:rPr>
                <w:lang w:val="es-ES"/>
              </w:rPr>
              <w:t>Globalización de la empresa meteorológica</w:t>
            </w:r>
          </w:p>
          <w:p w14:paraId="180B9D81" w14:textId="77777777" w:rsidR="00C52769" w:rsidRPr="00C52769" w:rsidRDefault="00C52769" w:rsidP="00C52769">
            <w:pPr>
              <w:pStyle w:val="ListParagraph"/>
              <w:numPr>
                <w:ilvl w:val="0"/>
                <w:numId w:val="1"/>
              </w:numPr>
              <w:spacing w:line="256" w:lineRule="auto"/>
              <w:ind w:left="313" w:hanging="283"/>
              <w:rPr>
                <w:rFonts w:ascii="Verdana" w:hAnsi="Verdana"/>
                <w:sz w:val="20"/>
                <w:szCs w:val="20"/>
                <w:lang w:val="es-ES"/>
              </w:rPr>
            </w:pPr>
            <w:r>
              <w:rPr>
                <w:lang w:val="es-ES"/>
              </w:rPr>
              <w:t>Transformación de la prestación de servicios y evolución del papel del personal meteorológico aeronáutico</w:t>
            </w:r>
          </w:p>
        </w:tc>
      </w:tr>
      <w:tr w:rsidR="00C52769" w:rsidRPr="00DE4B27" w14:paraId="615DA58E" w14:textId="77777777" w:rsidTr="006379C0">
        <w:tc>
          <w:tcPr>
            <w:tcW w:w="3114" w:type="dxa"/>
            <w:tcBorders>
              <w:top w:val="single" w:sz="4" w:space="0" w:color="auto"/>
              <w:left w:val="single" w:sz="4" w:space="0" w:color="auto"/>
              <w:bottom w:val="single" w:sz="4" w:space="0" w:color="auto"/>
              <w:right w:val="single" w:sz="4" w:space="0" w:color="auto"/>
            </w:tcBorders>
            <w:hideMark/>
          </w:tcPr>
          <w:p w14:paraId="522717E9" w14:textId="77777777" w:rsidR="00C52769" w:rsidRPr="00C52769" w:rsidRDefault="00C52769" w:rsidP="006379C0">
            <w:pPr>
              <w:spacing w:before="60"/>
              <w:jc w:val="left"/>
              <w:rPr>
                <w:lang w:val="es-ES"/>
              </w:rPr>
            </w:pPr>
            <w:r>
              <w:rPr>
                <w:lang w:val="es-ES"/>
              </w:rPr>
              <w:t>El futuro de la prestación de servicios de meteorología aeronáutica</w:t>
            </w:r>
          </w:p>
        </w:tc>
        <w:tc>
          <w:tcPr>
            <w:tcW w:w="6515" w:type="dxa"/>
            <w:tcBorders>
              <w:top w:val="single" w:sz="4" w:space="0" w:color="auto"/>
              <w:left w:val="single" w:sz="4" w:space="0" w:color="auto"/>
              <w:bottom w:val="single" w:sz="4" w:space="0" w:color="auto"/>
              <w:right w:val="single" w:sz="4" w:space="0" w:color="auto"/>
            </w:tcBorders>
            <w:hideMark/>
          </w:tcPr>
          <w:p w14:paraId="40CD184A" w14:textId="77777777" w:rsidR="00C52769" w:rsidRPr="00C52769" w:rsidRDefault="00C52769" w:rsidP="00C52769">
            <w:pPr>
              <w:pStyle w:val="ListParagraph"/>
              <w:numPr>
                <w:ilvl w:val="0"/>
                <w:numId w:val="1"/>
              </w:numPr>
              <w:spacing w:before="60" w:after="0" w:line="240" w:lineRule="auto"/>
              <w:ind w:left="312" w:hanging="284"/>
              <w:contextualSpacing w:val="0"/>
              <w:rPr>
                <w:rFonts w:ascii="Verdana" w:hAnsi="Verdana"/>
                <w:sz w:val="20"/>
                <w:szCs w:val="20"/>
                <w:lang w:val="es-ES"/>
              </w:rPr>
            </w:pPr>
            <w:r>
              <w:rPr>
                <w:lang w:val="es-ES"/>
              </w:rPr>
              <w:t>Los avances de la ciencia y la tecnología, y el posterior diseño de la información meteorológica</w:t>
            </w:r>
          </w:p>
          <w:p w14:paraId="1729B623" w14:textId="77777777" w:rsidR="00C52769" w:rsidRPr="00C52769" w:rsidRDefault="00C52769" w:rsidP="00C52769">
            <w:pPr>
              <w:pStyle w:val="ListParagraph"/>
              <w:numPr>
                <w:ilvl w:val="0"/>
                <w:numId w:val="2"/>
              </w:numPr>
              <w:spacing w:line="256" w:lineRule="auto"/>
              <w:ind w:left="313" w:hanging="283"/>
              <w:rPr>
                <w:rFonts w:ascii="Verdana" w:hAnsi="Verdana"/>
                <w:sz w:val="20"/>
                <w:szCs w:val="20"/>
                <w:lang w:val="es-ES"/>
              </w:rPr>
            </w:pPr>
            <w:r>
              <w:rPr>
                <w:lang w:val="es-ES"/>
              </w:rPr>
              <w:t>La industria necesita conjuntos de datos globales, digitalizados y de alta resolución como base de la prestación de servicios meteorológicos</w:t>
            </w:r>
          </w:p>
          <w:p w14:paraId="363D1BBB" w14:textId="77777777" w:rsidR="00C52769" w:rsidRPr="00C52769" w:rsidRDefault="00C52769" w:rsidP="00C52769">
            <w:pPr>
              <w:pStyle w:val="ListParagraph"/>
              <w:numPr>
                <w:ilvl w:val="0"/>
                <w:numId w:val="2"/>
              </w:numPr>
              <w:spacing w:line="256" w:lineRule="auto"/>
              <w:ind w:left="313" w:right="66" w:hanging="283"/>
              <w:rPr>
                <w:rFonts w:ascii="Verdana" w:hAnsi="Verdana"/>
                <w:sz w:val="20"/>
                <w:szCs w:val="20"/>
                <w:lang w:val="es-ES"/>
              </w:rPr>
            </w:pPr>
            <w:r>
              <w:rPr>
                <w:lang w:val="es-ES"/>
              </w:rPr>
              <w:t>La evolución del papel de los humanos y las máquinas en la prestación de servicios meteorológicos y, en concreto, en los procesos de toma de decisiones</w:t>
            </w:r>
          </w:p>
        </w:tc>
      </w:tr>
      <w:tr w:rsidR="00C52769" w:rsidRPr="00DE4B27" w14:paraId="14E204D2" w14:textId="77777777" w:rsidTr="006379C0">
        <w:tc>
          <w:tcPr>
            <w:tcW w:w="3114" w:type="dxa"/>
            <w:tcBorders>
              <w:top w:val="single" w:sz="4" w:space="0" w:color="auto"/>
              <w:left w:val="single" w:sz="4" w:space="0" w:color="auto"/>
              <w:bottom w:val="single" w:sz="4" w:space="0" w:color="auto"/>
              <w:right w:val="single" w:sz="4" w:space="0" w:color="auto"/>
            </w:tcBorders>
            <w:hideMark/>
          </w:tcPr>
          <w:p w14:paraId="60A52382" w14:textId="77777777" w:rsidR="00C52769" w:rsidRPr="00C52769" w:rsidRDefault="00C52769" w:rsidP="006379C0">
            <w:pPr>
              <w:spacing w:before="60"/>
              <w:jc w:val="left"/>
              <w:rPr>
                <w:lang w:val="es-ES"/>
              </w:rPr>
            </w:pPr>
            <w:r>
              <w:rPr>
                <w:lang w:val="es-ES"/>
              </w:rPr>
              <w:t>Cambio de funciones de los proveedores de asistencia meteorológica a la aeronáutica</w:t>
            </w:r>
          </w:p>
        </w:tc>
        <w:tc>
          <w:tcPr>
            <w:tcW w:w="6515" w:type="dxa"/>
            <w:tcBorders>
              <w:top w:val="single" w:sz="4" w:space="0" w:color="auto"/>
              <w:left w:val="single" w:sz="4" w:space="0" w:color="auto"/>
              <w:bottom w:val="single" w:sz="4" w:space="0" w:color="auto"/>
              <w:right w:val="single" w:sz="4" w:space="0" w:color="auto"/>
            </w:tcBorders>
            <w:hideMark/>
          </w:tcPr>
          <w:p w14:paraId="3A5013C9" w14:textId="77777777" w:rsidR="00C52769" w:rsidRPr="00C52769" w:rsidRDefault="00C52769" w:rsidP="00C52769">
            <w:pPr>
              <w:pStyle w:val="ListParagraph"/>
              <w:numPr>
                <w:ilvl w:val="0"/>
                <w:numId w:val="1"/>
              </w:numPr>
              <w:spacing w:before="60" w:after="0" w:line="240" w:lineRule="auto"/>
              <w:ind w:left="312" w:hanging="284"/>
              <w:contextualSpacing w:val="0"/>
              <w:rPr>
                <w:rFonts w:ascii="Verdana" w:hAnsi="Verdana"/>
                <w:sz w:val="20"/>
                <w:szCs w:val="20"/>
                <w:lang w:val="es-ES"/>
              </w:rPr>
            </w:pPr>
            <w:r>
              <w:rPr>
                <w:lang w:val="es-ES"/>
              </w:rPr>
              <w:t>Evolución de los requisitos de competencia y de la formación y el desarrollo correspondientes</w:t>
            </w:r>
          </w:p>
          <w:p w14:paraId="2D13CC87" w14:textId="77777777" w:rsidR="00C52769" w:rsidRPr="00C52769" w:rsidRDefault="00C52769" w:rsidP="00C52769">
            <w:pPr>
              <w:pStyle w:val="ListParagraph"/>
              <w:numPr>
                <w:ilvl w:val="3"/>
                <w:numId w:val="3"/>
              </w:numPr>
              <w:spacing w:line="256" w:lineRule="auto"/>
              <w:ind w:left="313" w:hanging="313"/>
              <w:rPr>
                <w:rFonts w:ascii="Verdana" w:hAnsi="Verdana"/>
                <w:sz w:val="20"/>
                <w:szCs w:val="20"/>
                <w:lang w:val="es-ES"/>
              </w:rPr>
            </w:pPr>
            <w:r>
              <w:rPr>
                <w:lang w:val="es-ES"/>
              </w:rPr>
              <w:t>Contribuciones al conjunto de servicios sin fisuras</w:t>
            </w:r>
          </w:p>
          <w:p w14:paraId="6B9A2DF5" w14:textId="77777777" w:rsidR="00C52769" w:rsidRPr="00C52769" w:rsidRDefault="00C52769" w:rsidP="00C52769">
            <w:pPr>
              <w:pStyle w:val="ListParagraph"/>
              <w:numPr>
                <w:ilvl w:val="0"/>
                <w:numId w:val="3"/>
              </w:numPr>
              <w:spacing w:line="256" w:lineRule="auto"/>
              <w:ind w:left="313" w:hanging="313"/>
              <w:rPr>
                <w:rFonts w:ascii="Verdana" w:hAnsi="Verdana"/>
                <w:sz w:val="20"/>
                <w:szCs w:val="20"/>
                <w:lang w:val="es-ES"/>
              </w:rPr>
            </w:pPr>
            <w:r>
              <w:rPr>
                <w:lang w:val="es-ES"/>
              </w:rPr>
              <w:t>Reconocimiento de que la prestación de servicios variará según los proveedores de servicios, ya que algunos de ellos han optado por abandonar su programa de meteorología aeronáutica</w:t>
            </w:r>
          </w:p>
        </w:tc>
      </w:tr>
      <w:tr w:rsidR="00C52769" w:rsidRPr="00DE4B27" w14:paraId="6295331D" w14:textId="77777777" w:rsidTr="006379C0">
        <w:tc>
          <w:tcPr>
            <w:tcW w:w="3114" w:type="dxa"/>
            <w:tcBorders>
              <w:top w:val="single" w:sz="4" w:space="0" w:color="auto"/>
              <w:left w:val="single" w:sz="4" w:space="0" w:color="auto"/>
              <w:bottom w:val="single" w:sz="4" w:space="0" w:color="auto"/>
              <w:right w:val="single" w:sz="4" w:space="0" w:color="auto"/>
            </w:tcBorders>
            <w:hideMark/>
          </w:tcPr>
          <w:p w14:paraId="3DDFA6A9" w14:textId="77777777" w:rsidR="00C52769" w:rsidRPr="00C52769" w:rsidRDefault="00C52769" w:rsidP="006379C0">
            <w:pPr>
              <w:spacing w:before="60"/>
              <w:jc w:val="left"/>
              <w:rPr>
                <w:lang w:val="es-ES"/>
              </w:rPr>
            </w:pPr>
            <w:r>
              <w:rPr>
                <w:lang w:val="es-ES"/>
              </w:rPr>
              <w:t>Transición al estado futuro (hoja de ruta)</w:t>
            </w:r>
          </w:p>
        </w:tc>
        <w:tc>
          <w:tcPr>
            <w:tcW w:w="6515" w:type="dxa"/>
            <w:tcBorders>
              <w:top w:val="single" w:sz="4" w:space="0" w:color="auto"/>
              <w:left w:val="single" w:sz="4" w:space="0" w:color="auto"/>
              <w:bottom w:val="single" w:sz="4" w:space="0" w:color="auto"/>
              <w:right w:val="single" w:sz="4" w:space="0" w:color="auto"/>
            </w:tcBorders>
            <w:hideMark/>
          </w:tcPr>
          <w:p w14:paraId="480967FA" w14:textId="77777777" w:rsidR="00C52769" w:rsidRPr="00E063DB" w:rsidRDefault="00C52769" w:rsidP="00C52769">
            <w:pPr>
              <w:pStyle w:val="ListParagraph"/>
              <w:numPr>
                <w:ilvl w:val="0"/>
                <w:numId w:val="1"/>
              </w:numPr>
              <w:spacing w:before="60" w:after="0" w:line="240" w:lineRule="auto"/>
              <w:ind w:left="312" w:hanging="284"/>
              <w:contextualSpacing w:val="0"/>
              <w:rPr>
                <w:rFonts w:ascii="Verdana" w:hAnsi="Verdana"/>
                <w:sz w:val="20"/>
                <w:szCs w:val="20"/>
              </w:rPr>
            </w:pPr>
            <w:r>
              <w:rPr>
                <w:lang w:val="es-ES"/>
              </w:rPr>
              <w:t>Compromiso de los consumidores</w:t>
            </w:r>
          </w:p>
          <w:p w14:paraId="2BE6BFB5" w14:textId="77777777" w:rsidR="00C52769" w:rsidRPr="00C52769" w:rsidRDefault="00C52769" w:rsidP="00C52769">
            <w:pPr>
              <w:pStyle w:val="ListParagraph"/>
              <w:numPr>
                <w:ilvl w:val="0"/>
                <w:numId w:val="4"/>
              </w:numPr>
              <w:spacing w:line="256" w:lineRule="auto"/>
              <w:ind w:left="313" w:hanging="283"/>
              <w:rPr>
                <w:rFonts w:ascii="Verdana" w:hAnsi="Verdana"/>
                <w:sz w:val="20"/>
                <w:szCs w:val="20"/>
                <w:lang w:val="es-ES"/>
              </w:rPr>
            </w:pPr>
            <w:r>
              <w:rPr>
                <w:lang w:val="es-ES"/>
              </w:rPr>
              <w:t>Desarrollo y prestación de servicios de ciclo rápido</w:t>
            </w:r>
          </w:p>
          <w:p w14:paraId="4E554D15" w14:textId="77777777" w:rsidR="00C52769" w:rsidRPr="00C52769" w:rsidRDefault="00C52769" w:rsidP="00C52769">
            <w:pPr>
              <w:pStyle w:val="ListParagraph"/>
              <w:numPr>
                <w:ilvl w:val="0"/>
                <w:numId w:val="4"/>
              </w:numPr>
              <w:spacing w:line="256" w:lineRule="auto"/>
              <w:ind w:left="313" w:hanging="283"/>
              <w:rPr>
                <w:rFonts w:ascii="Verdana" w:hAnsi="Verdana"/>
                <w:sz w:val="20"/>
                <w:szCs w:val="20"/>
                <w:lang w:val="es-ES"/>
              </w:rPr>
            </w:pPr>
            <w:r>
              <w:rPr>
                <w:lang w:val="es-ES"/>
              </w:rPr>
              <w:t>Automatización de pronósticos aeronáuticos (cantidades) y de las observaciones</w:t>
            </w:r>
          </w:p>
          <w:p w14:paraId="397AFFA9" w14:textId="77777777" w:rsidR="00C52769" w:rsidRPr="00C52769" w:rsidRDefault="00C52769" w:rsidP="00C52769">
            <w:pPr>
              <w:pStyle w:val="ListParagraph"/>
              <w:numPr>
                <w:ilvl w:val="0"/>
                <w:numId w:val="4"/>
              </w:numPr>
              <w:spacing w:line="256" w:lineRule="auto"/>
              <w:ind w:left="313" w:hanging="283"/>
              <w:rPr>
                <w:rFonts w:ascii="Verdana" w:hAnsi="Verdana"/>
                <w:sz w:val="20"/>
                <w:szCs w:val="20"/>
                <w:lang w:val="es-ES"/>
              </w:rPr>
            </w:pPr>
            <w:r>
              <w:rPr>
                <w:lang w:val="es-ES"/>
              </w:rPr>
              <w:lastRenderedPageBreak/>
              <w:t>La experiencia humana se desplaza a cualidades como la interpretación, las limitaciones, la probabilidad, los impactos</w:t>
            </w:r>
          </w:p>
          <w:p w14:paraId="3EAED8DA" w14:textId="77777777" w:rsidR="00C52769" w:rsidRPr="00C52769" w:rsidRDefault="00C52769" w:rsidP="00C52769">
            <w:pPr>
              <w:pStyle w:val="ListParagraph"/>
              <w:numPr>
                <w:ilvl w:val="0"/>
                <w:numId w:val="4"/>
              </w:numPr>
              <w:spacing w:line="256" w:lineRule="auto"/>
              <w:ind w:left="313" w:hanging="283"/>
              <w:rPr>
                <w:rFonts w:ascii="Verdana" w:hAnsi="Verdana"/>
                <w:sz w:val="20"/>
                <w:szCs w:val="20"/>
                <w:lang w:val="es-ES"/>
              </w:rPr>
            </w:pPr>
            <w:r>
              <w:rPr>
                <w:lang w:val="es-ES"/>
              </w:rPr>
              <w:t>Áreas de interés para servicios adicionales, continuados y mejorados</w:t>
            </w:r>
          </w:p>
          <w:p w14:paraId="54C1F098" w14:textId="77777777" w:rsidR="00C52769" w:rsidRPr="00E063DB" w:rsidRDefault="00C52769" w:rsidP="00C52769">
            <w:pPr>
              <w:pStyle w:val="ListParagraph"/>
              <w:numPr>
                <w:ilvl w:val="0"/>
                <w:numId w:val="5"/>
              </w:numPr>
              <w:spacing w:line="256" w:lineRule="auto"/>
              <w:ind w:left="320" w:hanging="290"/>
              <w:rPr>
                <w:rFonts w:ascii="Verdana" w:hAnsi="Verdana"/>
                <w:sz w:val="20"/>
                <w:szCs w:val="20"/>
              </w:rPr>
            </w:pPr>
            <w:r>
              <w:rPr>
                <w:lang w:val="es-ES"/>
              </w:rPr>
              <w:t>Necesidad de integración e interoperabilidad</w:t>
            </w:r>
          </w:p>
          <w:p w14:paraId="2F37E969" w14:textId="77777777" w:rsidR="00C52769" w:rsidRPr="00C52769" w:rsidRDefault="00C52769" w:rsidP="00C52769">
            <w:pPr>
              <w:pStyle w:val="ListParagraph"/>
              <w:numPr>
                <w:ilvl w:val="0"/>
                <w:numId w:val="5"/>
              </w:numPr>
              <w:spacing w:line="256" w:lineRule="auto"/>
              <w:ind w:left="320" w:hanging="290"/>
              <w:rPr>
                <w:rFonts w:ascii="Verdana" w:hAnsi="Verdana"/>
                <w:sz w:val="20"/>
                <w:szCs w:val="20"/>
                <w:lang w:val="es-ES"/>
              </w:rPr>
            </w:pPr>
            <w:r>
              <w:rPr>
                <w:lang w:val="es-ES"/>
              </w:rPr>
              <w:t>El papel de los proveedores de servicios meteorológicos aeronáuticos a lo largo del continuo que va de lo global a lo local, centrándose en las relaciones</w:t>
            </w:r>
          </w:p>
          <w:p w14:paraId="0F023418" w14:textId="77777777" w:rsidR="00C52769" w:rsidRPr="00C52769" w:rsidRDefault="00C52769" w:rsidP="00C52769">
            <w:pPr>
              <w:pStyle w:val="ListParagraph"/>
              <w:numPr>
                <w:ilvl w:val="0"/>
                <w:numId w:val="5"/>
              </w:numPr>
              <w:spacing w:line="256" w:lineRule="auto"/>
              <w:ind w:left="320" w:hanging="290"/>
              <w:rPr>
                <w:lang w:val="es-ES"/>
              </w:rPr>
            </w:pPr>
            <w:r>
              <w:rPr>
                <w:lang w:val="es-ES"/>
              </w:rPr>
              <w:t>Orientación para que los proveedores de servicios meteorológicos aeronáuticos realicen la transición</w:t>
            </w:r>
          </w:p>
        </w:tc>
      </w:tr>
      <w:tr w:rsidR="00C52769" w:rsidRPr="00DE4B27" w14:paraId="2C6E7CA5" w14:textId="77777777" w:rsidTr="006379C0">
        <w:tc>
          <w:tcPr>
            <w:tcW w:w="3114" w:type="dxa"/>
            <w:tcBorders>
              <w:top w:val="single" w:sz="4" w:space="0" w:color="auto"/>
              <w:left w:val="single" w:sz="4" w:space="0" w:color="auto"/>
              <w:bottom w:val="single" w:sz="4" w:space="0" w:color="auto"/>
              <w:right w:val="single" w:sz="4" w:space="0" w:color="auto"/>
            </w:tcBorders>
            <w:hideMark/>
          </w:tcPr>
          <w:p w14:paraId="10D6DACC" w14:textId="77777777" w:rsidR="00C52769" w:rsidRPr="00E063DB" w:rsidRDefault="00C52769" w:rsidP="006379C0">
            <w:pPr>
              <w:jc w:val="left"/>
            </w:pPr>
            <w:r>
              <w:rPr>
                <w:lang w:val="es-ES"/>
              </w:rPr>
              <w:lastRenderedPageBreak/>
              <w:t>Conclusión</w:t>
            </w:r>
          </w:p>
        </w:tc>
        <w:tc>
          <w:tcPr>
            <w:tcW w:w="6515" w:type="dxa"/>
            <w:tcBorders>
              <w:top w:val="single" w:sz="4" w:space="0" w:color="auto"/>
              <w:left w:val="single" w:sz="4" w:space="0" w:color="auto"/>
              <w:bottom w:val="single" w:sz="4" w:space="0" w:color="auto"/>
              <w:right w:val="single" w:sz="4" w:space="0" w:color="auto"/>
            </w:tcBorders>
            <w:hideMark/>
          </w:tcPr>
          <w:p w14:paraId="1D946FDF" w14:textId="77777777" w:rsidR="00C52769" w:rsidRPr="00C52769" w:rsidRDefault="00C52769" w:rsidP="00C52769">
            <w:pPr>
              <w:pStyle w:val="ListParagraph"/>
              <w:numPr>
                <w:ilvl w:val="3"/>
                <w:numId w:val="6"/>
              </w:numPr>
              <w:spacing w:line="256" w:lineRule="auto"/>
              <w:ind w:left="313" w:hanging="313"/>
              <w:rPr>
                <w:rFonts w:ascii="Verdana" w:hAnsi="Verdana"/>
                <w:sz w:val="20"/>
                <w:szCs w:val="20"/>
                <w:lang w:val="es-ES"/>
              </w:rPr>
            </w:pPr>
            <w:r>
              <w:rPr>
                <w:lang w:val="es-ES"/>
              </w:rPr>
              <w:t>Cambio de enfoque nacional a regional para la prestación de servicios meteorológicos aeronáuticos sostenibles</w:t>
            </w:r>
          </w:p>
          <w:p w14:paraId="6294747C" w14:textId="77777777" w:rsidR="00C52769" w:rsidRPr="00C52769" w:rsidRDefault="00C52769" w:rsidP="00C52769">
            <w:pPr>
              <w:pStyle w:val="ListParagraph"/>
              <w:numPr>
                <w:ilvl w:val="3"/>
                <w:numId w:val="6"/>
              </w:numPr>
              <w:spacing w:line="256" w:lineRule="auto"/>
              <w:ind w:left="313" w:hanging="313"/>
              <w:rPr>
                <w:rFonts w:ascii="Verdana" w:hAnsi="Verdana"/>
                <w:sz w:val="20"/>
                <w:szCs w:val="20"/>
                <w:lang w:val="es-ES"/>
              </w:rPr>
            </w:pPr>
            <w:r>
              <w:rPr>
                <w:lang w:val="es-ES"/>
              </w:rPr>
              <w:t>Los actuales proveedores de servicios de asistencia meteorológica a la aeronáutica están en una posición ideal para trabajar con las partes interesadas en la modernización de los servicios de asistencia meteorológica a la aeronáutica</w:t>
            </w:r>
          </w:p>
          <w:p w14:paraId="744594E8" w14:textId="77777777" w:rsidR="00C52769" w:rsidRPr="00C52769" w:rsidRDefault="00C52769" w:rsidP="00C52769">
            <w:pPr>
              <w:pStyle w:val="ListParagraph"/>
              <w:numPr>
                <w:ilvl w:val="0"/>
                <w:numId w:val="6"/>
              </w:numPr>
              <w:spacing w:line="256" w:lineRule="auto"/>
              <w:ind w:left="313" w:hanging="313"/>
              <w:rPr>
                <w:rFonts w:ascii="Verdana" w:hAnsi="Verdana"/>
                <w:sz w:val="20"/>
                <w:szCs w:val="20"/>
                <w:lang w:val="es-ES"/>
              </w:rPr>
            </w:pPr>
            <w:r>
              <w:rPr>
                <w:lang w:val="es-ES"/>
              </w:rPr>
              <w:t>La OMM demostrará que sigue siendo importante para el sector de la aviación</w:t>
            </w:r>
          </w:p>
        </w:tc>
      </w:tr>
    </w:tbl>
    <w:p w14:paraId="6C6A24C8" w14:textId="77777777" w:rsidR="00C52769" w:rsidRPr="00E063DB" w:rsidRDefault="00C52769" w:rsidP="00C52769">
      <w:pPr>
        <w:pStyle w:val="WMOBodyText"/>
        <w:jc w:val="center"/>
      </w:pPr>
      <w:r>
        <w:rPr>
          <w:lang w:val="es-ES"/>
        </w:rPr>
        <w:t>_______________</w:t>
      </w:r>
    </w:p>
    <w:p w14:paraId="71A2975A" w14:textId="51EC2C3E" w:rsidR="00864DBF" w:rsidRPr="002C5965" w:rsidRDefault="00864DBF" w:rsidP="00C52769">
      <w:pPr>
        <w:pStyle w:val="WMOBodyText"/>
        <w:ind w:left="3969" w:hanging="3969"/>
      </w:pPr>
    </w:p>
    <w:sectPr w:rsidR="00864DBF" w:rsidRPr="002C5965" w:rsidSect="0020095E">
      <w:headerReference w:type="default" r:id="rId12"/>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1D60" w14:textId="77777777" w:rsidR="00C52769" w:rsidRDefault="00C52769">
      <w:r>
        <w:separator/>
      </w:r>
    </w:p>
    <w:p w14:paraId="79C8C317" w14:textId="77777777" w:rsidR="00C52769" w:rsidRDefault="00C52769"/>
    <w:p w14:paraId="25F133AE" w14:textId="77777777" w:rsidR="00C52769" w:rsidRDefault="00C52769"/>
  </w:endnote>
  <w:endnote w:type="continuationSeparator" w:id="0">
    <w:p w14:paraId="27F8F8F3" w14:textId="77777777" w:rsidR="00C52769" w:rsidRDefault="00C52769">
      <w:r>
        <w:continuationSeparator/>
      </w:r>
    </w:p>
    <w:p w14:paraId="15735214" w14:textId="77777777" w:rsidR="00C52769" w:rsidRDefault="00C52769"/>
    <w:p w14:paraId="04208DE7" w14:textId="77777777" w:rsidR="00C52769" w:rsidRDefault="00C52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55A3" w14:textId="77777777" w:rsidR="00C52769" w:rsidRDefault="00C52769">
      <w:r>
        <w:separator/>
      </w:r>
    </w:p>
  </w:footnote>
  <w:footnote w:type="continuationSeparator" w:id="0">
    <w:p w14:paraId="28B52404" w14:textId="77777777" w:rsidR="00C52769" w:rsidRDefault="00C52769">
      <w:r>
        <w:continuationSeparator/>
      </w:r>
    </w:p>
    <w:p w14:paraId="48337D67" w14:textId="77777777" w:rsidR="00C52769" w:rsidRDefault="00C52769"/>
    <w:p w14:paraId="7A5EAAFC" w14:textId="77777777" w:rsidR="00C52769" w:rsidRDefault="00C527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7D03" w14:textId="292322B8" w:rsidR="007C212A" w:rsidRDefault="00C52769" w:rsidP="00290495">
    <w:pPr>
      <w:pStyle w:val="Header"/>
    </w:pPr>
    <w:r>
      <w:t>SERCOM-2/INF. 5.4</w:t>
    </w:r>
    <w:r w:rsidR="0020095E" w:rsidRPr="0092449A">
      <w:rPr>
        <w:lang w:val="es-ES"/>
      </w:rPr>
      <w:t xml:space="preserve">, p. </w:t>
    </w:r>
    <w:r w:rsidR="0020095E" w:rsidRPr="00C2459D">
      <w:rPr>
        <w:rStyle w:val="PageNumber"/>
      </w:rPr>
      <w:fldChar w:fldCharType="begin"/>
    </w:r>
    <w:r w:rsidR="0020095E" w:rsidRPr="0092449A">
      <w:rPr>
        <w:rStyle w:val="PageNumber"/>
        <w:lang w:val="es-ES"/>
      </w:rPr>
      <w:instrText xml:space="preserve"> PAGE </w:instrText>
    </w:r>
    <w:r w:rsidR="0020095E" w:rsidRPr="00C2459D">
      <w:rPr>
        <w:rStyle w:val="PageNumber"/>
      </w:rPr>
      <w:fldChar w:fldCharType="separate"/>
    </w:r>
    <w:r w:rsidR="00B62F03">
      <w:rPr>
        <w:rStyle w:val="PageNumber"/>
        <w:noProof/>
      </w:rPr>
      <w:t>6</w:t>
    </w:r>
    <w:r w:rsidR="0020095E" w:rsidRPr="00C2459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239"/>
    <w:multiLevelType w:val="hybridMultilevel"/>
    <w:tmpl w:val="7A7AF9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CE466A"/>
    <w:multiLevelType w:val="hybridMultilevel"/>
    <w:tmpl w:val="A540F34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966740"/>
    <w:multiLevelType w:val="hybridMultilevel"/>
    <w:tmpl w:val="A3A69F54"/>
    <w:lvl w:ilvl="0" w:tplc="0C090001">
      <w:start w:val="1"/>
      <w:numFmt w:val="bullet"/>
      <w:lvlText w:val=""/>
      <w:lvlJc w:val="left"/>
      <w:pPr>
        <w:ind w:left="390" w:hanging="360"/>
      </w:pPr>
      <w:rPr>
        <w:rFonts w:ascii="Symbol" w:hAnsi="Symbol" w:hint="default"/>
      </w:rPr>
    </w:lvl>
    <w:lvl w:ilvl="1" w:tplc="0C090003">
      <w:start w:val="1"/>
      <w:numFmt w:val="bullet"/>
      <w:lvlText w:val="o"/>
      <w:lvlJc w:val="left"/>
      <w:pPr>
        <w:ind w:left="1110" w:hanging="360"/>
      </w:pPr>
      <w:rPr>
        <w:rFonts w:ascii="Courier New" w:hAnsi="Courier New" w:cs="Courier New" w:hint="default"/>
      </w:rPr>
    </w:lvl>
    <w:lvl w:ilvl="2" w:tplc="0C090005">
      <w:start w:val="1"/>
      <w:numFmt w:val="bullet"/>
      <w:lvlText w:val=""/>
      <w:lvlJc w:val="left"/>
      <w:pPr>
        <w:ind w:left="1830" w:hanging="360"/>
      </w:pPr>
      <w:rPr>
        <w:rFonts w:ascii="Wingdings" w:hAnsi="Wingdings" w:hint="default"/>
      </w:rPr>
    </w:lvl>
    <w:lvl w:ilvl="3" w:tplc="0C090001">
      <w:start w:val="1"/>
      <w:numFmt w:val="bullet"/>
      <w:lvlText w:val=""/>
      <w:lvlJc w:val="left"/>
      <w:pPr>
        <w:ind w:left="2550" w:hanging="360"/>
      </w:pPr>
      <w:rPr>
        <w:rFonts w:ascii="Symbol" w:hAnsi="Symbol" w:hint="default"/>
      </w:rPr>
    </w:lvl>
    <w:lvl w:ilvl="4" w:tplc="0C090003">
      <w:start w:val="1"/>
      <w:numFmt w:val="bullet"/>
      <w:lvlText w:val="o"/>
      <w:lvlJc w:val="left"/>
      <w:pPr>
        <w:ind w:left="3270" w:hanging="360"/>
      </w:pPr>
      <w:rPr>
        <w:rFonts w:ascii="Courier New" w:hAnsi="Courier New" w:cs="Courier New" w:hint="default"/>
      </w:rPr>
    </w:lvl>
    <w:lvl w:ilvl="5" w:tplc="0C090005">
      <w:start w:val="1"/>
      <w:numFmt w:val="bullet"/>
      <w:lvlText w:val=""/>
      <w:lvlJc w:val="left"/>
      <w:pPr>
        <w:ind w:left="3990" w:hanging="360"/>
      </w:pPr>
      <w:rPr>
        <w:rFonts w:ascii="Wingdings" w:hAnsi="Wingdings" w:hint="default"/>
      </w:rPr>
    </w:lvl>
    <w:lvl w:ilvl="6" w:tplc="0C090001">
      <w:start w:val="1"/>
      <w:numFmt w:val="bullet"/>
      <w:lvlText w:val=""/>
      <w:lvlJc w:val="left"/>
      <w:pPr>
        <w:ind w:left="4710" w:hanging="360"/>
      </w:pPr>
      <w:rPr>
        <w:rFonts w:ascii="Symbol" w:hAnsi="Symbol" w:hint="default"/>
      </w:rPr>
    </w:lvl>
    <w:lvl w:ilvl="7" w:tplc="0C090003">
      <w:start w:val="1"/>
      <w:numFmt w:val="bullet"/>
      <w:lvlText w:val="o"/>
      <w:lvlJc w:val="left"/>
      <w:pPr>
        <w:ind w:left="5430" w:hanging="360"/>
      </w:pPr>
      <w:rPr>
        <w:rFonts w:ascii="Courier New" w:hAnsi="Courier New" w:cs="Courier New" w:hint="default"/>
      </w:rPr>
    </w:lvl>
    <w:lvl w:ilvl="8" w:tplc="0C090005">
      <w:start w:val="1"/>
      <w:numFmt w:val="bullet"/>
      <w:lvlText w:val=""/>
      <w:lvlJc w:val="left"/>
      <w:pPr>
        <w:ind w:left="6150" w:hanging="360"/>
      </w:pPr>
      <w:rPr>
        <w:rFonts w:ascii="Wingdings" w:hAnsi="Wingdings" w:hint="default"/>
      </w:rPr>
    </w:lvl>
  </w:abstractNum>
  <w:abstractNum w:abstractNumId="3" w15:restartNumberingAfterBreak="0">
    <w:nsid w:val="57AE08C2"/>
    <w:multiLevelType w:val="hybridMultilevel"/>
    <w:tmpl w:val="3E2E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75B44"/>
    <w:multiLevelType w:val="hybridMultilevel"/>
    <w:tmpl w:val="268626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28A22CC"/>
    <w:multiLevelType w:val="hybridMultilevel"/>
    <w:tmpl w:val="2B8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A38B9"/>
    <w:multiLevelType w:val="hybridMultilevel"/>
    <w:tmpl w:val="AF0A80D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1737315807">
    <w:abstractNumId w:val="0"/>
  </w:num>
  <w:num w:numId="2" w16cid:durableId="80294645">
    <w:abstractNumId w:val="4"/>
  </w:num>
  <w:num w:numId="3" w16cid:durableId="686516422">
    <w:abstractNumId w:val="3"/>
  </w:num>
  <w:num w:numId="4" w16cid:durableId="1239679179">
    <w:abstractNumId w:val="6"/>
  </w:num>
  <w:num w:numId="5" w16cid:durableId="646127044">
    <w:abstractNumId w:val="2"/>
  </w:num>
  <w:num w:numId="6" w16cid:durableId="390154286">
    <w:abstractNumId w:val="5"/>
  </w:num>
  <w:num w:numId="7" w16cid:durableId="11698343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69"/>
    <w:rsid w:val="0001558A"/>
    <w:rsid w:val="000206A8"/>
    <w:rsid w:val="0003137A"/>
    <w:rsid w:val="00032E6C"/>
    <w:rsid w:val="0003508F"/>
    <w:rsid w:val="00041171"/>
    <w:rsid w:val="00041727"/>
    <w:rsid w:val="0004226F"/>
    <w:rsid w:val="00050F8E"/>
    <w:rsid w:val="000573AD"/>
    <w:rsid w:val="00064F6B"/>
    <w:rsid w:val="00072F17"/>
    <w:rsid w:val="000806D8"/>
    <w:rsid w:val="00082C80"/>
    <w:rsid w:val="00083847"/>
    <w:rsid w:val="00083C36"/>
    <w:rsid w:val="00095E48"/>
    <w:rsid w:val="000A69BF"/>
    <w:rsid w:val="000B4566"/>
    <w:rsid w:val="000C225A"/>
    <w:rsid w:val="000C6781"/>
    <w:rsid w:val="000E4AB7"/>
    <w:rsid w:val="000F5E49"/>
    <w:rsid w:val="000F7A87"/>
    <w:rsid w:val="00105D2E"/>
    <w:rsid w:val="00111BFD"/>
    <w:rsid w:val="0011498B"/>
    <w:rsid w:val="00120147"/>
    <w:rsid w:val="00123140"/>
    <w:rsid w:val="00123D94"/>
    <w:rsid w:val="001501C2"/>
    <w:rsid w:val="001527A3"/>
    <w:rsid w:val="00156F9B"/>
    <w:rsid w:val="00163BA3"/>
    <w:rsid w:val="00166B31"/>
    <w:rsid w:val="00173B4C"/>
    <w:rsid w:val="00180771"/>
    <w:rsid w:val="001930A3"/>
    <w:rsid w:val="00196EB8"/>
    <w:rsid w:val="001A341E"/>
    <w:rsid w:val="001B0EA6"/>
    <w:rsid w:val="001B1CDF"/>
    <w:rsid w:val="001B56F4"/>
    <w:rsid w:val="001C5462"/>
    <w:rsid w:val="001C5A39"/>
    <w:rsid w:val="001D265C"/>
    <w:rsid w:val="001D3062"/>
    <w:rsid w:val="001D3CFB"/>
    <w:rsid w:val="001D559B"/>
    <w:rsid w:val="001D6302"/>
    <w:rsid w:val="001E740C"/>
    <w:rsid w:val="001E7DD0"/>
    <w:rsid w:val="001F1BDA"/>
    <w:rsid w:val="0020095E"/>
    <w:rsid w:val="00204109"/>
    <w:rsid w:val="00210D30"/>
    <w:rsid w:val="002204FD"/>
    <w:rsid w:val="002308B5"/>
    <w:rsid w:val="00234A34"/>
    <w:rsid w:val="00237D44"/>
    <w:rsid w:val="0025255D"/>
    <w:rsid w:val="00255EE3"/>
    <w:rsid w:val="00266262"/>
    <w:rsid w:val="00270480"/>
    <w:rsid w:val="002779AF"/>
    <w:rsid w:val="002823D8"/>
    <w:rsid w:val="0028531A"/>
    <w:rsid w:val="00285446"/>
    <w:rsid w:val="00290495"/>
    <w:rsid w:val="00295593"/>
    <w:rsid w:val="002A354F"/>
    <w:rsid w:val="002A386C"/>
    <w:rsid w:val="002B540D"/>
    <w:rsid w:val="002C05DB"/>
    <w:rsid w:val="002C30BC"/>
    <w:rsid w:val="002C5965"/>
    <w:rsid w:val="002C7A88"/>
    <w:rsid w:val="002D232B"/>
    <w:rsid w:val="002D2759"/>
    <w:rsid w:val="002D5E00"/>
    <w:rsid w:val="002D6DAC"/>
    <w:rsid w:val="002E261D"/>
    <w:rsid w:val="002E3FAD"/>
    <w:rsid w:val="002E4E16"/>
    <w:rsid w:val="002F6DAC"/>
    <w:rsid w:val="00301E8C"/>
    <w:rsid w:val="00314D5D"/>
    <w:rsid w:val="00320009"/>
    <w:rsid w:val="0032424A"/>
    <w:rsid w:val="003245D3"/>
    <w:rsid w:val="00330AA3"/>
    <w:rsid w:val="00332049"/>
    <w:rsid w:val="00334987"/>
    <w:rsid w:val="00342E34"/>
    <w:rsid w:val="00355889"/>
    <w:rsid w:val="00371CF1"/>
    <w:rsid w:val="003750C1"/>
    <w:rsid w:val="00380AF7"/>
    <w:rsid w:val="00394A05"/>
    <w:rsid w:val="00397770"/>
    <w:rsid w:val="00397880"/>
    <w:rsid w:val="003A6E1C"/>
    <w:rsid w:val="003A7016"/>
    <w:rsid w:val="003C17A5"/>
    <w:rsid w:val="003D1552"/>
    <w:rsid w:val="003D5A17"/>
    <w:rsid w:val="003E4046"/>
    <w:rsid w:val="003F003A"/>
    <w:rsid w:val="003F125B"/>
    <w:rsid w:val="003F4786"/>
    <w:rsid w:val="003F7B3F"/>
    <w:rsid w:val="0041078D"/>
    <w:rsid w:val="00410F8F"/>
    <w:rsid w:val="00416F97"/>
    <w:rsid w:val="0043039B"/>
    <w:rsid w:val="004423FE"/>
    <w:rsid w:val="00445C35"/>
    <w:rsid w:val="0045663A"/>
    <w:rsid w:val="0046344E"/>
    <w:rsid w:val="004667E7"/>
    <w:rsid w:val="00475797"/>
    <w:rsid w:val="0049253B"/>
    <w:rsid w:val="004A140B"/>
    <w:rsid w:val="004A4FE7"/>
    <w:rsid w:val="004A6403"/>
    <w:rsid w:val="004B7BAA"/>
    <w:rsid w:val="004C2DF7"/>
    <w:rsid w:val="004C4E0B"/>
    <w:rsid w:val="004D497E"/>
    <w:rsid w:val="004E27E8"/>
    <w:rsid w:val="004E4809"/>
    <w:rsid w:val="004E5985"/>
    <w:rsid w:val="004E6352"/>
    <w:rsid w:val="004E6460"/>
    <w:rsid w:val="004F0FD2"/>
    <w:rsid w:val="004F23BE"/>
    <w:rsid w:val="004F6B46"/>
    <w:rsid w:val="00511999"/>
    <w:rsid w:val="00514EAC"/>
    <w:rsid w:val="00521EA5"/>
    <w:rsid w:val="00525B80"/>
    <w:rsid w:val="00527225"/>
    <w:rsid w:val="0053098F"/>
    <w:rsid w:val="00534F2D"/>
    <w:rsid w:val="00536B2E"/>
    <w:rsid w:val="00546D8E"/>
    <w:rsid w:val="00553738"/>
    <w:rsid w:val="00571AE1"/>
    <w:rsid w:val="00583EBC"/>
    <w:rsid w:val="00584FA8"/>
    <w:rsid w:val="00592267"/>
    <w:rsid w:val="0059421F"/>
    <w:rsid w:val="00596CF0"/>
    <w:rsid w:val="005A24CE"/>
    <w:rsid w:val="005B0AE2"/>
    <w:rsid w:val="005B1F2C"/>
    <w:rsid w:val="005B5F3C"/>
    <w:rsid w:val="005B7867"/>
    <w:rsid w:val="005D03D9"/>
    <w:rsid w:val="005D1EE8"/>
    <w:rsid w:val="005D56AE"/>
    <w:rsid w:val="005D666D"/>
    <w:rsid w:val="005E3A59"/>
    <w:rsid w:val="00604802"/>
    <w:rsid w:val="00615AB0"/>
    <w:rsid w:val="0061778C"/>
    <w:rsid w:val="00636B90"/>
    <w:rsid w:val="0064738B"/>
    <w:rsid w:val="006508EA"/>
    <w:rsid w:val="00667E86"/>
    <w:rsid w:val="0068392D"/>
    <w:rsid w:val="00697DB5"/>
    <w:rsid w:val="006A1B33"/>
    <w:rsid w:val="006A492A"/>
    <w:rsid w:val="006B124A"/>
    <w:rsid w:val="006B5518"/>
    <w:rsid w:val="006B5C72"/>
    <w:rsid w:val="006D0310"/>
    <w:rsid w:val="006D2009"/>
    <w:rsid w:val="006D5576"/>
    <w:rsid w:val="006E766D"/>
    <w:rsid w:val="006F4B29"/>
    <w:rsid w:val="006F6CE9"/>
    <w:rsid w:val="0070517C"/>
    <w:rsid w:val="00705C9F"/>
    <w:rsid w:val="00716951"/>
    <w:rsid w:val="00716AD3"/>
    <w:rsid w:val="00720F6B"/>
    <w:rsid w:val="00735D9E"/>
    <w:rsid w:val="00745A09"/>
    <w:rsid w:val="00751EAF"/>
    <w:rsid w:val="00753941"/>
    <w:rsid w:val="00754CF7"/>
    <w:rsid w:val="00757B0D"/>
    <w:rsid w:val="00761320"/>
    <w:rsid w:val="007651B1"/>
    <w:rsid w:val="00771A68"/>
    <w:rsid w:val="007744D2"/>
    <w:rsid w:val="00786136"/>
    <w:rsid w:val="007870ED"/>
    <w:rsid w:val="007C212A"/>
    <w:rsid w:val="007D650E"/>
    <w:rsid w:val="007E7D21"/>
    <w:rsid w:val="007F44EB"/>
    <w:rsid w:val="007F482F"/>
    <w:rsid w:val="007F7C94"/>
    <w:rsid w:val="0080398D"/>
    <w:rsid w:val="00806385"/>
    <w:rsid w:val="00807CC5"/>
    <w:rsid w:val="00811F29"/>
    <w:rsid w:val="00814CC6"/>
    <w:rsid w:val="00831751"/>
    <w:rsid w:val="00833369"/>
    <w:rsid w:val="00835B42"/>
    <w:rsid w:val="00842A4E"/>
    <w:rsid w:val="008451AA"/>
    <w:rsid w:val="00847D99"/>
    <w:rsid w:val="0085038E"/>
    <w:rsid w:val="0086271D"/>
    <w:rsid w:val="0086420B"/>
    <w:rsid w:val="00864DBF"/>
    <w:rsid w:val="00865AE2"/>
    <w:rsid w:val="008664C4"/>
    <w:rsid w:val="0089601F"/>
    <w:rsid w:val="008A7313"/>
    <w:rsid w:val="008A7D91"/>
    <w:rsid w:val="008B7FC7"/>
    <w:rsid w:val="008C4337"/>
    <w:rsid w:val="008C4F06"/>
    <w:rsid w:val="008E0A57"/>
    <w:rsid w:val="008E1E4A"/>
    <w:rsid w:val="008E6BF3"/>
    <w:rsid w:val="008F0615"/>
    <w:rsid w:val="008F103E"/>
    <w:rsid w:val="008F1FDB"/>
    <w:rsid w:val="008F36FB"/>
    <w:rsid w:val="0090427F"/>
    <w:rsid w:val="00920506"/>
    <w:rsid w:val="00922636"/>
    <w:rsid w:val="0092449A"/>
    <w:rsid w:val="00931DEB"/>
    <w:rsid w:val="00933957"/>
    <w:rsid w:val="00950605"/>
    <w:rsid w:val="00952233"/>
    <w:rsid w:val="00954D66"/>
    <w:rsid w:val="00963F8F"/>
    <w:rsid w:val="00973C62"/>
    <w:rsid w:val="00975D76"/>
    <w:rsid w:val="00982E51"/>
    <w:rsid w:val="009874B9"/>
    <w:rsid w:val="00993581"/>
    <w:rsid w:val="009A288C"/>
    <w:rsid w:val="009A64C1"/>
    <w:rsid w:val="009B6697"/>
    <w:rsid w:val="009C2EA4"/>
    <w:rsid w:val="009C4C04"/>
    <w:rsid w:val="009C582E"/>
    <w:rsid w:val="009F5A1D"/>
    <w:rsid w:val="009F7566"/>
    <w:rsid w:val="009F777B"/>
    <w:rsid w:val="00A06BFE"/>
    <w:rsid w:val="00A10F5D"/>
    <w:rsid w:val="00A1243C"/>
    <w:rsid w:val="00A135AE"/>
    <w:rsid w:val="00A14AF1"/>
    <w:rsid w:val="00A16891"/>
    <w:rsid w:val="00A268CE"/>
    <w:rsid w:val="00A332E8"/>
    <w:rsid w:val="00A35AF5"/>
    <w:rsid w:val="00A35DDF"/>
    <w:rsid w:val="00A36CBA"/>
    <w:rsid w:val="00A41E35"/>
    <w:rsid w:val="00A45741"/>
    <w:rsid w:val="00A50291"/>
    <w:rsid w:val="00A530E4"/>
    <w:rsid w:val="00A604CD"/>
    <w:rsid w:val="00A60FE6"/>
    <w:rsid w:val="00A622F5"/>
    <w:rsid w:val="00A63B37"/>
    <w:rsid w:val="00A654BE"/>
    <w:rsid w:val="00A66DD6"/>
    <w:rsid w:val="00A771FD"/>
    <w:rsid w:val="00A874EF"/>
    <w:rsid w:val="00A95415"/>
    <w:rsid w:val="00AA3C89"/>
    <w:rsid w:val="00AB32BD"/>
    <w:rsid w:val="00AB4723"/>
    <w:rsid w:val="00AC4CDB"/>
    <w:rsid w:val="00AC70FE"/>
    <w:rsid w:val="00AD33A8"/>
    <w:rsid w:val="00AD4358"/>
    <w:rsid w:val="00AE149A"/>
    <w:rsid w:val="00AF61E1"/>
    <w:rsid w:val="00AF638A"/>
    <w:rsid w:val="00B00141"/>
    <w:rsid w:val="00B009AA"/>
    <w:rsid w:val="00B030C8"/>
    <w:rsid w:val="00B056E7"/>
    <w:rsid w:val="00B05B71"/>
    <w:rsid w:val="00B10035"/>
    <w:rsid w:val="00B15C76"/>
    <w:rsid w:val="00B165E6"/>
    <w:rsid w:val="00B235DB"/>
    <w:rsid w:val="00B31C07"/>
    <w:rsid w:val="00B4340B"/>
    <w:rsid w:val="00B447C0"/>
    <w:rsid w:val="00B5229B"/>
    <w:rsid w:val="00B548A2"/>
    <w:rsid w:val="00B56934"/>
    <w:rsid w:val="00B62F03"/>
    <w:rsid w:val="00B72444"/>
    <w:rsid w:val="00B93B62"/>
    <w:rsid w:val="00B953D1"/>
    <w:rsid w:val="00BA30D0"/>
    <w:rsid w:val="00BA7E19"/>
    <w:rsid w:val="00BB0D32"/>
    <w:rsid w:val="00BC2C42"/>
    <w:rsid w:val="00BC76B5"/>
    <w:rsid w:val="00BD5420"/>
    <w:rsid w:val="00BD5C33"/>
    <w:rsid w:val="00BD7A2E"/>
    <w:rsid w:val="00BE5865"/>
    <w:rsid w:val="00C04BD2"/>
    <w:rsid w:val="00C13EEC"/>
    <w:rsid w:val="00C14689"/>
    <w:rsid w:val="00C156A4"/>
    <w:rsid w:val="00C20FAA"/>
    <w:rsid w:val="00C2459D"/>
    <w:rsid w:val="00C316F1"/>
    <w:rsid w:val="00C42C95"/>
    <w:rsid w:val="00C4470F"/>
    <w:rsid w:val="00C52769"/>
    <w:rsid w:val="00C55E5B"/>
    <w:rsid w:val="00C57D64"/>
    <w:rsid w:val="00C62739"/>
    <w:rsid w:val="00C720A4"/>
    <w:rsid w:val="00C7611C"/>
    <w:rsid w:val="00C94097"/>
    <w:rsid w:val="00C96D5B"/>
    <w:rsid w:val="00CA0DF8"/>
    <w:rsid w:val="00CA4269"/>
    <w:rsid w:val="00CA7330"/>
    <w:rsid w:val="00CB1C84"/>
    <w:rsid w:val="00CB64F0"/>
    <w:rsid w:val="00CB6BA8"/>
    <w:rsid w:val="00CC2909"/>
    <w:rsid w:val="00CC506C"/>
    <w:rsid w:val="00CD0549"/>
    <w:rsid w:val="00CF40BF"/>
    <w:rsid w:val="00CF47B3"/>
    <w:rsid w:val="00D05E6F"/>
    <w:rsid w:val="00D24F2A"/>
    <w:rsid w:val="00D27929"/>
    <w:rsid w:val="00D33442"/>
    <w:rsid w:val="00D44BAD"/>
    <w:rsid w:val="00D45B55"/>
    <w:rsid w:val="00D60780"/>
    <w:rsid w:val="00D7097B"/>
    <w:rsid w:val="00D912E2"/>
    <w:rsid w:val="00D91DFA"/>
    <w:rsid w:val="00D97A0E"/>
    <w:rsid w:val="00DA159A"/>
    <w:rsid w:val="00DB1AB2"/>
    <w:rsid w:val="00DC0619"/>
    <w:rsid w:val="00DC4FDF"/>
    <w:rsid w:val="00DC66F0"/>
    <w:rsid w:val="00DD3A65"/>
    <w:rsid w:val="00DD4A99"/>
    <w:rsid w:val="00DD62C6"/>
    <w:rsid w:val="00DE4B27"/>
    <w:rsid w:val="00DE7137"/>
    <w:rsid w:val="00E00498"/>
    <w:rsid w:val="00E14ADB"/>
    <w:rsid w:val="00E15836"/>
    <w:rsid w:val="00E16696"/>
    <w:rsid w:val="00E2617A"/>
    <w:rsid w:val="00E31CD4"/>
    <w:rsid w:val="00E45656"/>
    <w:rsid w:val="00E511FD"/>
    <w:rsid w:val="00E538E6"/>
    <w:rsid w:val="00E7151C"/>
    <w:rsid w:val="00E802A2"/>
    <w:rsid w:val="00E85C0B"/>
    <w:rsid w:val="00EB13D7"/>
    <w:rsid w:val="00EB1E83"/>
    <w:rsid w:val="00EC0376"/>
    <w:rsid w:val="00EC0421"/>
    <w:rsid w:val="00ED22CB"/>
    <w:rsid w:val="00ED39E7"/>
    <w:rsid w:val="00ED67AF"/>
    <w:rsid w:val="00EE128C"/>
    <w:rsid w:val="00EE4C48"/>
    <w:rsid w:val="00EF66D9"/>
    <w:rsid w:val="00EF68E3"/>
    <w:rsid w:val="00EF6BA5"/>
    <w:rsid w:val="00EF780D"/>
    <w:rsid w:val="00EF7A98"/>
    <w:rsid w:val="00F0267E"/>
    <w:rsid w:val="00F11B47"/>
    <w:rsid w:val="00F20EC0"/>
    <w:rsid w:val="00F21ABD"/>
    <w:rsid w:val="00F25D8D"/>
    <w:rsid w:val="00F3781F"/>
    <w:rsid w:val="00F44CCB"/>
    <w:rsid w:val="00F474C9"/>
    <w:rsid w:val="00F5126B"/>
    <w:rsid w:val="00F54EA3"/>
    <w:rsid w:val="00F61675"/>
    <w:rsid w:val="00F6686B"/>
    <w:rsid w:val="00F67F74"/>
    <w:rsid w:val="00F712B3"/>
    <w:rsid w:val="00F73DE3"/>
    <w:rsid w:val="00F744BF"/>
    <w:rsid w:val="00F77219"/>
    <w:rsid w:val="00F84DD2"/>
    <w:rsid w:val="00FB0872"/>
    <w:rsid w:val="00FB54CC"/>
    <w:rsid w:val="00FB6E16"/>
    <w:rsid w:val="00FD1A37"/>
    <w:rsid w:val="00FD4E5B"/>
    <w:rsid w:val="00FE4EE0"/>
    <w:rsid w:val="00FE6454"/>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816457"/>
  <w15:docId w15:val="{7520EEA7-BCDA-4E55-A8C2-68785E1D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A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527A3"/>
    <w:pPr>
      <w:keepNext/>
      <w:keepLines/>
      <w:spacing w:before="360" w:after="360"/>
      <w:jc w:val="center"/>
      <w:outlineLvl w:val="1"/>
    </w:pPr>
    <w:rPr>
      <w:rFonts w:ascii="Verdana" w:eastAsia="Verdana" w:hAnsi="Verdana" w:cs="Verdana"/>
      <w:b/>
      <w:bCs/>
      <w:iCs/>
      <w:sz w:val="22"/>
      <w:szCs w:val="22"/>
      <w:lang w:val="es-ES_tradnl"/>
    </w:rPr>
  </w:style>
  <w:style w:type="paragraph" w:styleId="Heading3">
    <w:name w:val="heading 3"/>
    <w:next w:val="WMOBodyText"/>
    <w:link w:val="Heading3Char"/>
    <w:qFormat/>
    <w:rsid w:val="001527A3"/>
    <w:pPr>
      <w:keepNext/>
      <w:keepLines/>
      <w:tabs>
        <w:tab w:val="left" w:pos="1134"/>
      </w:tabs>
      <w:spacing w:before="360" w:after="360"/>
      <w:outlineLvl w:val="2"/>
    </w:pPr>
    <w:rPr>
      <w:rFonts w:ascii="Verdana" w:eastAsia="Verdana" w:hAnsi="Verdana" w:cs="Verdana"/>
      <w:b/>
      <w:bCs/>
      <w:lang w:val="es-ES_tradnl"/>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527A3"/>
    <w:rPr>
      <w:rFonts w:ascii="Verdana" w:eastAsia="Verdana" w:hAnsi="Verdana" w:cs="Verdana"/>
      <w:b/>
      <w:bCs/>
      <w:iCs/>
      <w:sz w:val="22"/>
      <w:szCs w:val="22"/>
      <w:lang w:val="es-ES_tradnl"/>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514EAC"/>
    <w:pPr>
      <w:spacing w:before="240"/>
    </w:pPr>
    <w:rPr>
      <w:rFonts w:ascii="Verdana" w:eastAsia="Verdana" w:hAnsi="Verdana" w:cs="Verdana"/>
      <w:lang w:val="es-ES_tradnl"/>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514EAC"/>
    <w:rPr>
      <w:rFonts w:ascii="Verdana" w:eastAsia="Verdana" w:hAnsi="Verdana" w:cs="Verdana"/>
      <w:lang w:val="es-ES_tradnl"/>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StyleComplex11ptBoldAccent1">
    <w:name w:val="Style (Complex) 11 pt Bold Accent 1"/>
    <w:basedOn w:val="DefaultParagraphFont"/>
    <w:rsid w:val="00527225"/>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527225"/>
    <w:pPr>
      <w:spacing w:before="120" w:after="60"/>
      <w:ind w:right="-108"/>
      <w:jc w:val="right"/>
    </w:pPr>
    <w:rPr>
      <w:rFonts w:cs="Tahoma"/>
      <w:color w:val="365F91" w:themeColor="accent1" w:themeShade="BF"/>
      <w:szCs w:val="22"/>
      <w:lang w:val="es-ES_tradnl"/>
    </w:rPr>
  </w:style>
  <w:style w:type="paragraph" w:styleId="Revision">
    <w:name w:val="Revision"/>
    <w:hidden/>
    <w:semiHidden/>
    <w:rsid w:val="00AD33A8"/>
    <w:rPr>
      <w:rFonts w:ascii="Verdana" w:eastAsia="Arial" w:hAnsi="Verdana" w:cs="Arial"/>
      <w:lang w:val="en-GB" w:eastAsia="en-US"/>
    </w:rPr>
  </w:style>
  <w:style w:type="character" w:customStyle="1" w:styleId="WMOBodyTextChar">
    <w:name w:val="WMO_BodyText Char"/>
    <w:basedOn w:val="DefaultParagraphFont"/>
    <w:rsid w:val="001527A3"/>
    <w:rPr>
      <w:rFonts w:ascii="Verdana" w:eastAsia="Arial" w:hAnsi="Verdana" w:cs="Arial"/>
      <w:color w:val="000000" w:themeColor="text1"/>
      <w:sz w:val="20"/>
      <w:lang w:val="es-ES_tradnl" w:eastAsia="en-US"/>
    </w:rPr>
  </w:style>
  <w:style w:type="paragraph" w:customStyle="1" w:styleId="WMOResList1">
    <w:name w:val="WMO_ResList1"/>
    <w:basedOn w:val="Normal"/>
    <w:rsid w:val="001527A3"/>
    <w:pPr>
      <w:tabs>
        <w:tab w:val="clear" w:pos="1134"/>
        <w:tab w:val="left" w:pos="567"/>
      </w:tabs>
      <w:spacing w:before="240"/>
      <w:ind w:left="567" w:hanging="567"/>
      <w:jc w:val="left"/>
    </w:pPr>
    <w:rPr>
      <w:szCs w:val="22"/>
      <w:lang w:val="es-ES_tradnl" w:eastAsia="zh-TW"/>
    </w:rPr>
  </w:style>
  <w:style w:type="paragraph" w:customStyle="1" w:styleId="WMOResList3">
    <w:name w:val="WMO_ResList3"/>
    <w:basedOn w:val="WMOResList1"/>
    <w:qFormat/>
    <w:rsid w:val="001527A3"/>
    <w:pPr>
      <w:tabs>
        <w:tab w:val="clear" w:pos="567"/>
      </w:tabs>
      <w:ind w:left="1701"/>
    </w:pPr>
    <w:rPr>
      <w:lang w:eastAsia="en-US"/>
    </w:rPr>
  </w:style>
  <w:style w:type="paragraph" w:customStyle="1" w:styleId="WMOResList2">
    <w:name w:val="WMO_ResList2"/>
    <w:basedOn w:val="WMOResList1"/>
    <w:rsid w:val="001527A3"/>
    <w:pPr>
      <w:tabs>
        <w:tab w:val="clear" w:pos="567"/>
        <w:tab w:val="left" w:pos="1134"/>
      </w:tabs>
      <w:ind w:left="1134"/>
    </w:pPr>
    <w:rPr>
      <w:lang w:val="en-GB"/>
    </w:rPr>
  </w:style>
  <w:style w:type="paragraph" w:customStyle="1" w:styleId="StyleWMOBodyTextBold">
    <w:name w:val="Style WMO_BodyText + Bold"/>
    <w:basedOn w:val="WMOBodyText"/>
    <w:rsid w:val="00514EAC"/>
    <w:rPr>
      <w:b/>
      <w:bCs/>
    </w:rPr>
  </w:style>
  <w:style w:type="character" w:customStyle="1" w:styleId="Heading3Char">
    <w:name w:val="Heading 3 Char"/>
    <w:basedOn w:val="DefaultParagraphFont"/>
    <w:link w:val="Heading3"/>
    <w:rsid w:val="00514EAC"/>
    <w:rPr>
      <w:rFonts w:ascii="Verdana" w:eastAsia="Verdana" w:hAnsi="Verdana" w:cs="Verdana"/>
      <w:b/>
      <w:bCs/>
      <w:lang w:val="es-ES_tradnl"/>
    </w:rPr>
  </w:style>
  <w:style w:type="character" w:styleId="UnresolvedMention">
    <w:name w:val="Unresolved Mention"/>
    <w:basedOn w:val="DefaultParagraphFont"/>
    <w:uiPriority w:val="99"/>
    <w:semiHidden/>
    <w:unhideWhenUsed/>
    <w:rsid w:val="00514EAC"/>
    <w:rPr>
      <w:color w:val="605E5C"/>
      <w:shd w:val="clear" w:color="auto" w:fill="E1DFDD"/>
    </w:rPr>
  </w:style>
  <w:style w:type="paragraph" w:customStyle="1" w:styleId="StyleWMOBodyTextBefore0cmHanging7cm">
    <w:name w:val="Style WMO_BodyText + Before:  0 cm Hanging:  7 cm"/>
    <w:basedOn w:val="WMOBodyText"/>
    <w:rsid w:val="00514EAC"/>
    <w:pPr>
      <w:ind w:left="3969" w:hanging="3969"/>
    </w:pPr>
  </w:style>
  <w:style w:type="paragraph" w:styleId="ListParagraph">
    <w:name w:val="List Paragraph"/>
    <w:basedOn w:val="Normal"/>
    <w:uiPriority w:val="34"/>
    <w:qFormat/>
    <w:rsid w:val="00C52769"/>
    <w:pPr>
      <w:tabs>
        <w:tab w:val="clear" w:pos="1134"/>
      </w:tabs>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8198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devol\OneDrive%20-%20WMO\Desktop\SERCOM-2-dxx-Template_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7A466DB3-7F7B-40CE-B8DD-356CD915ACEA}">
  <ds:schemaRefs>
    <ds:schemaRef ds:uri="http://schemas.openxmlformats.org/officeDocument/2006/bibliography"/>
  </ds:schemaRefs>
</ds:datastoreItem>
</file>

<file path=customXml/itemProps3.xml><?xml version="1.0" encoding="utf-8"?>
<ds:datastoreItem xmlns:ds="http://schemas.openxmlformats.org/officeDocument/2006/customXml" ds:itemID="{CEB3565E-D768-46A4-9D9E-CBF211B037B3}"/>
</file>

<file path=customXml/itemProps4.xml><?xml version="1.0" encoding="utf-8"?>
<ds:datastoreItem xmlns:ds="http://schemas.openxmlformats.org/officeDocument/2006/customXml" ds:itemID="{4CE4C997-AFE9-4FD5-8B67-4DD00902483D}">
  <ds:schemaRefs>
    <ds:schemaRef ds:uri="http://schemas.microsoft.com/office/2006/documentManagement/types"/>
    <ds:schemaRef ds:uri="http://purl.org/dc/terms/"/>
    <ds:schemaRef ds:uri="http://schemas.microsoft.com/office/infopath/2007/PartnerControls"/>
    <ds:schemaRef ds:uri="http://purl.org/dc/elements/1.1/"/>
    <ds:schemaRef ds:uri="ce21bc6c-711a-4065-a01c-a8f0e29e3ad8"/>
    <ds:schemaRef ds:uri="http://schemas.microsoft.com/office/2006/metadata/properties"/>
    <ds:schemaRef ds:uri="3679bf0f-1d7e-438f-afa5-6ebf1e20f9b8"/>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SERCOM-2-dxx-Template_es (1)</Template>
  <TotalTime>8</TotalTime>
  <Pages>4</Pages>
  <Words>1654</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10734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Marina Pardo Ardevol</dc:creator>
  <cp:lastModifiedBy>Fabian Rubiolo</cp:lastModifiedBy>
  <cp:revision>3</cp:revision>
  <cp:lastPrinted>2013-03-12T09:27:00Z</cp:lastPrinted>
  <dcterms:created xsi:type="dcterms:W3CDTF">2022-09-21T09:03:00Z</dcterms:created>
  <dcterms:modified xsi:type="dcterms:W3CDTF">2022-09-21T09:18:00Z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