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B25B94" w14:paraId="1B5ECA2B" w14:textId="77777777" w:rsidTr="00826D53">
        <w:trPr>
          <w:trHeight w:val="282"/>
        </w:trPr>
        <w:tc>
          <w:tcPr>
            <w:tcW w:w="500" w:type="dxa"/>
            <w:vMerge w:val="restart"/>
            <w:tcBorders>
              <w:bottom w:val="nil"/>
            </w:tcBorders>
            <w:textDirection w:val="btLr"/>
          </w:tcPr>
          <w:p w14:paraId="5E1B0A8C" w14:textId="70D861AD" w:rsidR="00A80767" w:rsidRPr="005B264C"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val="es-ES"/>
              </w:rPr>
            </w:pPr>
            <w:r>
              <w:rPr>
                <w:color w:val="365F91" w:themeColor="accent1" w:themeShade="BF"/>
                <w:sz w:val="10"/>
                <w:szCs w:val="10"/>
                <w:lang w:val="es"/>
              </w:rPr>
              <w:t>TIEMPO CLIMA</w:t>
            </w:r>
            <w:r w:rsidR="00B8725A">
              <w:rPr>
                <w:color w:val="365F91" w:themeColor="accent1" w:themeShade="BF"/>
                <w:sz w:val="10"/>
                <w:szCs w:val="10"/>
                <w:lang w:val="es"/>
              </w:rPr>
              <w:t xml:space="preserve"> </w:t>
            </w:r>
            <w:r>
              <w:rPr>
                <w:color w:val="365F91" w:themeColor="accent1" w:themeShade="BF"/>
                <w:sz w:val="10"/>
                <w:szCs w:val="10"/>
                <w:lang w:val="es"/>
              </w:rPr>
              <w:t>AGUA</w:t>
            </w:r>
          </w:p>
        </w:tc>
        <w:tc>
          <w:tcPr>
            <w:tcW w:w="6852" w:type="dxa"/>
            <w:vMerge w:val="restart"/>
          </w:tcPr>
          <w:p w14:paraId="4E7078CC" w14:textId="77777777" w:rsidR="00A80767" w:rsidRPr="005B264C" w:rsidRDefault="00A80767" w:rsidP="00826D53">
            <w:pPr>
              <w:tabs>
                <w:tab w:val="left" w:pos="6946"/>
              </w:tabs>
              <w:suppressAutoHyphens/>
              <w:spacing w:after="120" w:line="252" w:lineRule="auto"/>
              <w:ind w:left="1134"/>
              <w:jc w:val="left"/>
              <w:rPr>
                <w:rFonts w:cs="Tahoma"/>
                <w:b/>
                <w:bCs/>
                <w:color w:val="365F91" w:themeColor="accent1" w:themeShade="BF"/>
                <w:szCs w:val="22"/>
                <w:lang w:val="es-ES"/>
              </w:rPr>
            </w:pPr>
            <w:r>
              <w:rPr>
                <w:noProof/>
                <w:color w:val="365F91" w:themeColor="accent1" w:themeShade="BF"/>
                <w:szCs w:val="22"/>
                <w:lang w:val="es"/>
              </w:rPr>
              <w:drawing>
                <wp:anchor distT="0" distB="0" distL="114300" distR="114300" simplePos="0" relativeHeight="251659264" behindDoc="1" locked="1" layoutInCell="1" allowOverlap="1" wp14:anchorId="65C6AB34" wp14:editId="11A2CD2C">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365F91" w:themeColor="accent1" w:themeShade="BF"/>
                <w:szCs w:val="22"/>
                <w:lang w:val="es"/>
              </w:rPr>
              <w:t>Organización Meteorológica Mundial</w:t>
            </w:r>
          </w:p>
          <w:p w14:paraId="4BD6FF14" w14:textId="77777777" w:rsidR="00A80767" w:rsidRPr="005B264C" w:rsidRDefault="003F7199" w:rsidP="00826D53">
            <w:pPr>
              <w:tabs>
                <w:tab w:val="left" w:pos="6946"/>
              </w:tabs>
              <w:suppressAutoHyphens/>
              <w:spacing w:after="120" w:line="252" w:lineRule="auto"/>
              <w:ind w:left="1134"/>
              <w:jc w:val="left"/>
              <w:rPr>
                <w:rFonts w:cs="Tahoma"/>
                <w:b/>
                <w:color w:val="365F91" w:themeColor="accent1" w:themeShade="BF"/>
                <w:spacing w:val="-2"/>
                <w:szCs w:val="22"/>
                <w:lang w:val="es-ES"/>
              </w:rPr>
            </w:pPr>
            <w:r>
              <w:rPr>
                <w:rFonts w:cs="Tahoma"/>
                <w:b/>
                <w:bCs/>
                <w:color w:val="365F91" w:themeColor="accent1" w:themeShade="BF"/>
                <w:szCs w:val="22"/>
                <w:lang w:val="es"/>
              </w:rPr>
              <w:t>COMISIÓN DE APLICACIONES Y SERVICIOS METEOROLÓGICOS, CLIMÁTICOS, HIDROLÓGICOS Y MEDIOAMBIENTALES CONEXOS</w:t>
            </w:r>
          </w:p>
          <w:p w14:paraId="12047B5C" w14:textId="1B49E9B5" w:rsidR="00A80767" w:rsidRPr="005B264C" w:rsidRDefault="003F7199" w:rsidP="00826D53">
            <w:pPr>
              <w:tabs>
                <w:tab w:val="left" w:pos="6946"/>
              </w:tabs>
              <w:suppressAutoHyphens/>
              <w:spacing w:after="120" w:line="252" w:lineRule="auto"/>
              <w:ind w:left="1134"/>
              <w:jc w:val="left"/>
              <w:rPr>
                <w:rFonts w:cs="Tahoma"/>
                <w:b/>
                <w:bCs/>
                <w:color w:val="365F91" w:themeColor="accent1" w:themeShade="BF"/>
                <w:szCs w:val="22"/>
                <w:lang w:val="es-ES"/>
              </w:rPr>
            </w:pPr>
            <w:r>
              <w:rPr>
                <w:b/>
                <w:bCs/>
                <w:snapToGrid w:val="0"/>
                <w:color w:val="365F91" w:themeColor="accent1" w:themeShade="BF"/>
                <w:szCs w:val="22"/>
                <w:lang w:val="es"/>
              </w:rPr>
              <w:t xml:space="preserve">Segunda </w:t>
            </w:r>
            <w:r w:rsidR="00B8725A">
              <w:rPr>
                <w:b/>
                <w:bCs/>
                <w:snapToGrid w:val="0"/>
                <w:color w:val="365F91" w:themeColor="accent1" w:themeShade="BF"/>
                <w:szCs w:val="22"/>
                <w:lang w:val="es"/>
              </w:rPr>
              <w:t>reunión</w:t>
            </w:r>
            <w:r>
              <w:rPr>
                <w:snapToGrid w:val="0"/>
                <w:color w:val="365F91" w:themeColor="accent1" w:themeShade="BF"/>
                <w:szCs w:val="22"/>
                <w:lang w:val="es"/>
              </w:rPr>
              <w:br/>
              <w:t>Ginebra, 17 a 21 de octubre de 2022</w:t>
            </w:r>
          </w:p>
        </w:tc>
        <w:tc>
          <w:tcPr>
            <w:tcW w:w="2962" w:type="dxa"/>
          </w:tcPr>
          <w:p w14:paraId="50FD2AC6" w14:textId="77777777" w:rsidR="00A80767" w:rsidRPr="00B25B94" w:rsidRDefault="003F7199" w:rsidP="00826D53">
            <w:pPr>
              <w:tabs>
                <w:tab w:val="clear" w:pos="1134"/>
              </w:tabs>
              <w:spacing w:after="60"/>
              <w:ind w:right="-108"/>
              <w:jc w:val="right"/>
              <w:rPr>
                <w:rFonts w:cs="Tahoma"/>
                <w:b/>
                <w:bCs/>
                <w:color w:val="365F91" w:themeColor="accent1" w:themeShade="BF"/>
                <w:szCs w:val="22"/>
              </w:rPr>
            </w:pPr>
            <w:r>
              <w:rPr>
                <w:rFonts w:cs="Tahoma"/>
                <w:b/>
                <w:bCs/>
                <w:color w:val="365F91" w:themeColor="accent1" w:themeShade="BF"/>
                <w:szCs w:val="22"/>
                <w:lang w:val="es"/>
              </w:rPr>
              <w:t>SERCOM-2/INF. 5.11</w:t>
            </w:r>
          </w:p>
        </w:tc>
      </w:tr>
      <w:tr w:rsidR="00A80767" w:rsidRPr="00DF3676" w14:paraId="02559F6E" w14:textId="77777777" w:rsidTr="00826D53">
        <w:trPr>
          <w:trHeight w:val="730"/>
        </w:trPr>
        <w:tc>
          <w:tcPr>
            <w:tcW w:w="500" w:type="dxa"/>
            <w:vMerge/>
            <w:tcBorders>
              <w:bottom w:val="nil"/>
            </w:tcBorders>
          </w:tcPr>
          <w:p w14:paraId="1E7E9E1A" w14:textId="77777777" w:rsidR="00A80767" w:rsidRPr="00B25B94" w:rsidRDefault="00A80767" w:rsidP="00826D53">
            <w:pPr>
              <w:tabs>
                <w:tab w:val="left" w:pos="6946"/>
              </w:tabs>
              <w:suppressAutoHyphens/>
              <w:spacing w:after="120" w:line="252" w:lineRule="auto"/>
              <w:ind w:left="1134"/>
              <w:jc w:val="left"/>
              <w:rPr>
                <w:color w:val="365F91" w:themeColor="accent1" w:themeShade="BF"/>
                <w:szCs w:val="22"/>
              </w:rPr>
            </w:pPr>
          </w:p>
        </w:tc>
        <w:tc>
          <w:tcPr>
            <w:tcW w:w="6852" w:type="dxa"/>
            <w:vMerge/>
          </w:tcPr>
          <w:p w14:paraId="7A84140C" w14:textId="77777777" w:rsidR="00A80767" w:rsidRPr="00B25B94" w:rsidRDefault="00A80767" w:rsidP="00826D53">
            <w:pPr>
              <w:tabs>
                <w:tab w:val="left" w:pos="6946"/>
              </w:tabs>
              <w:suppressAutoHyphens/>
              <w:spacing w:after="120" w:line="252" w:lineRule="auto"/>
              <w:ind w:left="1134"/>
              <w:jc w:val="left"/>
              <w:rPr>
                <w:color w:val="365F91" w:themeColor="accent1" w:themeShade="BF"/>
                <w:szCs w:val="22"/>
              </w:rPr>
            </w:pPr>
          </w:p>
        </w:tc>
        <w:tc>
          <w:tcPr>
            <w:tcW w:w="2962" w:type="dxa"/>
          </w:tcPr>
          <w:p w14:paraId="380210F0" w14:textId="77777777" w:rsidR="00A80767" w:rsidRPr="005B264C" w:rsidRDefault="00A80767" w:rsidP="00826D53">
            <w:pPr>
              <w:tabs>
                <w:tab w:val="clear" w:pos="1134"/>
              </w:tabs>
              <w:spacing w:before="120" w:after="60"/>
              <w:ind w:right="-108"/>
              <w:jc w:val="right"/>
              <w:rPr>
                <w:rFonts w:cs="Tahoma"/>
                <w:color w:val="365F91" w:themeColor="accent1" w:themeShade="BF"/>
                <w:szCs w:val="22"/>
                <w:lang w:val="es-ES"/>
              </w:rPr>
            </w:pPr>
            <w:r>
              <w:rPr>
                <w:rFonts w:cs="Tahoma"/>
                <w:color w:val="365F91" w:themeColor="accent1" w:themeShade="BF"/>
                <w:szCs w:val="22"/>
                <w:lang w:val="es"/>
              </w:rPr>
              <w:t>Presentado por:</w:t>
            </w:r>
            <w:r>
              <w:rPr>
                <w:rFonts w:cs="Tahoma"/>
                <w:color w:val="365F91" w:themeColor="accent1" w:themeShade="BF"/>
                <w:szCs w:val="22"/>
                <w:lang w:val="es"/>
              </w:rPr>
              <w:br/>
              <w:t xml:space="preserve">SG-URB </w:t>
            </w:r>
          </w:p>
          <w:p w14:paraId="42509557" w14:textId="5CC21922" w:rsidR="00A80767" w:rsidRPr="005B264C" w:rsidRDefault="00C87426" w:rsidP="00826D53">
            <w:pPr>
              <w:tabs>
                <w:tab w:val="clear" w:pos="1134"/>
              </w:tabs>
              <w:spacing w:before="120" w:after="60"/>
              <w:ind w:right="-108"/>
              <w:jc w:val="right"/>
              <w:rPr>
                <w:rFonts w:cs="Tahoma"/>
                <w:color w:val="365F91" w:themeColor="accent1" w:themeShade="BF"/>
                <w:szCs w:val="22"/>
                <w:lang w:val="es-ES"/>
              </w:rPr>
            </w:pPr>
            <w:r>
              <w:rPr>
                <w:rFonts w:cs="Tahoma"/>
                <w:color w:val="365F91" w:themeColor="accent1" w:themeShade="BF"/>
                <w:szCs w:val="22"/>
                <w:lang w:val="es"/>
              </w:rPr>
              <w:t>11.X.2022</w:t>
            </w:r>
          </w:p>
          <w:p w14:paraId="287DEF64" w14:textId="77777777" w:rsidR="00A80767" w:rsidRPr="005B264C" w:rsidRDefault="00A80767" w:rsidP="00826D53">
            <w:pPr>
              <w:tabs>
                <w:tab w:val="clear" w:pos="1134"/>
              </w:tabs>
              <w:spacing w:before="120" w:after="60"/>
              <w:ind w:right="-108"/>
              <w:jc w:val="right"/>
              <w:rPr>
                <w:rFonts w:cs="Tahoma"/>
                <w:b/>
                <w:bCs/>
                <w:color w:val="365F91" w:themeColor="accent1" w:themeShade="BF"/>
                <w:szCs w:val="22"/>
                <w:lang w:val="es-ES"/>
              </w:rPr>
            </w:pPr>
          </w:p>
        </w:tc>
      </w:tr>
    </w:tbl>
    <w:p w14:paraId="69CA29E2" w14:textId="77777777" w:rsidR="00DF3676" w:rsidRPr="00DF3676" w:rsidRDefault="00DF3676" w:rsidP="00DF3676">
      <w:pPr>
        <w:tabs>
          <w:tab w:val="clear" w:pos="1134"/>
        </w:tabs>
        <w:spacing w:before="240" w:after="160" w:line="259" w:lineRule="auto"/>
        <w:jc w:val="left"/>
        <w:rPr>
          <w:rFonts w:eastAsia="Calibri" w:cs="Calibri"/>
          <w:i/>
          <w:iCs/>
          <w:color w:val="FF0000"/>
          <w:bdr w:val="none" w:sz="0" w:space="0" w:color="auto" w:frame="1"/>
          <w:lang w:val="en-CH"/>
        </w:rPr>
      </w:pPr>
      <w:r w:rsidRPr="00DF3676">
        <w:rPr>
          <w:rFonts w:eastAsia="Calibri" w:cs="Times New Roman"/>
          <w:i/>
          <w:iCs/>
          <w:color w:val="FF0000"/>
          <w:lang w:val="es-ES"/>
        </w:rPr>
        <w:t>[Para facilitar su labor, el presente documento ha sido traducido empleando tecnologías de traducción automática y de memoria de traducción. Si bien la OMM ha hecho todo lo razonablemente posible para mejorar la calidad de la traducción resultante, no se garantiza en modo alguno, ni de forma expresa ni implícita, su exactitud, fiabilidad o corrección. Toda discrepancia o diferencia que pudiera deberse a la traducción del contenido del documento original al español no será vinculante y no conllevará ninguna consecuencia jurídica a efectos de cumplimiento o aplicación, entre otros. Tenga en cuenta que determinados contenidos, como las imágenes, no pueden traducirse a causa de las limitaciones técnicas del sistema. Si tuviera alguna duda relacionada con la exactitud de la información de un documento traducido, sírvase consultar su versión oficial redactada en inglés.]</w:t>
      </w:r>
    </w:p>
    <w:p w14:paraId="774E58D9" w14:textId="1E4552F2" w:rsidR="00EB4B49" w:rsidRPr="005B264C" w:rsidRDefault="0070358C" w:rsidP="00C81B1F">
      <w:pPr>
        <w:spacing w:before="360" w:after="160"/>
        <w:jc w:val="center"/>
        <w:rPr>
          <w:rFonts w:eastAsia="Calibri" w:cs="Calibri"/>
          <w:color w:val="000000" w:themeColor="text1"/>
          <w:lang w:val="es-ES"/>
        </w:rPr>
      </w:pPr>
      <w:r>
        <w:rPr>
          <w:rFonts w:eastAsia="Calibri" w:cs="Calibri"/>
          <w:b/>
          <w:bCs/>
          <w:color w:val="000000" w:themeColor="text1"/>
          <w:lang w:val="es"/>
        </w:rPr>
        <w:t xml:space="preserve">RESUMEN Y RECOMENDACIONES DEL TALLER SOBRE LA INTEGRACIÓN DE LAS ACTIVIDADES RELACIONADAS CON </w:t>
      </w:r>
      <w:r w:rsidR="009610D8">
        <w:rPr>
          <w:rFonts w:eastAsia="Calibri" w:cs="Calibri"/>
          <w:b/>
          <w:bCs/>
          <w:color w:val="000000" w:themeColor="text1"/>
          <w:lang w:val="es"/>
        </w:rPr>
        <w:t>LAS ZONAS URBANAS</w:t>
      </w:r>
      <w:r>
        <w:rPr>
          <w:rFonts w:eastAsia="Calibri" w:cs="Calibri"/>
          <w:b/>
          <w:bCs/>
          <w:color w:val="000000" w:themeColor="text1"/>
          <w:lang w:val="es"/>
        </w:rPr>
        <w:t xml:space="preserve"> </w:t>
      </w:r>
      <w:r w:rsidR="00C81B1F">
        <w:rPr>
          <w:rFonts w:eastAsia="Calibri" w:cs="Calibri"/>
          <w:b/>
          <w:bCs/>
          <w:color w:val="000000" w:themeColor="text1"/>
          <w:lang w:val="es"/>
        </w:rPr>
        <w:br/>
      </w:r>
      <w:r>
        <w:rPr>
          <w:rFonts w:eastAsia="Calibri" w:cs="Calibri"/>
          <w:b/>
          <w:bCs/>
          <w:color w:val="000000" w:themeColor="text1"/>
          <w:lang w:val="es"/>
        </w:rPr>
        <w:t>EN LA ORGANIZACIÓN METEOROLÓGICA MUNDIAL</w:t>
      </w:r>
    </w:p>
    <w:p w14:paraId="13B37E16" w14:textId="300640F9" w:rsidR="0070358C" w:rsidRPr="005B264C" w:rsidRDefault="0070358C" w:rsidP="00EB4B49">
      <w:pPr>
        <w:spacing w:after="160"/>
        <w:jc w:val="center"/>
        <w:rPr>
          <w:rFonts w:eastAsia="Calibri" w:cs="Calibri"/>
          <w:color w:val="000000" w:themeColor="text1"/>
          <w:lang w:val="es-ES"/>
        </w:rPr>
      </w:pPr>
      <w:r>
        <w:rPr>
          <w:rFonts w:eastAsia="Calibri" w:cs="Calibri"/>
          <w:b/>
          <w:bCs/>
          <w:color w:val="000000" w:themeColor="text1"/>
          <w:lang w:val="es"/>
        </w:rPr>
        <w:t>Ginebra, 13 a 15 de junio de 2022</w:t>
      </w:r>
    </w:p>
    <w:p w14:paraId="4FA50848" w14:textId="51FCEE9C" w:rsidR="0070358C" w:rsidRPr="005B264C" w:rsidRDefault="00872FFD" w:rsidP="0070358C">
      <w:pPr>
        <w:spacing w:after="160" w:line="259" w:lineRule="auto"/>
        <w:rPr>
          <w:rFonts w:eastAsia="Calibri" w:cs="Calibri"/>
          <w:color w:val="000000" w:themeColor="text1"/>
          <w:lang w:val="es-ES"/>
        </w:rPr>
      </w:pPr>
      <w:r>
        <w:rPr>
          <w:rFonts w:eastAsia="Calibri" w:cs="Calibri"/>
          <w:b/>
          <w:bCs/>
          <w:color w:val="000000" w:themeColor="text1"/>
          <w:lang w:val="es"/>
        </w:rPr>
        <w:t>Información general</w:t>
      </w:r>
    </w:p>
    <w:p w14:paraId="093B8182" w14:textId="59C622F3" w:rsidR="0070358C" w:rsidRPr="005B264C" w:rsidRDefault="0070358C" w:rsidP="00DD1D87">
      <w:pPr>
        <w:spacing w:before="240" w:after="240"/>
        <w:jc w:val="left"/>
        <w:rPr>
          <w:rFonts w:eastAsia="Calibri" w:cs="Calibri"/>
          <w:color w:val="000000" w:themeColor="text1"/>
          <w:lang w:val="es-ES"/>
        </w:rPr>
      </w:pPr>
      <w:r>
        <w:rPr>
          <w:rFonts w:eastAsia="Calibri" w:cs="Calibri"/>
          <w:color w:val="000000" w:themeColor="text1"/>
          <w:lang w:val="es"/>
        </w:rPr>
        <w:t>La aceleración del crecimiento de la</w:t>
      </w:r>
      <w:r w:rsidR="009F4B0D">
        <w:rPr>
          <w:rFonts w:eastAsia="Calibri" w:cs="Calibri"/>
          <w:color w:val="000000" w:themeColor="text1"/>
          <w:lang w:val="es"/>
        </w:rPr>
        <w:t>s</w:t>
      </w:r>
      <w:r>
        <w:rPr>
          <w:rFonts w:eastAsia="Calibri" w:cs="Calibri"/>
          <w:color w:val="000000" w:themeColor="text1"/>
          <w:lang w:val="es"/>
        </w:rPr>
        <w:t xml:space="preserve"> poblaci</w:t>
      </w:r>
      <w:r w:rsidR="009F4B0D">
        <w:rPr>
          <w:rFonts w:eastAsia="Calibri" w:cs="Calibri"/>
          <w:color w:val="000000" w:themeColor="text1"/>
          <w:lang w:val="es"/>
        </w:rPr>
        <w:t>ones</w:t>
      </w:r>
      <w:r>
        <w:rPr>
          <w:rFonts w:eastAsia="Calibri" w:cs="Calibri"/>
          <w:color w:val="000000" w:themeColor="text1"/>
          <w:lang w:val="es"/>
        </w:rPr>
        <w:t xml:space="preserve"> urbana</w:t>
      </w:r>
      <w:r w:rsidR="009F4B0D">
        <w:rPr>
          <w:rFonts w:eastAsia="Calibri" w:cs="Calibri"/>
          <w:color w:val="000000" w:themeColor="text1"/>
          <w:lang w:val="es"/>
        </w:rPr>
        <w:t>s</w:t>
      </w:r>
      <w:r>
        <w:rPr>
          <w:rFonts w:eastAsia="Calibri" w:cs="Calibri"/>
          <w:color w:val="000000" w:themeColor="text1"/>
          <w:lang w:val="es"/>
        </w:rPr>
        <w:t xml:space="preserve"> se ha convertido en una fuerza impulsora del desarrollo humano, especialmente en los países en desarrollo. Las ciudades densamente pobladas son centros de creatividad y progreso económico; sin embargo, las condiciones meteorológicas extremas, las </w:t>
      </w:r>
      <w:r w:rsidR="003F7303">
        <w:rPr>
          <w:rFonts w:eastAsia="Calibri" w:cs="Calibri"/>
          <w:color w:val="000000" w:themeColor="text1"/>
          <w:lang w:val="es"/>
        </w:rPr>
        <w:t>crecidas</w:t>
      </w:r>
      <w:r>
        <w:rPr>
          <w:rFonts w:eastAsia="Calibri" w:cs="Calibri"/>
          <w:color w:val="000000" w:themeColor="text1"/>
          <w:lang w:val="es"/>
        </w:rPr>
        <w:t xml:space="preserve">, la </w:t>
      </w:r>
      <w:r w:rsidR="007A30AB">
        <w:rPr>
          <w:rFonts w:eastAsia="Calibri" w:cs="Calibri"/>
          <w:color w:val="000000" w:themeColor="text1"/>
          <w:lang w:val="es"/>
        </w:rPr>
        <w:t xml:space="preserve">mala </w:t>
      </w:r>
      <w:r>
        <w:rPr>
          <w:rFonts w:eastAsia="Calibri" w:cs="Calibri"/>
          <w:color w:val="000000" w:themeColor="text1"/>
          <w:lang w:val="es"/>
        </w:rPr>
        <w:t xml:space="preserve">calidad del agua, la contaminación atmosférica y otros peligros crean una vulnerabilidad y </w:t>
      </w:r>
      <w:r w:rsidR="007A30AB">
        <w:rPr>
          <w:rFonts w:eastAsia="Calibri" w:cs="Calibri"/>
          <w:color w:val="000000" w:themeColor="text1"/>
          <w:lang w:val="es"/>
        </w:rPr>
        <w:t xml:space="preserve">unos </w:t>
      </w:r>
      <w:r>
        <w:rPr>
          <w:rFonts w:eastAsia="Calibri" w:cs="Calibri"/>
          <w:color w:val="000000" w:themeColor="text1"/>
          <w:lang w:val="es"/>
        </w:rPr>
        <w:t xml:space="preserve">desafíos sustanciales en el entorno urbano. </w:t>
      </w:r>
    </w:p>
    <w:p w14:paraId="4AE4196A" w14:textId="72FF7584" w:rsidR="0070358C" w:rsidRPr="005B264C" w:rsidRDefault="0070358C" w:rsidP="00DD1D87">
      <w:pPr>
        <w:spacing w:before="240" w:after="240"/>
        <w:jc w:val="left"/>
        <w:rPr>
          <w:rFonts w:eastAsia="Calibri" w:cs="Calibri"/>
          <w:color w:val="000000" w:themeColor="text1"/>
          <w:lang w:val="es-ES"/>
        </w:rPr>
      </w:pPr>
      <w:r>
        <w:rPr>
          <w:rFonts w:eastAsia="Calibri" w:cs="Calibri"/>
          <w:color w:val="000000" w:themeColor="text1"/>
          <w:lang w:val="es"/>
        </w:rPr>
        <w:t>En la tercera Conferencia de las Naciones Unidas sobre Vivienda y Desarrollo Urbano Sostenible (HÁBITAT III), celebrada en octubre de 2016, se aprobó la Nueva Agenda Urbana (Naciones Unidas, 2017), que se centra en la resiliencia urbana, la sostenibilidad del clima y el medioambiente y la gestión del riesgo de desastres. Tras el evento en el Consejo Económico y Social de las Naciones Unidas (</w:t>
      </w:r>
      <w:hyperlink r:id="rId12" w:history="1">
        <w:r>
          <w:rPr>
            <w:rStyle w:val="Hyperlink"/>
            <w:rFonts w:eastAsia="Calibri" w:cs="Calibri"/>
            <w:lang w:val="es"/>
          </w:rPr>
          <w:t>Revitalización de la Nueva Agenda Urbana para combatir el aumento de las desigualdades - # NUA2030 | Consejo Económico y Social</w:t>
        </w:r>
      </w:hyperlink>
      <w:r>
        <w:rPr>
          <w:rFonts w:eastAsia="Calibri" w:cs="Calibri"/>
          <w:color w:val="000000" w:themeColor="text1"/>
          <w:lang w:val="es"/>
        </w:rPr>
        <w:t xml:space="preserve">), se requieren </w:t>
      </w:r>
      <w:r w:rsidR="006978AD">
        <w:rPr>
          <w:rFonts w:eastAsia="Calibri" w:cs="Calibri"/>
          <w:color w:val="000000" w:themeColor="text1"/>
          <w:lang w:val="es"/>
        </w:rPr>
        <w:t>medidas por parte de</w:t>
      </w:r>
      <w:r>
        <w:rPr>
          <w:rFonts w:eastAsia="Calibri" w:cs="Calibri"/>
          <w:color w:val="000000" w:themeColor="text1"/>
          <w:lang w:val="es"/>
        </w:rPr>
        <w:t xml:space="preserve"> la Organización Meteorológica Mundial (OMM) para consolidar su aporte a la revisión de la Nueva Agenda Urbana y apoyar las actividades relacionadas con las ciudades de manera integral. El desarrollo urbano es ahora una piedra angular de los Objetivos de Desarrollo Sostenible para 2030 de las Naciones Unidas. Tiene su propio objetivo de desarrollo sostenible (ODS 11): Lograr que las ciudades</w:t>
      </w:r>
      <w:r w:rsidR="00ED769C">
        <w:rPr>
          <w:rFonts w:eastAsia="Calibri" w:cs="Calibri"/>
          <w:color w:val="000000" w:themeColor="text1"/>
          <w:lang w:val="es"/>
        </w:rPr>
        <w:t xml:space="preserve"> </w:t>
      </w:r>
      <w:r w:rsidR="00ED769C" w:rsidRPr="00ED769C">
        <w:rPr>
          <w:rFonts w:eastAsia="Calibri" w:cs="Calibri"/>
          <w:color w:val="000000" w:themeColor="text1"/>
          <w:lang w:val="es"/>
        </w:rPr>
        <w:t>y los asentamientos humanos</w:t>
      </w:r>
      <w:r>
        <w:rPr>
          <w:rFonts w:eastAsia="Calibri" w:cs="Calibri"/>
          <w:color w:val="000000" w:themeColor="text1"/>
          <w:lang w:val="es"/>
        </w:rPr>
        <w:t xml:space="preserve"> sean inclusiv</w:t>
      </w:r>
      <w:r w:rsidR="00ED769C">
        <w:rPr>
          <w:rFonts w:eastAsia="Calibri" w:cs="Calibri"/>
          <w:color w:val="000000" w:themeColor="text1"/>
          <w:lang w:val="es"/>
        </w:rPr>
        <w:t>o</w:t>
      </w:r>
      <w:r>
        <w:rPr>
          <w:rFonts w:eastAsia="Calibri" w:cs="Calibri"/>
          <w:color w:val="000000" w:themeColor="text1"/>
          <w:lang w:val="es"/>
        </w:rPr>
        <w:t>s, segur</w:t>
      </w:r>
      <w:r w:rsidR="00ED769C">
        <w:rPr>
          <w:rFonts w:eastAsia="Calibri" w:cs="Calibri"/>
          <w:color w:val="000000" w:themeColor="text1"/>
          <w:lang w:val="es"/>
        </w:rPr>
        <w:t>o</w:t>
      </w:r>
      <w:r>
        <w:rPr>
          <w:rFonts w:eastAsia="Calibri" w:cs="Calibri"/>
          <w:color w:val="000000" w:themeColor="text1"/>
          <w:lang w:val="es"/>
        </w:rPr>
        <w:t xml:space="preserve">s, resilientes y sostenibles. </w:t>
      </w:r>
    </w:p>
    <w:p w14:paraId="2BAFD266" w14:textId="268EC495" w:rsidR="00E905B5" w:rsidRPr="005B264C" w:rsidRDefault="0070358C" w:rsidP="00DD1D87">
      <w:pPr>
        <w:spacing w:before="240" w:after="240"/>
        <w:jc w:val="left"/>
        <w:rPr>
          <w:rFonts w:eastAsia="Calibri" w:cs="Calibri"/>
          <w:color w:val="000000" w:themeColor="text1"/>
          <w:lang w:val="es-ES"/>
        </w:rPr>
      </w:pPr>
      <w:r>
        <w:rPr>
          <w:rFonts w:eastAsia="Calibri" w:cs="Calibri"/>
          <w:color w:val="000000" w:themeColor="text1"/>
          <w:lang w:val="es"/>
        </w:rPr>
        <w:t xml:space="preserve">Para apoyar la implementación de las actividades urbanas, el </w:t>
      </w:r>
      <w:r w:rsidR="00E85EA4">
        <w:rPr>
          <w:rFonts w:eastAsia="Calibri" w:cs="Calibri"/>
          <w:color w:val="000000" w:themeColor="text1"/>
          <w:lang w:val="es"/>
        </w:rPr>
        <w:t>e</w:t>
      </w:r>
      <w:r>
        <w:rPr>
          <w:rFonts w:eastAsia="Calibri" w:cs="Calibri"/>
          <w:color w:val="000000" w:themeColor="text1"/>
          <w:lang w:val="es"/>
        </w:rPr>
        <w:t xml:space="preserve">quipo </w:t>
      </w:r>
      <w:r w:rsidR="00E85EA4">
        <w:rPr>
          <w:rFonts w:eastAsia="Calibri" w:cs="Calibri"/>
          <w:color w:val="000000" w:themeColor="text1"/>
          <w:lang w:val="es"/>
        </w:rPr>
        <w:t xml:space="preserve">de expertos </w:t>
      </w:r>
      <w:proofErr w:type="spellStart"/>
      <w:r w:rsidR="00E22A28">
        <w:rPr>
          <w:rFonts w:eastAsia="Calibri" w:cs="Calibri"/>
          <w:color w:val="000000" w:themeColor="text1"/>
          <w:lang w:val="es"/>
        </w:rPr>
        <w:t>i</w:t>
      </w:r>
      <w:r w:rsidR="00E85EA4">
        <w:rPr>
          <w:rFonts w:eastAsia="Calibri" w:cs="Calibri"/>
          <w:color w:val="000000" w:themeColor="text1"/>
          <w:lang w:val="es"/>
        </w:rPr>
        <w:t>nterprogramas</w:t>
      </w:r>
      <w:proofErr w:type="spellEnd"/>
      <w:r>
        <w:rPr>
          <w:rFonts w:eastAsia="Calibri" w:cs="Calibri"/>
          <w:color w:val="000000" w:themeColor="text1"/>
          <w:lang w:val="es"/>
        </w:rPr>
        <w:t xml:space="preserve"> </w:t>
      </w:r>
      <w:r w:rsidR="00E85EA4">
        <w:rPr>
          <w:rFonts w:eastAsia="Calibri" w:cs="Calibri"/>
          <w:color w:val="000000" w:themeColor="text1"/>
          <w:lang w:val="es"/>
        </w:rPr>
        <w:t>de la OMM sobre zonas</w:t>
      </w:r>
      <w:r>
        <w:rPr>
          <w:rFonts w:eastAsia="Calibri" w:cs="Calibri"/>
          <w:color w:val="000000" w:themeColor="text1"/>
          <w:lang w:val="es"/>
        </w:rPr>
        <w:t xml:space="preserve"> urban</w:t>
      </w:r>
      <w:r w:rsidR="00E85EA4">
        <w:rPr>
          <w:rFonts w:eastAsia="Calibri" w:cs="Calibri"/>
          <w:color w:val="000000" w:themeColor="text1"/>
          <w:lang w:val="es"/>
        </w:rPr>
        <w:t>a</w:t>
      </w:r>
      <w:r>
        <w:rPr>
          <w:rFonts w:eastAsia="Calibri" w:cs="Calibri"/>
          <w:color w:val="000000" w:themeColor="text1"/>
          <w:lang w:val="es"/>
        </w:rPr>
        <w:t xml:space="preserve">s </w:t>
      </w:r>
      <w:r w:rsidR="00CE4C4C">
        <w:rPr>
          <w:rFonts w:eastAsia="Calibri" w:cs="Calibri"/>
          <w:color w:val="000000" w:themeColor="text1"/>
          <w:lang w:val="es"/>
        </w:rPr>
        <w:t>dependiente de</w:t>
      </w:r>
      <w:r>
        <w:rPr>
          <w:rFonts w:eastAsia="Calibri" w:cs="Calibri"/>
          <w:color w:val="000000" w:themeColor="text1"/>
          <w:lang w:val="es"/>
        </w:rPr>
        <w:t xml:space="preserve"> la Comisión de Ciencias Atmosféricas y la Comisión de Sistemas Básicos (2018), con el apoyo de un equipo especializado de coordinadores urbanos de la Secretaría, elaboró la </w:t>
      </w:r>
      <w:r w:rsidRPr="0004076F">
        <w:rPr>
          <w:rFonts w:eastAsia="Calibri" w:cs="Calibri"/>
          <w:i/>
          <w:iCs/>
          <w:color w:val="000000" w:themeColor="text1"/>
          <w:lang w:val="es"/>
        </w:rPr>
        <w:t>Guía sobre Servicios Hidrometeorológicos, Climáticos y Ambientales Urbanos Integrados</w:t>
      </w:r>
      <w:r>
        <w:rPr>
          <w:rFonts w:eastAsia="Calibri" w:cs="Calibri"/>
          <w:color w:val="000000" w:themeColor="text1"/>
          <w:lang w:val="es"/>
        </w:rPr>
        <w:t xml:space="preserve"> (IUS) (Volumen 1: Concepto y Metodología, 2019 y Volumen 2: Ciudades de demostración, 2020). Tras la reforma de los órganos constitutivos de la OMM, la recién establecida Comisión de Servicios de la OMM (SERCOM) formó un Grupo de Estudio sobre Servicios Urbanos Integrados (SG-URB). </w:t>
      </w:r>
      <w:r w:rsidR="00A31C1E">
        <w:rPr>
          <w:rFonts w:eastAsia="Calibri" w:cs="Calibri"/>
          <w:color w:val="000000" w:themeColor="text1"/>
          <w:lang w:val="es"/>
        </w:rPr>
        <w:t>La</w:t>
      </w:r>
      <w:r>
        <w:rPr>
          <w:rFonts w:eastAsia="Calibri" w:cs="Calibri"/>
          <w:color w:val="000000" w:themeColor="text1"/>
          <w:lang w:val="es"/>
        </w:rPr>
        <w:t xml:space="preserve"> SERCOM ha encargado al SG-URB que estudie la forma de prestar servicios </w:t>
      </w:r>
      <w:r>
        <w:rPr>
          <w:rFonts w:eastAsia="Calibri" w:cs="Calibri"/>
          <w:color w:val="000000" w:themeColor="text1"/>
          <w:lang w:val="es"/>
        </w:rPr>
        <w:lastRenderedPageBreak/>
        <w:t>hidrometeorológicos, climáticos y medioambientales urbanos de manera más integrada. Otros órganos de la OMM estaban elaborando y distribuyendo material de orientación sobre los diferentes aspectos del medioambiente urbano (isla de calor urbana, inundaciones urbanas, etc.). En el anexo 1 figura un resumen de esas actividades.</w:t>
      </w:r>
    </w:p>
    <w:p w14:paraId="66AF6B38" w14:textId="77777777" w:rsidR="00226109" w:rsidRPr="005B264C" w:rsidRDefault="0070358C" w:rsidP="00DD1D87">
      <w:pPr>
        <w:spacing w:before="360" w:after="240"/>
        <w:jc w:val="left"/>
        <w:rPr>
          <w:rFonts w:eastAsia="Calibri" w:cs="Calibri"/>
          <w:b/>
          <w:bCs/>
          <w:color w:val="000000" w:themeColor="text1"/>
          <w:lang w:val="es-ES"/>
        </w:rPr>
      </w:pPr>
      <w:r>
        <w:rPr>
          <w:rFonts w:eastAsia="Calibri" w:cs="Calibri"/>
          <w:b/>
          <w:bCs/>
          <w:color w:val="000000" w:themeColor="text1"/>
          <w:lang w:val="es"/>
        </w:rPr>
        <w:t>Recomendaciones generales del taller</w:t>
      </w:r>
    </w:p>
    <w:p w14:paraId="1484CE87" w14:textId="258A1618" w:rsidR="0070358C" w:rsidRPr="005B264C" w:rsidRDefault="0070358C" w:rsidP="00DD1D87">
      <w:pPr>
        <w:spacing w:before="240" w:after="240"/>
        <w:jc w:val="left"/>
        <w:rPr>
          <w:rFonts w:eastAsia="Calibri" w:cs="Calibri"/>
          <w:color w:val="000000" w:themeColor="text1"/>
          <w:lang w:val="es-ES"/>
        </w:rPr>
      </w:pPr>
      <w:r>
        <w:rPr>
          <w:rFonts w:eastAsia="Calibri" w:cs="Calibri"/>
          <w:color w:val="000000" w:themeColor="text1"/>
          <w:lang w:val="es"/>
        </w:rPr>
        <w:t xml:space="preserve">Las acciones recomendadas que pueden </w:t>
      </w:r>
      <w:r w:rsidR="004B308F">
        <w:rPr>
          <w:rFonts w:eastAsia="Calibri" w:cs="Calibri"/>
          <w:color w:val="000000" w:themeColor="text1"/>
          <w:lang w:val="es"/>
        </w:rPr>
        <w:t>suponer</w:t>
      </w:r>
      <w:r>
        <w:rPr>
          <w:rFonts w:eastAsia="Calibri" w:cs="Calibri"/>
          <w:color w:val="000000" w:themeColor="text1"/>
          <w:lang w:val="es"/>
        </w:rPr>
        <w:t xml:space="preserve"> beneficios para los Miembros se pueden combinar en varios grupos:</w:t>
      </w:r>
    </w:p>
    <w:p w14:paraId="45F3C92A" w14:textId="2D798DFD" w:rsidR="0070358C" w:rsidRPr="005B264C" w:rsidRDefault="004B308F" w:rsidP="00DD1D87">
      <w:pPr>
        <w:pStyle w:val="ListParagraph"/>
        <w:numPr>
          <w:ilvl w:val="0"/>
          <w:numId w:val="6"/>
        </w:numPr>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m</w:t>
      </w:r>
      <w:r w:rsidR="00226109">
        <w:rPr>
          <w:rFonts w:eastAsia="Calibri" w:cs="Calibri"/>
          <w:color w:val="000000" w:themeColor="text1"/>
          <w:lang w:val="es"/>
        </w:rPr>
        <w:t>ejora del intercambio de información entre los grupos de la OMM</w:t>
      </w:r>
      <w:r>
        <w:rPr>
          <w:rFonts w:eastAsia="Calibri" w:cs="Calibri"/>
          <w:color w:val="000000" w:themeColor="text1"/>
          <w:lang w:val="es"/>
        </w:rPr>
        <w:t>;</w:t>
      </w:r>
    </w:p>
    <w:p w14:paraId="34792BF9" w14:textId="3793F2DE" w:rsidR="0070358C" w:rsidRPr="005B264C" w:rsidRDefault="004B308F" w:rsidP="00DD1D87">
      <w:pPr>
        <w:pStyle w:val="ListParagraph"/>
        <w:numPr>
          <w:ilvl w:val="0"/>
          <w:numId w:val="6"/>
        </w:numPr>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e</w:t>
      </w:r>
      <w:r w:rsidR="0030239B">
        <w:rPr>
          <w:rFonts w:eastAsia="Calibri" w:cs="Calibri"/>
          <w:color w:val="000000" w:themeColor="text1"/>
          <w:lang w:val="es"/>
        </w:rPr>
        <w:t>strategia común para la participación de los usuarios, incluida la promoción de productos ya disponibles en la comunidad de usuarios</w:t>
      </w:r>
      <w:r>
        <w:rPr>
          <w:rFonts w:eastAsia="Calibri" w:cs="Calibri"/>
          <w:color w:val="000000" w:themeColor="text1"/>
          <w:lang w:val="es"/>
        </w:rPr>
        <w:t>;</w:t>
      </w:r>
    </w:p>
    <w:p w14:paraId="2798AF86" w14:textId="4DBCF338" w:rsidR="0070358C" w:rsidRPr="005B264C" w:rsidRDefault="004B308F" w:rsidP="00DD1D87">
      <w:pPr>
        <w:pStyle w:val="ListParagraph"/>
        <w:numPr>
          <w:ilvl w:val="0"/>
          <w:numId w:val="6"/>
        </w:numPr>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m</w:t>
      </w:r>
      <w:r w:rsidR="0030239B">
        <w:rPr>
          <w:rFonts w:eastAsia="Calibri" w:cs="Calibri"/>
          <w:color w:val="000000" w:themeColor="text1"/>
          <w:lang w:val="es"/>
        </w:rPr>
        <w:t>ejora de los procesos de trabajo</w:t>
      </w:r>
      <w:r>
        <w:rPr>
          <w:rFonts w:eastAsia="Calibri" w:cs="Calibri"/>
          <w:color w:val="000000" w:themeColor="text1"/>
          <w:lang w:val="es"/>
        </w:rPr>
        <w:t>;</w:t>
      </w:r>
    </w:p>
    <w:p w14:paraId="279266C5" w14:textId="1B15BCC2" w:rsidR="0070358C" w:rsidRPr="005B264C" w:rsidRDefault="004B308F" w:rsidP="00DD1D87">
      <w:pPr>
        <w:pStyle w:val="ListParagraph"/>
        <w:numPr>
          <w:ilvl w:val="0"/>
          <w:numId w:val="6"/>
        </w:numPr>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p</w:t>
      </w:r>
      <w:r w:rsidR="00254334">
        <w:rPr>
          <w:rFonts w:eastAsia="Calibri" w:cs="Calibri"/>
          <w:color w:val="000000" w:themeColor="text1"/>
          <w:lang w:val="es"/>
        </w:rPr>
        <w:t>articipación más estratégica en proyectos piloto específicos</w:t>
      </w:r>
      <w:r>
        <w:rPr>
          <w:rFonts w:eastAsia="Calibri" w:cs="Calibri"/>
          <w:color w:val="000000" w:themeColor="text1"/>
          <w:lang w:val="es"/>
        </w:rPr>
        <w:t>;</w:t>
      </w:r>
    </w:p>
    <w:p w14:paraId="367D6B29" w14:textId="4432E460" w:rsidR="0070358C" w:rsidRPr="005B264C" w:rsidRDefault="004B308F" w:rsidP="00DD1D87">
      <w:pPr>
        <w:pStyle w:val="ListParagraph"/>
        <w:numPr>
          <w:ilvl w:val="0"/>
          <w:numId w:val="6"/>
        </w:numPr>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a</w:t>
      </w:r>
      <w:r w:rsidR="007605C9">
        <w:rPr>
          <w:rFonts w:eastAsia="Calibri" w:cs="Calibri"/>
          <w:color w:val="000000" w:themeColor="text1"/>
          <w:lang w:val="es"/>
        </w:rPr>
        <w:t>ctividades conjuntas entre los diferentes grupos sobre la elaboración de material normativo</w:t>
      </w:r>
    </w:p>
    <w:p w14:paraId="746CD2CF" w14:textId="571CEBE1" w:rsidR="0070358C" w:rsidRPr="00B25B94" w:rsidRDefault="0070358C" w:rsidP="00DD1D87">
      <w:pPr>
        <w:spacing w:before="360" w:after="240"/>
        <w:jc w:val="left"/>
        <w:rPr>
          <w:rFonts w:eastAsia="Calibri" w:cs="Calibri"/>
          <w:b/>
          <w:bCs/>
          <w:color w:val="000000" w:themeColor="text1"/>
        </w:rPr>
      </w:pPr>
      <w:r>
        <w:rPr>
          <w:b/>
          <w:bCs/>
          <w:color w:val="000000" w:themeColor="text1"/>
          <w:lang w:val="es"/>
        </w:rPr>
        <w:t xml:space="preserve">1. </w:t>
      </w:r>
      <w:r>
        <w:rPr>
          <w:color w:val="000000" w:themeColor="text1"/>
          <w:lang w:val="es"/>
        </w:rPr>
        <w:tab/>
      </w:r>
      <w:r>
        <w:rPr>
          <w:b/>
          <w:bCs/>
          <w:color w:val="000000" w:themeColor="text1"/>
          <w:lang w:val="es"/>
        </w:rPr>
        <w:t>Intercambio de información</w:t>
      </w:r>
    </w:p>
    <w:p w14:paraId="0DE0388D" w14:textId="2E030142" w:rsidR="0070358C"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Es necesario que los diferentes grupos que trabajan en el ámbito del medio</w:t>
      </w:r>
      <w:r w:rsidR="00167F7F">
        <w:rPr>
          <w:rFonts w:eastAsia="Calibri" w:cs="Calibri"/>
          <w:color w:val="000000" w:themeColor="text1"/>
          <w:lang w:val="es"/>
        </w:rPr>
        <w:t xml:space="preserve"> </w:t>
      </w:r>
      <w:r>
        <w:rPr>
          <w:rFonts w:eastAsia="Calibri" w:cs="Calibri"/>
          <w:color w:val="000000" w:themeColor="text1"/>
          <w:lang w:val="es"/>
        </w:rPr>
        <w:t xml:space="preserve">ambiente urbano dispongan de una base de datos común en la que </w:t>
      </w:r>
      <w:r w:rsidR="001A68C7">
        <w:rPr>
          <w:rFonts w:eastAsia="Calibri" w:cs="Calibri"/>
          <w:color w:val="000000" w:themeColor="text1"/>
          <w:lang w:val="es"/>
        </w:rPr>
        <w:t xml:space="preserve">se </w:t>
      </w:r>
      <w:r>
        <w:rPr>
          <w:rFonts w:eastAsia="Calibri" w:cs="Calibri"/>
          <w:color w:val="000000" w:themeColor="text1"/>
          <w:lang w:val="es"/>
        </w:rPr>
        <w:t xml:space="preserve">pueda </w:t>
      </w:r>
      <w:r w:rsidR="001A68C7">
        <w:rPr>
          <w:rFonts w:eastAsia="Calibri" w:cs="Calibri"/>
          <w:color w:val="000000" w:themeColor="text1"/>
          <w:lang w:val="es"/>
        </w:rPr>
        <w:t>unificar</w:t>
      </w:r>
      <w:r>
        <w:rPr>
          <w:rFonts w:eastAsia="Calibri" w:cs="Calibri"/>
          <w:color w:val="000000" w:themeColor="text1"/>
          <w:lang w:val="es"/>
        </w:rPr>
        <w:t xml:space="preserve"> la información de entrada para la modelización urbana, la previsión y la evaluación de riesgos. Los elementos iniciales pueden utilizar bases de datos de investigación creadas por la comunidad </w:t>
      </w:r>
      <w:r w:rsidR="00AF6780">
        <w:rPr>
          <w:rFonts w:eastAsia="Calibri" w:cs="Calibri"/>
          <w:color w:val="000000" w:themeColor="text1"/>
          <w:lang w:val="es"/>
        </w:rPr>
        <w:t>en materia de</w:t>
      </w:r>
      <w:r>
        <w:rPr>
          <w:rFonts w:eastAsia="Calibri" w:cs="Calibri"/>
          <w:color w:val="000000" w:themeColor="text1"/>
          <w:lang w:val="es"/>
        </w:rPr>
        <w:t xml:space="preserve"> gases de efecto invernadero, </w:t>
      </w:r>
      <w:r w:rsidR="00657BE1">
        <w:rPr>
          <w:rFonts w:eastAsia="Calibri" w:cs="Calibri"/>
          <w:color w:val="000000" w:themeColor="text1"/>
          <w:lang w:val="es"/>
        </w:rPr>
        <w:t xml:space="preserve">el proyecto </w:t>
      </w:r>
      <w:r>
        <w:rPr>
          <w:rFonts w:eastAsia="Calibri" w:cs="Calibri"/>
          <w:color w:val="000000" w:themeColor="text1"/>
          <w:lang w:val="es"/>
        </w:rPr>
        <w:t>WUDAPT,</w:t>
      </w:r>
      <w:r w:rsidR="00F91D2F">
        <w:rPr>
          <w:rFonts w:eastAsia="Calibri" w:cs="Calibri"/>
          <w:color w:val="000000" w:themeColor="text1"/>
          <w:lang w:val="es"/>
        </w:rPr>
        <w:t xml:space="preserve"> el</w:t>
      </w:r>
      <w:r>
        <w:rPr>
          <w:rFonts w:eastAsia="Calibri" w:cs="Calibri"/>
          <w:color w:val="000000" w:themeColor="text1"/>
          <w:lang w:val="es"/>
        </w:rPr>
        <w:t xml:space="preserve"> inventario de </w:t>
      </w:r>
      <w:r w:rsidR="00F91D2F">
        <w:rPr>
          <w:rFonts w:eastAsia="Calibri" w:cs="Calibri"/>
          <w:color w:val="000000" w:themeColor="text1"/>
          <w:lang w:val="es"/>
        </w:rPr>
        <w:t>contaminantes</w:t>
      </w:r>
      <w:r>
        <w:rPr>
          <w:rFonts w:eastAsia="Calibri" w:cs="Calibri"/>
          <w:color w:val="000000" w:themeColor="text1"/>
          <w:lang w:val="es"/>
        </w:rPr>
        <w:t xml:space="preserve"> y otros. Ese catálogo (dónde y qué conjuntos de datos están disponibles) sería útil para la elaboración de mapas socioeconómicos y de vulnerabilidad amplios.</w:t>
      </w:r>
    </w:p>
    <w:p w14:paraId="6DE63BAE" w14:textId="58B875DA" w:rsidR="0070358C"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Sería beneficioso que los centros operativos de predicción numérica del tiempo (</w:t>
      </w:r>
      <w:r w:rsidR="00792B72">
        <w:rPr>
          <w:rFonts w:eastAsia="Calibri" w:cs="Calibri"/>
          <w:color w:val="000000" w:themeColor="text1"/>
          <w:lang w:val="es"/>
        </w:rPr>
        <w:t>PTN</w:t>
      </w:r>
      <w:r>
        <w:rPr>
          <w:rFonts w:eastAsia="Calibri" w:cs="Calibri"/>
          <w:color w:val="000000" w:themeColor="text1"/>
          <w:lang w:val="es"/>
        </w:rPr>
        <w:t>) (</w:t>
      </w:r>
      <w:r w:rsidR="005C23E4">
        <w:rPr>
          <w:rFonts w:eastAsia="Calibri" w:cs="Calibri"/>
          <w:color w:val="000000" w:themeColor="text1"/>
          <w:lang w:val="es"/>
        </w:rPr>
        <w:t>GDPFS</w:t>
      </w:r>
      <w:r>
        <w:rPr>
          <w:rFonts w:eastAsia="Calibri" w:cs="Calibri"/>
          <w:color w:val="000000" w:themeColor="text1"/>
          <w:lang w:val="es"/>
        </w:rPr>
        <w:t xml:space="preserve">) pudieran proporcionar productos de </w:t>
      </w:r>
      <w:r w:rsidR="00792B72">
        <w:rPr>
          <w:rFonts w:eastAsia="Calibri" w:cs="Calibri"/>
          <w:color w:val="000000" w:themeColor="text1"/>
          <w:lang w:val="es"/>
        </w:rPr>
        <w:t>PTN</w:t>
      </w:r>
      <w:r>
        <w:rPr>
          <w:rFonts w:eastAsia="Calibri" w:cs="Calibri"/>
          <w:color w:val="000000" w:themeColor="text1"/>
          <w:lang w:val="es"/>
        </w:rPr>
        <w:t xml:space="preserve"> de alta resolución (1 km) que se utilizarían para las previsiones basadas en el impacto </w:t>
      </w:r>
      <w:r w:rsidR="00792B72">
        <w:rPr>
          <w:rFonts w:eastAsia="Calibri" w:cs="Calibri"/>
          <w:color w:val="000000" w:themeColor="text1"/>
          <w:lang w:val="es"/>
        </w:rPr>
        <w:t>por parte de</w:t>
      </w:r>
      <w:r>
        <w:rPr>
          <w:rFonts w:eastAsia="Calibri" w:cs="Calibri"/>
          <w:color w:val="000000" w:themeColor="text1"/>
          <w:lang w:val="es"/>
        </w:rPr>
        <w:t xml:space="preserve"> los grupos de Reducción del Riesgo de Desastre</w:t>
      </w:r>
      <w:r w:rsidR="00560704">
        <w:rPr>
          <w:rFonts w:eastAsia="Calibri" w:cs="Calibri"/>
          <w:color w:val="000000" w:themeColor="text1"/>
          <w:lang w:val="es"/>
        </w:rPr>
        <w:t xml:space="preserve"> </w:t>
      </w:r>
      <w:r>
        <w:rPr>
          <w:rFonts w:eastAsia="Calibri" w:cs="Calibri"/>
          <w:color w:val="000000" w:themeColor="text1"/>
          <w:lang w:val="es"/>
        </w:rPr>
        <w:t>(DRR).</w:t>
      </w:r>
    </w:p>
    <w:p w14:paraId="348C86D6" w14:textId="63E1C552" w:rsidR="0070358C"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 xml:space="preserve">Los </w:t>
      </w:r>
      <w:r w:rsidR="00560704">
        <w:rPr>
          <w:rFonts w:eastAsia="Calibri" w:cs="Calibri"/>
          <w:color w:val="000000" w:themeColor="text1"/>
          <w:lang w:val="es"/>
        </w:rPr>
        <w:t>talleres en materia de zonas</w:t>
      </w:r>
      <w:r>
        <w:rPr>
          <w:rFonts w:eastAsia="Calibri" w:cs="Calibri"/>
          <w:color w:val="000000" w:themeColor="text1"/>
          <w:lang w:val="es"/>
        </w:rPr>
        <w:t xml:space="preserve"> urban</w:t>
      </w:r>
      <w:r w:rsidR="00560704">
        <w:rPr>
          <w:rFonts w:eastAsia="Calibri" w:cs="Calibri"/>
          <w:color w:val="000000" w:themeColor="text1"/>
          <w:lang w:val="es"/>
        </w:rPr>
        <w:t>a</w:t>
      </w:r>
      <w:r>
        <w:rPr>
          <w:rFonts w:eastAsia="Calibri" w:cs="Calibri"/>
          <w:color w:val="000000" w:themeColor="text1"/>
          <w:lang w:val="es"/>
        </w:rPr>
        <w:t>s de la OMM serían un mecanismo útil para el intercambio de información y podrían organizarse una vez cada dos años. Se centraría</w:t>
      </w:r>
      <w:r w:rsidR="00560704">
        <w:rPr>
          <w:rFonts w:eastAsia="Calibri" w:cs="Calibri"/>
          <w:color w:val="000000" w:themeColor="text1"/>
          <w:lang w:val="es"/>
        </w:rPr>
        <w:t>n</w:t>
      </w:r>
      <w:r>
        <w:rPr>
          <w:rFonts w:eastAsia="Calibri" w:cs="Calibri"/>
          <w:color w:val="000000" w:themeColor="text1"/>
          <w:lang w:val="es"/>
        </w:rPr>
        <w:t xml:space="preserve"> en los últimos avances en las observaciones urbanas, los servicios de modelización y la investigación.</w:t>
      </w:r>
    </w:p>
    <w:p w14:paraId="0E1D86B4" w14:textId="7F56176B" w:rsidR="0070358C" w:rsidRPr="00B25B94" w:rsidRDefault="0070358C" w:rsidP="00DD1D87">
      <w:pPr>
        <w:spacing w:before="360" w:after="240"/>
        <w:jc w:val="left"/>
        <w:rPr>
          <w:rFonts w:eastAsia="Calibri" w:cs="Calibri"/>
          <w:b/>
          <w:bCs/>
          <w:color w:val="000000" w:themeColor="text1"/>
        </w:rPr>
      </w:pPr>
      <w:r>
        <w:rPr>
          <w:b/>
          <w:bCs/>
          <w:color w:val="000000" w:themeColor="text1"/>
          <w:lang w:val="es"/>
        </w:rPr>
        <w:t>2.</w:t>
      </w:r>
      <w:r w:rsidR="0087767C" w:rsidRPr="0087767C">
        <w:rPr>
          <w:color w:val="000000" w:themeColor="text1"/>
          <w:lang w:val="es"/>
        </w:rPr>
        <w:t xml:space="preserve"> </w:t>
      </w:r>
      <w:r w:rsidR="0087767C">
        <w:rPr>
          <w:color w:val="000000" w:themeColor="text1"/>
          <w:lang w:val="es"/>
        </w:rPr>
        <w:tab/>
      </w:r>
      <w:r>
        <w:rPr>
          <w:b/>
          <w:bCs/>
          <w:color w:val="000000" w:themeColor="text1"/>
          <w:lang w:val="es"/>
        </w:rPr>
        <w:t>Participación de los usuarios</w:t>
      </w:r>
      <w:r>
        <w:rPr>
          <w:color w:val="000000" w:themeColor="text1"/>
          <w:lang w:val="es"/>
        </w:rPr>
        <w:tab/>
      </w:r>
    </w:p>
    <w:p w14:paraId="1DC55B65" w14:textId="025F7EF2" w:rsidR="0070358C" w:rsidRPr="00F91CBE"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Los usuarios y l</w:t>
      </w:r>
      <w:r w:rsidR="00F91CBE">
        <w:rPr>
          <w:rFonts w:eastAsia="Calibri" w:cs="Calibri"/>
          <w:color w:val="000000" w:themeColor="text1"/>
          <w:lang w:val="es"/>
        </w:rPr>
        <w:t xml:space="preserve">as partes interesadas </w:t>
      </w:r>
      <w:r>
        <w:rPr>
          <w:rFonts w:eastAsia="Calibri" w:cs="Calibri"/>
          <w:color w:val="000000" w:themeColor="text1"/>
          <w:lang w:val="es"/>
        </w:rPr>
        <w:t xml:space="preserve">deberían ser informados de la labor y los productos de datos </w:t>
      </w:r>
      <w:r w:rsidR="00F91CBE">
        <w:rPr>
          <w:rFonts w:eastAsia="Calibri" w:cs="Calibri"/>
          <w:color w:val="000000" w:themeColor="text1"/>
          <w:lang w:val="es"/>
        </w:rPr>
        <w:t xml:space="preserve">de zonas </w:t>
      </w:r>
      <w:r>
        <w:rPr>
          <w:rFonts w:eastAsia="Calibri" w:cs="Calibri"/>
          <w:color w:val="000000" w:themeColor="text1"/>
          <w:lang w:val="es"/>
        </w:rPr>
        <w:t>urban</w:t>
      </w:r>
      <w:r w:rsidR="00F91CBE">
        <w:rPr>
          <w:rFonts w:eastAsia="Calibri" w:cs="Calibri"/>
          <w:color w:val="000000" w:themeColor="text1"/>
          <w:lang w:val="es"/>
        </w:rPr>
        <w:t>a</w:t>
      </w:r>
      <w:r>
        <w:rPr>
          <w:rFonts w:eastAsia="Calibri" w:cs="Calibri"/>
          <w:color w:val="000000" w:themeColor="text1"/>
          <w:lang w:val="es"/>
        </w:rPr>
        <w:t xml:space="preserve">s </w:t>
      </w:r>
      <w:r w:rsidR="00F91CBE">
        <w:rPr>
          <w:rFonts w:eastAsia="Calibri" w:cs="Calibri"/>
          <w:color w:val="000000" w:themeColor="text1"/>
          <w:lang w:val="es"/>
        </w:rPr>
        <w:t>por parte de</w:t>
      </w:r>
      <w:r>
        <w:rPr>
          <w:rFonts w:eastAsia="Calibri" w:cs="Calibri"/>
          <w:color w:val="000000" w:themeColor="text1"/>
          <w:lang w:val="es"/>
        </w:rPr>
        <w:t xml:space="preserve"> la OMM y participar más en la labor de los grupos de la OMM. Sus necesidades y opiniones deberían evaluarse de manera proactiva. </w:t>
      </w:r>
    </w:p>
    <w:p w14:paraId="374FE76A" w14:textId="33DC8AC4" w:rsidR="0070358C"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Se requiere un</w:t>
      </w:r>
      <w:r w:rsidR="00335B3C">
        <w:rPr>
          <w:rFonts w:eastAsia="Calibri" w:cs="Calibri"/>
          <w:color w:val="000000" w:themeColor="text1"/>
          <w:lang w:val="es"/>
        </w:rPr>
        <w:t xml:space="preserve">a planificación </w:t>
      </w:r>
      <w:r>
        <w:rPr>
          <w:rFonts w:eastAsia="Calibri" w:cs="Calibri"/>
          <w:color w:val="000000" w:themeColor="text1"/>
          <w:lang w:val="es"/>
        </w:rPr>
        <w:t xml:space="preserve">integral para identificar qué </w:t>
      </w:r>
      <w:r w:rsidR="00F06405">
        <w:rPr>
          <w:rFonts w:eastAsia="Calibri" w:cs="Calibri"/>
          <w:color w:val="000000" w:themeColor="text1"/>
          <w:lang w:val="es"/>
        </w:rPr>
        <w:t>necesidades</w:t>
      </w:r>
      <w:r>
        <w:rPr>
          <w:rFonts w:eastAsia="Calibri" w:cs="Calibri"/>
          <w:color w:val="000000" w:themeColor="text1"/>
          <w:lang w:val="es"/>
        </w:rPr>
        <w:t xml:space="preserve"> </w:t>
      </w:r>
      <w:r w:rsidR="00F06405">
        <w:rPr>
          <w:rFonts w:eastAsia="Calibri" w:cs="Calibri"/>
          <w:color w:val="000000" w:themeColor="text1"/>
          <w:lang w:val="es"/>
        </w:rPr>
        <w:t>de</w:t>
      </w:r>
      <w:r>
        <w:rPr>
          <w:rFonts w:eastAsia="Calibri" w:cs="Calibri"/>
          <w:color w:val="000000" w:themeColor="text1"/>
          <w:lang w:val="es"/>
        </w:rPr>
        <w:t xml:space="preserve"> los servicios urbanos pueden </w:t>
      </w:r>
      <w:r w:rsidR="00F06405">
        <w:rPr>
          <w:rFonts w:eastAsia="Calibri" w:cs="Calibri"/>
          <w:color w:val="000000" w:themeColor="text1"/>
          <w:lang w:val="es"/>
        </w:rPr>
        <w:t>cubrirse</w:t>
      </w:r>
      <w:r>
        <w:rPr>
          <w:rFonts w:eastAsia="Calibri" w:cs="Calibri"/>
          <w:color w:val="000000" w:themeColor="text1"/>
          <w:lang w:val="es"/>
        </w:rPr>
        <w:t xml:space="preserve"> con las capacidades existentes (por ejemplo, proporcionadas a través del GDPFS) para una variedad de áreas urbanas que actualmente no </w:t>
      </w:r>
      <w:r w:rsidR="007616AA">
        <w:rPr>
          <w:rFonts w:eastAsia="Calibri" w:cs="Calibri"/>
          <w:color w:val="000000" w:themeColor="text1"/>
          <w:lang w:val="es"/>
        </w:rPr>
        <w:t>tienen</w:t>
      </w:r>
      <w:r>
        <w:rPr>
          <w:rFonts w:eastAsia="Calibri" w:cs="Calibri"/>
          <w:color w:val="000000" w:themeColor="text1"/>
          <w:lang w:val="es"/>
        </w:rPr>
        <w:t xml:space="preserve"> tales servicios. La mejora de dichas capacidades se puede </w:t>
      </w:r>
      <w:r w:rsidR="004E0272">
        <w:rPr>
          <w:rFonts w:eastAsia="Calibri" w:cs="Calibri"/>
          <w:color w:val="000000" w:themeColor="text1"/>
          <w:lang w:val="es"/>
        </w:rPr>
        <w:t>llevar a cabo</w:t>
      </w:r>
      <w:r>
        <w:rPr>
          <w:rFonts w:eastAsia="Calibri" w:cs="Calibri"/>
          <w:color w:val="000000" w:themeColor="text1"/>
          <w:lang w:val="es"/>
        </w:rPr>
        <w:t xml:space="preserve"> en estrecha </w:t>
      </w:r>
      <w:r w:rsidR="004E0272">
        <w:rPr>
          <w:rFonts w:eastAsia="Calibri" w:cs="Calibri"/>
          <w:color w:val="000000" w:themeColor="text1"/>
          <w:lang w:val="es"/>
        </w:rPr>
        <w:t>colaboración</w:t>
      </w:r>
      <w:r>
        <w:rPr>
          <w:rFonts w:eastAsia="Calibri" w:cs="Calibri"/>
          <w:color w:val="000000" w:themeColor="text1"/>
          <w:lang w:val="es"/>
        </w:rPr>
        <w:t xml:space="preserve"> con el usuario, incluida su retroalimentación. </w:t>
      </w:r>
    </w:p>
    <w:p w14:paraId="0F6DB06B" w14:textId="69476C46" w:rsidR="0070358C"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 xml:space="preserve">Se recomendó que, en la medida de lo posible, se examinara la evaluación del valor socioeconómico y se utilizara como elemento impulsor del desarrollo de sistemas. </w:t>
      </w:r>
      <w:r w:rsidR="004E0272">
        <w:rPr>
          <w:rFonts w:eastAsia="Calibri" w:cs="Calibri"/>
          <w:color w:val="000000" w:themeColor="text1"/>
          <w:lang w:val="es"/>
        </w:rPr>
        <w:t xml:space="preserve">El </w:t>
      </w:r>
      <w:r>
        <w:rPr>
          <w:rFonts w:eastAsia="Calibri" w:cs="Calibri"/>
          <w:color w:val="000000" w:themeColor="text1"/>
          <w:lang w:val="es"/>
        </w:rPr>
        <w:t>SG-URB trabaja en el desarrollo de la metodología que puede ser potencialmente utilizada.</w:t>
      </w:r>
    </w:p>
    <w:p w14:paraId="7E15A35A" w14:textId="15DCD329" w:rsidR="0070358C"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lastRenderedPageBreak/>
        <w:t xml:space="preserve">La </w:t>
      </w:r>
      <w:r w:rsidR="009B4D72">
        <w:rPr>
          <w:rFonts w:eastAsia="Calibri" w:cs="Calibri"/>
          <w:color w:val="000000" w:themeColor="text1"/>
          <w:lang w:val="es"/>
        </w:rPr>
        <w:t>formación</w:t>
      </w:r>
      <w:r>
        <w:rPr>
          <w:rFonts w:eastAsia="Calibri" w:cs="Calibri"/>
          <w:color w:val="000000" w:themeColor="text1"/>
          <w:lang w:val="es"/>
        </w:rPr>
        <w:t xml:space="preserve"> periódica de </w:t>
      </w:r>
      <w:r w:rsidR="009B4D72">
        <w:rPr>
          <w:rFonts w:eastAsia="Calibri" w:cs="Calibri"/>
          <w:color w:val="000000" w:themeColor="text1"/>
          <w:lang w:val="es"/>
        </w:rPr>
        <w:t xml:space="preserve">los </w:t>
      </w:r>
      <w:r>
        <w:rPr>
          <w:rFonts w:eastAsia="Calibri" w:cs="Calibri"/>
          <w:color w:val="000000" w:themeColor="text1"/>
          <w:lang w:val="es"/>
        </w:rPr>
        <w:t xml:space="preserve">usuarios y </w:t>
      </w:r>
      <w:r w:rsidR="009B4D72">
        <w:rPr>
          <w:rFonts w:eastAsia="Calibri" w:cs="Calibri"/>
          <w:color w:val="000000" w:themeColor="text1"/>
          <w:lang w:val="es"/>
        </w:rPr>
        <w:t xml:space="preserve">las </w:t>
      </w:r>
      <w:r>
        <w:rPr>
          <w:rFonts w:eastAsia="Calibri" w:cs="Calibri"/>
          <w:color w:val="000000" w:themeColor="text1"/>
          <w:lang w:val="es"/>
        </w:rPr>
        <w:t>partes interesadas sobre la</w:t>
      </w:r>
      <w:r w:rsidR="009B4D72">
        <w:rPr>
          <w:rFonts w:eastAsia="Calibri" w:cs="Calibri"/>
          <w:color w:val="000000" w:themeColor="text1"/>
          <w:lang w:val="es"/>
        </w:rPr>
        <w:t xml:space="preserve"> </w:t>
      </w:r>
      <w:r>
        <w:rPr>
          <w:rFonts w:eastAsia="Calibri" w:cs="Calibri"/>
          <w:color w:val="000000" w:themeColor="text1"/>
          <w:lang w:val="es"/>
        </w:rPr>
        <w:t>capacidad disponible mejoraría la aceptación de los productos de la OMM y garantizaría que se produjeran avances de acuerdo con las necesidades articuladas.</w:t>
      </w:r>
    </w:p>
    <w:p w14:paraId="1F28B386" w14:textId="24CD6679" w:rsidR="0070358C" w:rsidRPr="00B25B94" w:rsidRDefault="0070358C" w:rsidP="00DD1D87">
      <w:pPr>
        <w:spacing w:before="360" w:after="240"/>
        <w:jc w:val="left"/>
        <w:rPr>
          <w:rFonts w:eastAsia="Calibri" w:cs="Calibri"/>
          <w:b/>
          <w:bCs/>
          <w:color w:val="000000" w:themeColor="text1"/>
        </w:rPr>
      </w:pPr>
      <w:r>
        <w:rPr>
          <w:b/>
          <w:bCs/>
          <w:color w:val="000000" w:themeColor="text1"/>
          <w:lang w:val="es"/>
        </w:rPr>
        <w:t xml:space="preserve">3. </w:t>
      </w:r>
      <w:r w:rsidR="0087767C">
        <w:rPr>
          <w:color w:val="000000" w:themeColor="text1"/>
          <w:lang w:val="es"/>
        </w:rPr>
        <w:tab/>
      </w:r>
      <w:r>
        <w:rPr>
          <w:b/>
          <w:bCs/>
          <w:color w:val="000000" w:themeColor="text1"/>
          <w:lang w:val="es"/>
        </w:rPr>
        <w:t>Procesos de trabajo</w:t>
      </w:r>
      <w:r>
        <w:rPr>
          <w:color w:val="000000" w:themeColor="text1"/>
          <w:lang w:val="es"/>
        </w:rPr>
        <w:tab/>
      </w:r>
      <w:r>
        <w:rPr>
          <w:b/>
          <w:bCs/>
          <w:color w:val="000000" w:themeColor="text1"/>
          <w:lang w:val="es"/>
        </w:rPr>
        <w:t xml:space="preserve"> </w:t>
      </w:r>
    </w:p>
    <w:p w14:paraId="777BF105" w14:textId="62477615" w:rsidR="0070358C"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 xml:space="preserve">Podría ser útil crear </w:t>
      </w:r>
      <w:r w:rsidR="00F721FC">
        <w:rPr>
          <w:rFonts w:eastAsia="Calibri" w:cs="Calibri"/>
          <w:color w:val="000000" w:themeColor="text1"/>
          <w:lang w:val="es"/>
        </w:rPr>
        <w:t>un</w:t>
      </w:r>
      <w:r>
        <w:rPr>
          <w:rFonts w:eastAsia="Calibri" w:cs="Calibri"/>
          <w:color w:val="000000" w:themeColor="text1"/>
          <w:lang w:val="es"/>
        </w:rPr>
        <w:t xml:space="preserve"> grupo de coordinadores de la Secretaría y </w:t>
      </w:r>
      <w:r w:rsidR="007F6907">
        <w:rPr>
          <w:rFonts w:eastAsia="Calibri" w:cs="Calibri"/>
          <w:color w:val="000000" w:themeColor="text1"/>
          <w:lang w:val="es"/>
        </w:rPr>
        <w:t>un</w:t>
      </w:r>
      <w:r>
        <w:rPr>
          <w:rFonts w:eastAsia="Calibri" w:cs="Calibri"/>
          <w:color w:val="000000" w:themeColor="text1"/>
          <w:lang w:val="es"/>
        </w:rPr>
        <w:t xml:space="preserve"> grupo correspondiente entre los grupos de la OMM relacionados con las zonas urbanas.</w:t>
      </w:r>
    </w:p>
    <w:p w14:paraId="68DA48BF" w14:textId="42024508" w:rsidR="0070358C"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 xml:space="preserve">Se alienta a los grupos orientados a los servicios a que conviertan las necesidades de los usuarios en </w:t>
      </w:r>
      <w:r w:rsidR="00831E53">
        <w:rPr>
          <w:rFonts w:eastAsia="Calibri" w:cs="Calibri"/>
          <w:color w:val="000000" w:themeColor="text1"/>
          <w:lang w:val="es"/>
        </w:rPr>
        <w:t>necesidades</w:t>
      </w:r>
      <w:r>
        <w:rPr>
          <w:rFonts w:eastAsia="Calibri" w:cs="Calibri"/>
          <w:color w:val="000000" w:themeColor="text1"/>
          <w:lang w:val="es"/>
        </w:rPr>
        <w:t xml:space="preserve"> técnic</w:t>
      </w:r>
      <w:r w:rsidR="00831E53">
        <w:rPr>
          <w:rFonts w:eastAsia="Calibri" w:cs="Calibri"/>
          <w:color w:val="000000" w:themeColor="text1"/>
          <w:lang w:val="es"/>
        </w:rPr>
        <w:t>a</w:t>
      </w:r>
      <w:r>
        <w:rPr>
          <w:rFonts w:eastAsia="Calibri" w:cs="Calibri"/>
          <w:color w:val="000000" w:themeColor="text1"/>
          <w:lang w:val="es"/>
        </w:rPr>
        <w:t xml:space="preserve">s para el sistema. </w:t>
      </w:r>
      <w:r w:rsidR="00831E53">
        <w:rPr>
          <w:rFonts w:eastAsia="Calibri" w:cs="Calibri"/>
          <w:color w:val="000000" w:themeColor="text1"/>
          <w:lang w:val="es"/>
        </w:rPr>
        <w:t>Dichas necesidades</w:t>
      </w:r>
      <w:r>
        <w:rPr>
          <w:rFonts w:eastAsia="Calibri" w:cs="Calibri"/>
          <w:color w:val="000000" w:themeColor="text1"/>
          <w:lang w:val="es"/>
        </w:rPr>
        <w:t xml:space="preserve"> deben </w:t>
      </w:r>
      <w:r w:rsidR="0091218E">
        <w:rPr>
          <w:rFonts w:eastAsia="Calibri" w:cs="Calibri"/>
          <w:color w:val="000000" w:themeColor="text1"/>
          <w:lang w:val="es"/>
        </w:rPr>
        <w:t>establecerse</w:t>
      </w:r>
      <w:r>
        <w:rPr>
          <w:rFonts w:eastAsia="Calibri" w:cs="Calibri"/>
          <w:color w:val="000000" w:themeColor="text1"/>
          <w:lang w:val="es"/>
        </w:rPr>
        <w:t xml:space="preserve"> con respecto a servicios específicos </w:t>
      </w:r>
      <w:r w:rsidR="0098025D">
        <w:rPr>
          <w:rFonts w:eastAsia="Calibri" w:cs="Calibri"/>
          <w:color w:val="000000" w:themeColor="text1"/>
          <w:lang w:val="es"/>
        </w:rPr>
        <w:t>mediante</w:t>
      </w:r>
      <w:r>
        <w:rPr>
          <w:rFonts w:eastAsia="Calibri" w:cs="Calibri"/>
          <w:color w:val="000000" w:themeColor="text1"/>
          <w:lang w:val="es"/>
        </w:rPr>
        <w:t xml:space="preserve"> una descripción clara de lo que el servicio quiere lograr, </w:t>
      </w:r>
      <w:r w:rsidR="00404BB3">
        <w:rPr>
          <w:rFonts w:eastAsia="Calibri" w:cs="Calibri"/>
          <w:color w:val="000000" w:themeColor="text1"/>
          <w:lang w:val="es"/>
        </w:rPr>
        <w:t xml:space="preserve">con </w:t>
      </w:r>
      <w:r>
        <w:rPr>
          <w:rFonts w:eastAsia="Calibri" w:cs="Calibri"/>
          <w:color w:val="000000" w:themeColor="text1"/>
          <w:lang w:val="es"/>
        </w:rPr>
        <w:t>un público claramente definido</w:t>
      </w:r>
      <w:r w:rsidR="00404BB3">
        <w:rPr>
          <w:rFonts w:eastAsia="Calibri" w:cs="Calibri"/>
          <w:color w:val="000000" w:themeColor="text1"/>
          <w:lang w:val="es"/>
        </w:rPr>
        <w:t xml:space="preserve"> y objetivo</w:t>
      </w:r>
      <w:r w:rsidR="007E6075">
        <w:rPr>
          <w:rFonts w:eastAsia="Calibri" w:cs="Calibri"/>
          <w:color w:val="000000" w:themeColor="text1"/>
          <w:lang w:val="es"/>
        </w:rPr>
        <w:t>,</w:t>
      </w:r>
      <w:r>
        <w:rPr>
          <w:rFonts w:eastAsia="Calibri" w:cs="Calibri"/>
          <w:color w:val="000000" w:themeColor="text1"/>
          <w:lang w:val="es"/>
        </w:rPr>
        <w:t xml:space="preserve"> y </w:t>
      </w:r>
      <w:r w:rsidR="00404BB3">
        <w:rPr>
          <w:rFonts w:eastAsia="Calibri" w:cs="Calibri"/>
          <w:color w:val="000000" w:themeColor="text1"/>
          <w:lang w:val="es"/>
        </w:rPr>
        <w:t>un</w:t>
      </w:r>
      <w:r w:rsidR="007E6075">
        <w:rPr>
          <w:rFonts w:eastAsia="Calibri" w:cs="Calibri"/>
          <w:color w:val="000000" w:themeColor="text1"/>
          <w:lang w:val="es"/>
        </w:rPr>
        <w:t xml:space="preserve"> </w:t>
      </w:r>
      <w:r>
        <w:rPr>
          <w:rFonts w:eastAsia="Calibri" w:cs="Calibri"/>
          <w:color w:val="000000" w:themeColor="text1"/>
          <w:lang w:val="es"/>
        </w:rPr>
        <w:t xml:space="preserve">nivel de servicio. Los grupos de servicios deben trabajar en estrecha colaboración para </w:t>
      </w:r>
      <w:r w:rsidR="006C2E88">
        <w:rPr>
          <w:rFonts w:eastAsia="Calibri" w:cs="Calibri"/>
          <w:color w:val="000000" w:themeColor="text1"/>
          <w:lang w:val="es"/>
        </w:rPr>
        <w:t>concretar</w:t>
      </w:r>
      <w:r>
        <w:rPr>
          <w:rFonts w:eastAsia="Calibri" w:cs="Calibri"/>
          <w:color w:val="000000" w:themeColor="text1"/>
          <w:lang w:val="es"/>
        </w:rPr>
        <w:t xml:space="preserve"> </w:t>
      </w:r>
      <w:r w:rsidR="007637AE">
        <w:rPr>
          <w:rFonts w:eastAsia="Calibri" w:cs="Calibri"/>
          <w:color w:val="000000" w:themeColor="text1"/>
          <w:lang w:val="es"/>
        </w:rPr>
        <w:t>estas necesidades</w:t>
      </w:r>
      <w:r>
        <w:rPr>
          <w:rFonts w:eastAsia="Calibri" w:cs="Calibri"/>
          <w:color w:val="000000" w:themeColor="text1"/>
          <w:lang w:val="es"/>
        </w:rPr>
        <w:t xml:space="preserve"> antes de </w:t>
      </w:r>
      <w:r w:rsidR="007637AE">
        <w:rPr>
          <w:rFonts w:eastAsia="Calibri" w:cs="Calibri"/>
          <w:color w:val="000000" w:themeColor="text1"/>
          <w:lang w:val="es"/>
        </w:rPr>
        <w:t>incorporarlas</w:t>
      </w:r>
      <w:r>
        <w:rPr>
          <w:rFonts w:eastAsia="Calibri" w:cs="Calibri"/>
          <w:color w:val="000000" w:themeColor="text1"/>
          <w:lang w:val="es"/>
        </w:rPr>
        <w:t xml:space="preserve"> a la infraestructura.</w:t>
      </w:r>
    </w:p>
    <w:p w14:paraId="1925B203" w14:textId="706F5AF6" w:rsidR="0070358C"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 xml:space="preserve">Se recomienda que el proceso de examen continuo de las necesidades evolucione para poder proporcionar en el futuro orientación hacia sistemas de observación urbana optimizados e integrados. Sería beneficioso para los grupos de investigación trabajar </w:t>
      </w:r>
      <w:r w:rsidR="001F0D2E">
        <w:rPr>
          <w:rFonts w:eastAsia="Calibri" w:cs="Calibri"/>
          <w:color w:val="000000" w:themeColor="text1"/>
          <w:lang w:val="es"/>
        </w:rPr>
        <w:t xml:space="preserve">de forma </w:t>
      </w:r>
      <w:r>
        <w:rPr>
          <w:rFonts w:eastAsia="Calibri" w:cs="Calibri"/>
          <w:color w:val="000000" w:themeColor="text1"/>
          <w:lang w:val="es"/>
        </w:rPr>
        <w:t>mucho más estrecha para abordar los aspectos más críticos de la investigación</w:t>
      </w:r>
      <w:r w:rsidR="008F1244">
        <w:rPr>
          <w:rFonts w:eastAsia="Calibri" w:cs="Calibri"/>
          <w:color w:val="000000" w:themeColor="text1"/>
          <w:lang w:val="es"/>
        </w:rPr>
        <w:t xml:space="preserve"> en zonas</w:t>
      </w:r>
      <w:r>
        <w:rPr>
          <w:rFonts w:eastAsia="Calibri" w:cs="Calibri"/>
          <w:color w:val="000000" w:themeColor="text1"/>
          <w:lang w:val="es"/>
        </w:rPr>
        <w:t xml:space="preserve"> urbana</w:t>
      </w:r>
      <w:r w:rsidR="008F1244">
        <w:rPr>
          <w:rFonts w:eastAsia="Calibri" w:cs="Calibri"/>
          <w:color w:val="000000" w:themeColor="text1"/>
          <w:lang w:val="es"/>
        </w:rPr>
        <w:t>s</w:t>
      </w:r>
      <w:r>
        <w:rPr>
          <w:rFonts w:eastAsia="Calibri" w:cs="Calibri"/>
          <w:color w:val="000000" w:themeColor="text1"/>
          <w:lang w:val="es"/>
        </w:rPr>
        <w:t xml:space="preserve"> que </w:t>
      </w:r>
      <w:r w:rsidR="00AA6A0D">
        <w:rPr>
          <w:rFonts w:eastAsia="Calibri" w:cs="Calibri"/>
          <w:color w:val="000000" w:themeColor="text1"/>
          <w:lang w:val="es"/>
        </w:rPr>
        <w:t>conduzcan</w:t>
      </w:r>
      <w:r>
        <w:rPr>
          <w:rFonts w:eastAsia="Calibri" w:cs="Calibri"/>
          <w:color w:val="000000" w:themeColor="text1"/>
          <w:lang w:val="es"/>
        </w:rPr>
        <w:t xml:space="preserve"> a beneficios operativos rápidos. </w:t>
      </w:r>
    </w:p>
    <w:p w14:paraId="562AE2C6" w14:textId="133014BD" w:rsidR="00226DF1"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 xml:space="preserve">También </w:t>
      </w:r>
      <w:r w:rsidR="001F0D2E">
        <w:rPr>
          <w:rFonts w:eastAsia="Calibri" w:cs="Calibri"/>
          <w:color w:val="000000" w:themeColor="text1"/>
          <w:lang w:val="es"/>
        </w:rPr>
        <w:t>sería útil</w:t>
      </w:r>
      <w:r>
        <w:rPr>
          <w:rFonts w:eastAsia="Calibri" w:cs="Calibri"/>
          <w:color w:val="000000" w:themeColor="text1"/>
          <w:lang w:val="es"/>
        </w:rPr>
        <w:t xml:space="preserve"> que la comunidad </w:t>
      </w:r>
      <w:r w:rsidR="0055169A">
        <w:rPr>
          <w:rFonts w:eastAsia="Calibri" w:cs="Calibri"/>
          <w:color w:val="000000" w:themeColor="text1"/>
          <w:lang w:val="es"/>
        </w:rPr>
        <w:t>de investigación</w:t>
      </w:r>
      <w:r>
        <w:rPr>
          <w:rFonts w:eastAsia="Calibri" w:cs="Calibri"/>
          <w:color w:val="000000" w:themeColor="text1"/>
          <w:lang w:val="es"/>
        </w:rPr>
        <w:t xml:space="preserve"> estableciera un proceso periódico de evaluación/valoración en relación con la disponibilidad operativa de la capacidad de modelización de la investigación y asesorara sobre </w:t>
      </w:r>
      <w:r w:rsidR="00605438">
        <w:rPr>
          <w:rFonts w:eastAsia="Calibri" w:cs="Calibri"/>
          <w:color w:val="000000" w:themeColor="text1"/>
          <w:lang w:val="es"/>
        </w:rPr>
        <w:t>e</w:t>
      </w:r>
      <w:r w:rsidR="0043395E">
        <w:rPr>
          <w:rFonts w:eastAsia="Calibri" w:cs="Calibri"/>
          <w:color w:val="000000" w:themeColor="text1"/>
          <w:lang w:val="es"/>
        </w:rPr>
        <w:t>sto</w:t>
      </w:r>
      <w:r>
        <w:rPr>
          <w:rFonts w:eastAsia="Calibri" w:cs="Calibri"/>
          <w:color w:val="000000" w:themeColor="text1"/>
          <w:lang w:val="es"/>
        </w:rPr>
        <w:t xml:space="preserve"> al GDPFS.</w:t>
      </w:r>
    </w:p>
    <w:p w14:paraId="464A9CEC" w14:textId="77777777" w:rsidR="0070358C" w:rsidRPr="00B25B94" w:rsidRDefault="0070358C" w:rsidP="00DD1D87">
      <w:pPr>
        <w:keepNext/>
        <w:spacing w:before="360" w:after="240"/>
        <w:jc w:val="left"/>
        <w:rPr>
          <w:rFonts w:eastAsia="Calibri" w:cs="Calibri"/>
          <w:b/>
          <w:bCs/>
          <w:color w:val="000000" w:themeColor="text1"/>
        </w:rPr>
      </w:pPr>
      <w:r>
        <w:rPr>
          <w:b/>
          <w:bCs/>
          <w:color w:val="000000" w:themeColor="text1"/>
          <w:lang w:val="es"/>
        </w:rPr>
        <w:t>4.</w:t>
      </w:r>
      <w:r>
        <w:rPr>
          <w:b/>
          <w:bCs/>
          <w:color w:val="000000" w:themeColor="text1"/>
          <w:lang w:val="es"/>
        </w:rPr>
        <w:tab/>
        <w:t>Proyectos piloto</w:t>
      </w:r>
    </w:p>
    <w:p w14:paraId="3772DF27" w14:textId="38D41038" w:rsidR="0070358C" w:rsidRPr="005B264C" w:rsidRDefault="0070358C" w:rsidP="00DD1D87">
      <w:pPr>
        <w:pStyle w:val="ListParagraph"/>
        <w:keepNext/>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 xml:space="preserve">Es necesario contar con un catálogo común de proyectos piloto y de demostración entre diferentes grupos y promover </w:t>
      </w:r>
      <w:r w:rsidR="0043657E">
        <w:rPr>
          <w:rFonts w:eastAsia="Calibri" w:cs="Calibri"/>
          <w:color w:val="000000" w:themeColor="text1"/>
          <w:lang w:val="es"/>
        </w:rPr>
        <w:t>las actividades intersectoriales</w:t>
      </w:r>
      <w:r>
        <w:rPr>
          <w:rFonts w:eastAsia="Calibri" w:cs="Calibri"/>
          <w:color w:val="000000" w:themeColor="text1"/>
          <w:lang w:val="es"/>
        </w:rPr>
        <w:t>.</w:t>
      </w:r>
    </w:p>
    <w:p w14:paraId="4CE7B7B4" w14:textId="0FE40A64" w:rsidR="0070358C"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 xml:space="preserve">La OMM debería </w:t>
      </w:r>
      <w:r w:rsidR="00CC56B0">
        <w:rPr>
          <w:rFonts w:eastAsia="Calibri" w:cs="Calibri"/>
          <w:color w:val="000000" w:themeColor="text1"/>
          <w:lang w:val="es"/>
        </w:rPr>
        <w:t>explorar</w:t>
      </w:r>
      <w:r>
        <w:rPr>
          <w:rFonts w:eastAsia="Calibri" w:cs="Calibri"/>
          <w:color w:val="000000" w:themeColor="text1"/>
          <w:lang w:val="es"/>
        </w:rPr>
        <w:t xml:space="preserve"> los proyectos </w:t>
      </w:r>
      <w:r w:rsidR="00192507">
        <w:rPr>
          <w:rFonts w:eastAsia="Calibri" w:cs="Calibri"/>
          <w:color w:val="000000" w:themeColor="text1"/>
          <w:lang w:val="es"/>
        </w:rPr>
        <w:t>piloto</w:t>
      </w:r>
      <w:r>
        <w:rPr>
          <w:rFonts w:eastAsia="Calibri" w:cs="Calibri"/>
          <w:color w:val="000000" w:themeColor="text1"/>
          <w:lang w:val="es"/>
        </w:rPr>
        <w:t xml:space="preserve"> en curso que cuentan con el apoyo de otras organizaciones (por ejemplo, la Oficina de las Naciones Unidas para la Reducción del Riesgo de Desastres (UNDRR), el Banco Mundial, el Programa de las Naciones Unidas para el Medio Ambiente (PNUMA) y el ICLEI) y considerar activamente la posibilidad de participar.</w:t>
      </w:r>
    </w:p>
    <w:p w14:paraId="707F5ABD" w14:textId="23D883DD" w:rsidR="0070358C"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L</w:t>
      </w:r>
      <w:r w:rsidR="00DC601C">
        <w:rPr>
          <w:rFonts w:eastAsia="Calibri" w:cs="Calibri"/>
          <w:color w:val="000000" w:themeColor="text1"/>
          <w:lang w:val="es"/>
        </w:rPr>
        <w:t xml:space="preserve">as comisiones técnicas </w:t>
      </w:r>
      <w:r>
        <w:rPr>
          <w:rFonts w:eastAsia="Calibri" w:cs="Calibri"/>
          <w:color w:val="000000" w:themeColor="text1"/>
          <w:lang w:val="es"/>
        </w:rPr>
        <w:t xml:space="preserve">y la Junta de Investigación </w:t>
      </w:r>
      <w:r w:rsidR="00D357EF">
        <w:rPr>
          <w:rFonts w:eastAsia="Calibri" w:cs="Calibri"/>
          <w:color w:val="000000" w:themeColor="text1"/>
          <w:lang w:val="es"/>
        </w:rPr>
        <w:t>deberían</w:t>
      </w:r>
      <w:r>
        <w:rPr>
          <w:rFonts w:eastAsia="Calibri" w:cs="Calibri"/>
          <w:color w:val="000000" w:themeColor="text1"/>
          <w:lang w:val="es"/>
        </w:rPr>
        <w:t xml:space="preserve"> trabajar con las </w:t>
      </w:r>
      <w:r w:rsidR="007234DF">
        <w:rPr>
          <w:rFonts w:eastAsia="Calibri" w:cs="Calibri"/>
          <w:color w:val="000000" w:themeColor="text1"/>
          <w:lang w:val="es"/>
        </w:rPr>
        <w:t>a</w:t>
      </w:r>
      <w:r>
        <w:rPr>
          <w:rFonts w:eastAsia="Calibri" w:cs="Calibri"/>
          <w:color w:val="000000" w:themeColor="text1"/>
          <w:lang w:val="es"/>
        </w:rPr>
        <w:t xml:space="preserve">sociaciones </w:t>
      </w:r>
      <w:r w:rsidR="007234DF">
        <w:rPr>
          <w:rFonts w:eastAsia="Calibri" w:cs="Calibri"/>
          <w:color w:val="000000" w:themeColor="text1"/>
          <w:lang w:val="es"/>
        </w:rPr>
        <w:t>r</w:t>
      </w:r>
      <w:r>
        <w:rPr>
          <w:rFonts w:eastAsia="Calibri" w:cs="Calibri"/>
          <w:color w:val="000000" w:themeColor="text1"/>
          <w:lang w:val="es"/>
        </w:rPr>
        <w:t xml:space="preserve">egionales (AR) para seleccionar ciudades adecuadas </w:t>
      </w:r>
      <w:r w:rsidR="00D357EF">
        <w:rPr>
          <w:rFonts w:eastAsia="Calibri" w:cs="Calibri"/>
          <w:color w:val="000000" w:themeColor="text1"/>
          <w:lang w:val="es"/>
        </w:rPr>
        <w:t>en las que</w:t>
      </w:r>
      <w:r>
        <w:rPr>
          <w:rFonts w:eastAsia="Calibri" w:cs="Calibri"/>
          <w:color w:val="000000" w:themeColor="text1"/>
          <w:lang w:val="es"/>
        </w:rPr>
        <w:t xml:space="preserve"> implementar proyectos piloto conjuntos para probar nuevas tecnologías (instrumentos, métodos, modelos de </w:t>
      </w:r>
      <w:r w:rsidR="00D038D6">
        <w:rPr>
          <w:rFonts w:eastAsia="Calibri" w:cs="Calibri"/>
          <w:color w:val="000000" w:themeColor="text1"/>
          <w:lang w:val="es"/>
        </w:rPr>
        <w:t>PNT</w:t>
      </w:r>
      <w:r>
        <w:rPr>
          <w:rFonts w:eastAsia="Calibri" w:cs="Calibri"/>
          <w:color w:val="000000" w:themeColor="text1"/>
          <w:lang w:val="es"/>
        </w:rPr>
        <w:t xml:space="preserve"> de </w:t>
      </w:r>
      <w:proofErr w:type="spellStart"/>
      <w:r>
        <w:rPr>
          <w:rFonts w:eastAsia="Calibri" w:cs="Calibri"/>
          <w:color w:val="000000" w:themeColor="text1"/>
          <w:lang w:val="es"/>
        </w:rPr>
        <w:t>subkilómetro</w:t>
      </w:r>
      <w:proofErr w:type="spellEnd"/>
      <w:r>
        <w:rPr>
          <w:rFonts w:eastAsia="Calibri" w:cs="Calibri"/>
          <w:color w:val="000000" w:themeColor="text1"/>
          <w:lang w:val="es"/>
        </w:rPr>
        <w:t xml:space="preserve">, productos especialmente en apoyo de la </w:t>
      </w:r>
      <w:r w:rsidR="00347498">
        <w:rPr>
          <w:rFonts w:eastAsia="Calibri" w:cs="Calibri"/>
          <w:color w:val="000000" w:themeColor="text1"/>
          <w:lang w:val="es"/>
        </w:rPr>
        <w:t>predicción</w:t>
      </w:r>
      <w:r>
        <w:rPr>
          <w:rFonts w:eastAsia="Calibri" w:cs="Calibri"/>
          <w:color w:val="000000" w:themeColor="text1"/>
          <w:lang w:val="es"/>
        </w:rPr>
        <w:t>/advertencia de peligros múltiples en entornos urbanos).</w:t>
      </w:r>
    </w:p>
    <w:p w14:paraId="60C90982" w14:textId="5A5C16D2" w:rsidR="0070358C" w:rsidRPr="00B25B94" w:rsidRDefault="0070358C" w:rsidP="00DD1D87">
      <w:pPr>
        <w:spacing w:before="360" w:after="240"/>
        <w:jc w:val="left"/>
        <w:rPr>
          <w:rFonts w:eastAsia="Calibri" w:cs="Calibri"/>
          <w:b/>
          <w:bCs/>
          <w:color w:val="000000" w:themeColor="text1"/>
        </w:rPr>
      </w:pPr>
      <w:r>
        <w:rPr>
          <w:b/>
          <w:bCs/>
          <w:color w:val="000000" w:themeColor="text1"/>
          <w:lang w:val="es"/>
        </w:rPr>
        <w:t xml:space="preserve">5. </w:t>
      </w:r>
      <w:r w:rsidR="00F91CBE">
        <w:rPr>
          <w:color w:val="000000" w:themeColor="text1"/>
          <w:lang w:val="es"/>
        </w:rPr>
        <w:tab/>
      </w:r>
      <w:r>
        <w:rPr>
          <w:b/>
          <w:bCs/>
          <w:color w:val="000000" w:themeColor="text1"/>
          <w:lang w:val="es"/>
        </w:rPr>
        <w:t>Materiales normativos</w:t>
      </w:r>
    </w:p>
    <w:p w14:paraId="1B7E9C04" w14:textId="4C4E542D" w:rsidR="0070358C"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Elaborar normas, protocolos y recomendaciones de medición comunes para los instrumentos de observación nuevos/no convencionales sobre la base de los trabajos ya iniciados (incluidos los sensores de bajo coste y la ciencia ciudadana) y con la participación de todos los grupos</w:t>
      </w:r>
      <w:r w:rsidR="00D72300">
        <w:rPr>
          <w:rFonts w:eastAsia="Calibri" w:cs="Calibri"/>
          <w:color w:val="000000" w:themeColor="text1"/>
          <w:lang w:val="es"/>
        </w:rPr>
        <w:t xml:space="preserve"> en materia de zonas</w:t>
      </w:r>
      <w:r>
        <w:rPr>
          <w:rFonts w:eastAsia="Calibri" w:cs="Calibri"/>
          <w:color w:val="000000" w:themeColor="text1"/>
          <w:lang w:val="es"/>
        </w:rPr>
        <w:t xml:space="preserve"> urban</w:t>
      </w:r>
      <w:r w:rsidR="00D72300">
        <w:rPr>
          <w:rFonts w:eastAsia="Calibri" w:cs="Calibri"/>
          <w:color w:val="000000" w:themeColor="text1"/>
          <w:lang w:val="es"/>
        </w:rPr>
        <w:t>a</w:t>
      </w:r>
      <w:r>
        <w:rPr>
          <w:rFonts w:eastAsia="Calibri" w:cs="Calibri"/>
          <w:color w:val="000000" w:themeColor="text1"/>
          <w:lang w:val="es"/>
        </w:rPr>
        <w:t>s. Esto debe incluir la metodología para obtener, analizar y compartir tipos de datos estructurados y no estructurados.</w:t>
      </w:r>
    </w:p>
    <w:p w14:paraId="63340C7C" w14:textId="4CCCEE74" w:rsidR="0070358C"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 xml:space="preserve">Desarrollar/establecer bancos de pruebas y </w:t>
      </w:r>
      <w:r w:rsidR="00964D80">
        <w:rPr>
          <w:rFonts w:eastAsia="Calibri" w:cs="Calibri"/>
          <w:color w:val="000000" w:themeColor="text1"/>
          <w:lang w:val="es"/>
        </w:rPr>
        <w:t>análisis comparados</w:t>
      </w:r>
      <w:r>
        <w:rPr>
          <w:rFonts w:eastAsia="Calibri" w:cs="Calibri"/>
          <w:color w:val="000000" w:themeColor="text1"/>
          <w:lang w:val="es"/>
        </w:rPr>
        <w:t xml:space="preserve"> para modelos de alta resolución (por ejemplo, a través del consorcio de gemelos digitales).</w:t>
      </w:r>
    </w:p>
    <w:p w14:paraId="5ECFD261" w14:textId="080620DE" w:rsidR="0070358C" w:rsidRPr="005B264C"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es-ES"/>
        </w:rPr>
      </w:pPr>
      <w:r>
        <w:rPr>
          <w:rFonts w:eastAsia="Calibri" w:cs="Calibri"/>
          <w:color w:val="000000" w:themeColor="text1"/>
          <w:lang w:val="es"/>
        </w:rPr>
        <w:t xml:space="preserve">Evaluar los materiales de orientación desarrollados por diferentes grupos para establecer su consistencia interna, establecer un catálogo de dichos materiales de orientación y desarrollar </w:t>
      </w:r>
      <w:r w:rsidR="00653983">
        <w:rPr>
          <w:rFonts w:eastAsia="Calibri" w:cs="Calibri"/>
          <w:color w:val="000000" w:themeColor="text1"/>
          <w:lang w:val="es"/>
        </w:rPr>
        <w:t>una formación</w:t>
      </w:r>
      <w:r>
        <w:rPr>
          <w:rFonts w:eastAsia="Calibri" w:cs="Calibri"/>
          <w:color w:val="000000" w:themeColor="text1"/>
          <w:lang w:val="es"/>
        </w:rPr>
        <w:t xml:space="preserve"> </w:t>
      </w:r>
      <w:r w:rsidR="00653983">
        <w:rPr>
          <w:rFonts w:eastAsia="Calibri" w:cs="Calibri"/>
          <w:color w:val="000000" w:themeColor="text1"/>
          <w:lang w:val="es"/>
        </w:rPr>
        <w:t>sobre ellos para</w:t>
      </w:r>
      <w:r>
        <w:rPr>
          <w:rFonts w:eastAsia="Calibri" w:cs="Calibri"/>
          <w:color w:val="000000" w:themeColor="text1"/>
          <w:lang w:val="es"/>
        </w:rPr>
        <w:t xml:space="preserve"> los usuarios.</w:t>
      </w:r>
      <w:bookmarkStart w:id="0" w:name="_GoBack"/>
      <w:bookmarkEnd w:id="0"/>
    </w:p>
    <w:sectPr w:rsidR="0070358C" w:rsidRPr="005B264C" w:rsidSect="0020095E">
      <w:headerReference w:type="even" r:id="rId13"/>
      <w:headerReference w:type="default" r:id="rId14"/>
      <w:headerReference w:type="firs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CB722" w14:textId="77777777" w:rsidR="005D7893" w:rsidRDefault="005D7893">
      <w:r>
        <w:separator/>
      </w:r>
    </w:p>
    <w:p w14:paraId="659A67A5" w14:textId="77777777" w:rsidR="005D7893" w:rsidRDefault="005D7893"/>
    <w:p w14:paraId="6F870C0A" w14:textId="77777777" w:rsidR="005D7893" w:rsidRDefault="005D7893"/>
  </w:endnote>
  <w:endnote w:type="continuationSeparator" w:id="0">
    <w:p w14:paraId="4ED376A0" w14:textId="77777777" w:rsidR="005D7893" w:rsidRDefault="005D7893">
      <w:r>
        <w:continuationSeparator/>
      </w:r>
    </w:p>
    <w:p w14:paraId="217AC945" w14:textId="77777777" w:rsidR="005D7893" w:rsidRDefault="005D7893"/>
    <w:p w14:paraId="7E881A2E" w14:textId="77777777" w:rsidR="005D7893" w:rsidRDefault="005D7893"/>
  </w:endnote>
  <w:endnote w:type="continuationNotice" w:id="1">
    <w:p w14:paraId="1CE61C7D" w14:textId="77777777" w:rsidR="005D7893" w:rsidRDefault="005D7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B0150" w14:textId="77777777" w:rsidR="005D7893" w:rsidRDefault="005D7893">
      <w:r>
        <w:separator/>
      </w:r>
    </w:p>
  </w:footnote>
  <w:footnote w:type="continuationSeparator" w:id="0">
    <w:p w14:paraId="687E0F88" w14:textId="77777777" w:rsidR="005D7893" w:rsidRDefault="005D7893">
      <w:r>
        <w:continuationSeparator/>
      </w:r>
    </w:p>
    <w:p w14:paraId="4726C33A" w14:textId="77777777" w:rsidR="005D7893" w:rsidRDefault="005D7893"/>
    <w:p w14:paraId="351C5459" w14:textId="77777777" w:rsidR="005D7893" w:rsidRDefault="005D7893"/>
  </w:footnote>
  <w:footnote w:type="continuationNotice" w:id="1">
    <w:p w14:paraId="1F74939C" w14:textId="77777777" w:rsidR="005D7893" w:rsidRDefault="005D78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352A" w14:textId="77777777" w:rsidR="006229EE" w:rsidRDefault="00C81B1F">
    <w:pPr>
      <w:pStyle w:val="Header"/>
    </w:pPr>
    <w:r>
      <w:rPr>
        <w:noProof/>
        <w:lang w:val="es"/>
      </w:rPr>
      <w:pict w14:anchorId="03EB1685">
        <v:shapetype id="_x0000_m105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es"/>
      </w:rPr>
      <w:pict w14:anchorId="6CCB94ED">
        <v:shape id="_x0000_s1025" type="#_x0000_m1052" style="position:absolute;left:0;text-align:left;margin-left:0;margin-top:0;width:595.3pt;height:550pt;z-index:-2516510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7094A9A" w14:textId="77777777" w:rsidR="005444E2" w:rsidRDefault="005444E2"/>
  <w:p w14:paraId="0A7FAE38" w14:textId="77777777" w:rsidR="006229EE" w:rsidRDefault="00C81B1F">
    <w:pPr>
      <w:pStyle w:val="Header"/>
    </w:pPr>
    <w:r>
      <w:rPr>
        <w:noProof/>
        <w:lang w:val="es"/>
      </w:rPr>
      <w:pict w14:anchorId="591D332B">
        <v:shapetype id="_x0000_m105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es"/>
      </w:rPr>
      <w:pict w14:anchorId="5040E830">
        <v:shape id="_x0000_s1027" type="#_x0000_m1051" style="position:absolute;left:0;text-align:left;margin-left:0;margin-top:0;width:595.3pt;height:550pt;z-index:-2516520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F4B5DA1" w14:textId="77777777" w:rsidR="005444E2" w:rsidRDefault="005444E2"/>
  <w:p w14:paraId="6953C7AC" w14:textId="77777777" w:rsidR="006229EE" w:rsidRDefault="00C81B1F">
    <w:pPr>
      <w:pStyle w:val="Header"/>
    </w:pPr>
    <w:r>
      <w:rPr>
        <w:noProof/>
        <w:lang w:val="es"/>
      </w:rPr>
      <w:pict w14:anchorId="65186508">
        <v:shapetype id="_x0000_m105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es"/>
      </w:rPr>
      <w:pict w14:anchorId="73E8DDD0">
        <v:shape id="_x0000_s1029" type="#_x0000_m1050" style="position:absolute;left:0;text-align:left;margin-left:0;margin-top:0;width:595.3pt;height:550pt;z-index:-2516531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E1FF7B0" w14:textId="77777777" w:rsidR="005444E2" w:rsidRDefault="005444E2"/>
  <w:p w14:paraId="3B6DEB7C" w14:textId="77777777" w:rsidR="00313CA2" w:rsidRDefault="00C81B1F">
    <w:pPr>
      <w:pStyle w:val="Header"/>
    </w:pPr>
    <w:r>
      <w:rPr>
        <w:noProof/>
        <w:lang w:val="es"/>
      </w:rPr>
      <w:pict w14:anchorId="47926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0;width:50pt;height:50pt;z-index:251658240;visibility:hidden">
          <v:path gradientshapeok="f"/>
          <o:lock v:ext="edit" selection="t"/>
        </v:shape>
      </w:pict>
    </w:r>
    <w:r>
      <w:rPr>
        <w:lang w:val="es"/>
      </w:rPr>
      <w:pict w14:anchorId="55E19431">
        <v:shapetype id="_x0000_m104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lang w:val="es"/>
      </w:rPr>
      <w:pict w14:anchorId="49FEFEDB">
        <v:shape id="WordPictureWatermark835936646" o:spid="_x0000_s1042" type="#_x0000_m1049"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5DAD" w14:textId="4EAE2AEF" w:rsidR="00A432CD" w:rsidRDefault="003F7199" w:rsidP="00B72444">
    <w:pPr>
      <w:pStyle w:val="Header"/>
    </w:pPr>
    <w:r>
      <w:rPr>
        <w:lang w:val="es"/>
      </w:rPr>
      <w:t xml:space="preserve">SERCOM-2/INF. 5.11, p. </w:t>
    </w: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6</w:t>
    </w:r>
    <w:r>
      <w:rPr>
        <w:rStyle w:val="PageNumber"/>
        <w:lang w:val="es"/>
      </w:rPr>
      <w:fldChar w:fldCharType="end"/>
    </w:r>
    <w:r w:rsidR="00C81B1F">
      <w:rPr>
        <w:lang w:val="es"/>
      </w:rPr>
      <w:pict w14:anchorId="5683F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50pt;height:50pt;z-index:251659264;visibility:hidden;mso-position-horizontal-relative:text;mso-position-vertical-relative:text">
          <v:path gradientshapeok="f"/>
          <o:lock v:ext="edit" selection="t"/>
        </v:shape>
      </w:pict>
    </w:r>
    <w:r w:rsidR="00C81B1F">
      <w:rPr>
        <w:lang w:val="es"/>
      </w:rPr>
      <w:pict w14:anchorId="1F8E5F31">
        <v:shape id="_x0000_s1040" type="#_x0000_t75" style="position:absolute;left:0;text-align:left;margin-left:0;margin-top:0;width:50pt;height:50pt;z-index:251660288;visibility:hidden;mso-position-horizontal-relative:text;mso-position-vertical-relative:text">
          <v:path gradientshapeok="f"/>
          <o:lock v:ext="edit" selection="t"/>
        </v:shape>
      </w:pict>
    </w:r>
    <w:r w:rsidR="00C81B1F">
      <w:rPr>
        <w:lang w:val="es"/>
      </w:rPr>
      <w:pict w14:anchorId="33E6B0BF">
        <v:shape id="_x0000_s1048" type="#_x0000_t75" style="position:absolute;left:0;text-align:left;margin-left:0;margin-top:0;width:50pt;height:50pt;z-index:251654144;visibility:hidden;mso-position-horizontal-relative:text;mso-position-vertical-relative:text">
          <v:path gradientshapeok="f"/>
          <o:lock v:ext="edit" selection="t"/>
        </v:shape>
      </w:pict>
    </w:r>
    <w:r w:rsidR="00C81B1F">
      <w:rPr>
        <w:lang w:val="es"/>
      </w:rPr>
      <w:pict w14:anchorId="7D63F352">
        <v:shape id="_x0000_s1047" type="#_x0000_t75" style="position:absolute;left:0;text-align:left;margin-left:0;margin-top:0;width:50pt;height:50pt;z-index:251655168;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FB69" w14:textId="54A5BEEF" w:rsidR="00313CA2" w:rsidRDefault="00C81B1F" w:rsidP="00DD1D87">
    <w:pPr>
      <w:pStyle w:val="Header"/>
      <w:spacing w:after="0"/>
    </w:pPr>
    <w:r>
      <w:rPr>
        <w:noProof/>
        <w:lang w:val="es"/>
      </w:rPr>
      <w:pict w14:anchorId="40300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50pt;height:50pt;z-index:251661312;visibility:hidden">
          <v:path gradientshapeok="f"/>
          <o:lock v:ext="edit" selection="t"/>
        </v:shape>
      </w:pict>
    </w:r>
    <w:r>
      <w:rPr>
        <w:lang w:val="es"/>
      </w:rPr>
      <w:pict w14:anchorId="0D4C09C7">
        <v:shape id="_x0000_s1046" type="#_x0000_t75" style="position:absolute;left:0;text-align:left;margin-left:0;margin-top:0;width:50pt;height:50pt;z-index:251656192;visibility:hidden">
          <v:path gradientshapeok="f"/>
          <o:lock v:ext="edit" selection="t"/>
        </v:shape>
      </w:pict>
    </w:r>
    <w:r>
      <w:rPr>
        <w:lang w:val="es"/>
      </w:rPr>
      <w:pict w14:anchorId="12B2E4C0">
        <v:shape id="_x0000_s1045" type="#_x0000_t75" style="position:absolute;left:0;text-align:left;margin-left:0;margin-top:0;width:50pt;height:50pt;z-index:251657216;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F3E9"/>
    <w:multiLevelType w:val="hybridMultilevel"/>
    <w:tmpl w:val="FFFFFFFF"/>
    <w:lvl w:ilvl="0" w:tplc="90EC3814">
      <w:start w:val="1"/>
      <w:numFmt w:val="bullet"/>
      <w:lvlText w:val=""/>
      <w:lvlJc w:val="left"/>
      <w:pPr>
        <w:ind w:left="720" w:hanging="360"/>
      </w:pPr>
      <w:rPr>
        <w:rFonts w:ascii="Symbol" w:hAnsi="Symbol" w:hint="default"/>
      </w:rPr>
    </w:lvl>
    <w:lvl w:ilvl="1" w:tplc="A4946F66">
      <w:start w:val="1"/>
      <w:numFmt w:val="bullet"/>
      <w:lvlText w:val="o"/>
      <w:lvlJc w:val="left"/>
      <w:pPr>
        <w:ind w:left="1440" w:hanging="360"/>
      </w:pPr>
      <w:rPr>
        <w:rFonts w:ascii="Courier New" w:hAnsi="Courier New" w:hint="default"/>
      </w:rPr>
    </w:lvl>
    <w:lvl w:ilvl="2" w:tplc="1E3EA3D4">
      <w:start w:val="1"/>
      <w:numFmt w:val="bullet"/>
      <w:lvlText w:val=""/>
      <w:lvlJc w:val="left"/>
      <w:pPr>
        <w:ind w:left="2160" w:hanging="360"/>
      </w:pPr>
      <w:rPr>
        <w:rFonts w:ascii="Wingdings" w:hAnsi="Wingdings" w:hint="default"/>
      </w:rPr>
    </w:lvl>
    <w:lvl w:ilvl="3" w:tplc="A68A78EE">
      <w:start w:val="1"/>
      <w:numFmt w:val="bullet"/>
      <w:lvlText w:val=""/>
      <w:lvlJc w:val="left"/>
      <w:pPr>
        <w:ind w:left="2880" w:hanging="360"/>
      </w:pPr>
      <w:rPr>
        <w:rFonts w:ascii="Symbol" w:hAnsi="Symbol" w:hint="default"/>
      </w:rPr>
    </w:lvl>
    <w:lvl w:ilvl="4" w:tplc="B15A470A">
      <w:start w:val="1"/>
      <w:numFmt w:val="bullet"/>
      <w:lvlText w:val="o"/>
      <w:lvlJc w:val="left"/>
      <w:pPr>
        <w:ind w:left="3600" w:hanging="360"/>
      </w:pPr>
      <w:rPr>
        <w:rFonts w:ascii="Courier New" w:hAnsi="Courier New" w:hint="default"/>
      </w:rPr>
    </w:lvl>
    <w:lvl w:ilvl="5" w:tplc="CD76CA2C">
      <w:start w:val="1"/>
      <w:numFmt w:val="bullet"/>
      <w:lvlText w:val=""/>
      <w:lvlJc w:val="left"/>
      <w:pPr>
        <w:ind w:left="4320" w:hanging="360"/>
      </w:pPr>
      <w:rPr>
        <w:rFonts w:ascii="Wingdings" w:hAnsi="Wingdings" w:hint="default"/>
      </w:rPr>
    </w:lvl>
    <w:lvl w:ilvl="6" w:tplc="8A822CFA">
      <w:start w:val="1"/>
      <w:numFmt w:val="bullet"/>
      <w:lvlText w:val=""/>
      <w:lvlJc w:val="left"/>
      <w:pPr>
        <w:ind w:left="5040" w:hanging="360"/>
      </w:pPr>
      <w:rPr>
        <w:rFonts w:ascii="Symbol" w:hAnsi="Symbol" w:hint="default"/>
      </w:rPr>
    </w:lvl>
    <w:lvl w:ilvl="7" w:tplc="DCCE4F86">
      <w:start w:val="1"/>
      <w:numFmt w:val="bullet"/>
      <w:lvlText w:val="o"/>
      <w:lvlJc w:val="left"/>
      <w:pPr>
        <w:ind w:left="5760" w:hanging="360"/>
      </w:pPr>
      <w:rPr>
        <w:rFonts w:ascii="Courier New" w:hAnsi="Courier New" w:hint="default"/>
      </w:rPr>
    </w:lvl>
    <w:lvl w:ilvl="8" w:tplc="4B440284">
      <w:start w:val="1"/>
      <w:numFmt w:val="bullet"/>
      <w:lvlText w:val=""/>
      <w:lvlJc w:val="left"/>
      <w:pPr>
        <w:ind w:left="6480" w:hanging="360"/>
      </w:pPr>
      <w:rPr>
        <w:rFonts w:ascii="Wingdings" w:hAnsi="Wingdings" w:hint="default"/>
      </w:rPr>
    </w:lvl>
  </w:abstractNum>
  <w:abstractNum w:abstractNumId="1" w15:restartNumberingAfterBreak="0">
    <w:nsid w:val="2887AF5C"/>
    <w:multiLevelType w:val="hybridMultilevel"/>
    <w:tmpl w:val="FFFFFFFF"/>
    <w:lvl w:ilvl="0" w:tplc="E2F0AF3C">
      <w:start w:val="1"/>
      <w:numFmt w:val="bullet"/>
      <w:lvlText w:val=""/>
      <w:lvlJc w:val="left"/>
      <w:pPr>
        <w:ind w:left="720" w:hanging="360"/>
      </w:pPr>
      <w:rPr>
        <w:rFonts w:ascii="Symbol" w:hAnsi="Symbol" w:hint="default"/>
      </w:rPr>
    </w:lvl>
    <w:lvl w:ilvl="1" w:tplc="4296EADA">
      <w:start w:val="1"/>
      <w:numFmt w:val="bullet"/>
      <w:lvlText w:val="o"/>
      <w:lvlJc w:val="left"/>
      <w:pPr>
        <w:ind w:left="1440" w:hanging="360"/>
      </w:pPr>
      <w:rPr>
        <w:rFonts w:ascii="Courier New" w:hAnsi="Courier New" w:hint="default"/>
      </w:rPr>
    </w:lvl>
    <w:lvl w:ilvl="2" w:tplc="66703154">
      <w:start w:val="1"/>
      <w:numFmt w:val="bullet"/>
      <w:lvlText w:val=""/>
      <w:lvlJc w:val="left"/>
      <w:pPr>
        <w:ind w:left="2160" w:hanging="360"/>
      </w:pPr>
      <w:rPr>
        <w:rFonts w:ascii="Wingdings" w:hAnsi="Wingdings" w:hint="default"/>
      </w:rPr>
    </w:lvl>
    <w:lvl w:ilvl="3" w:tplc="BEBA6C10">
      <w:start w:val="1"/>
      <w:numFmt w:val="bullet"/>
      <w:lvlText w:val=""/>
      <w:lvlJc w:val="left"/>
      <w:pPr>
        <w:ind w:left="2880" w:hanging="360"/>
      </w:pPr>
      <w:rPr>
        <w:rFonts w:ascii="Symbol" w:hAnsi="Symbol" w:hint="default"/>
      </w:rPr>
    </w:lvl>
    <w:lvl w:ilvl="4" w:tplc="0DBE8796">
      <w:start w:val="1"/>
      <w:numFmt w:val="bullet"/>
      <w:lvlText w:val="o"/>
      <w:lvlJc w:val="left"/>
      <w:pPr>
        <w:ind w:left="3600" w:hanging="360"/>
      </w:pPr>
      <w:rPr>
        <w:rFonts w:ascii="Courier New" w:hAnsi="Courier New" w:hint="default"/>
      </w:rPr>
    </w:lvl>
    <w:lvl w:ilvl="5" w:tplc="025AA192">
      <w:start w:val="1"/>
      <w:numFmt w:val="bullet"/>
      <w:lvlText w:val=""/>
      <w:lvlJc w:val="left"/>
      <w:pPr>
        <w:ind w:left="4320" w:hanging="360"/>
      </w:pPr>
      <w:rPr>
        <w:rFonts w:ascii="Wingdings" w:hAnsi="Wingdings" w:hint="default"/>
      </w:rPr>
    </w:lvl>
    <w:lvl w:ilvl="6" w:tplc="DDDC056A">
      <w:start w:val="1"/>
      <w:numFmt w:val="bullet"/>
      <w:lvlText w:val=""/>
      <w:lvlJc w:val="left"/>
      <w:pPr>
        <w:ind w:left="5040" w:hanging="360"/>
      </w:pPr>
      <w:rPr>
        <w:rFonts w:ascii="Symbol" w:hAnsi="Symbol" w:hint="default"/>
      </w:rPr>
    </w:lvl>
    <w:lvl w:ilvl="7" w:tplc="16B2F2AE">
      <w:start w:val="1"/>
      <w:numFmt w:val="bullet"/>
      <w:lvlText w:val="o"/>
      <w:lvlJc w:val="left"/>
      <w:pPr>
        <w:ind w:left="5760" w:hanging="360"/>
      </w:pPr>
      <w:rPr>
        <w:rFonts w:ascii="Courier New" w:hAnsi="Courier New" w:hint="default"/>
      </w:rPr>
    </w:lvl>
    <w:lvl w:ilvl="8" w:tplc="7F520F1A">
      <w:start w:val="1"/>
      <w:numFmt w:val="bullet"/>
      <w:lvlText w:val=""/>
      <w:lvlJc w:val="left"/>
      <w:pPr>
        <w:ind w:left="6480" w:hanging="360"/>
      </w:pPr>
      <w:rPr>
        <w:rFonts w:ascii="Wingdings" w:hAnsi="Wingdings" w:hint="default"/>
      </w:rPr>
    </w:lvl>
  </w:abstractNum>
  <w:abstractNum w:abstractNumId="2" w15:restartNumberingAfterBreak="0">
    <w:nsid w:val="2A175D2C"/>
    <w:multiLevelType w:val="hybridMultilevel"/>
    <w:tmpl w:val="FFFFFFFF"/>
    <w:lvl w:ilvl="0" w:tplc="AA04F4DA">
      <w:start w:val="1"/>
      <w:numFmt w:val="bullet"/>
      <w:lvlText w:val=""/>
      <w:lvlJc w:val="left"/>
      <w:pPr>
        <w:ind w:left="720" w:hanging="360"/>
      </w:pPr>
      <w:rPr>
        <w:rFonts w:ascii="Symbol" w:hAnsi="Symbol" w:hint="default"/>
      </w:rPr>
    </w:lvl>
    <w:lvl w:ilvl="1" w:tplc="E174D2FE">
      <w:start w:val="1"/>
      <w:numFmt w:val="bullet"/>
      <w:lvlText w:val="o"/>
      <w:lvlJc w:val="left"/>
      <w:pPr>
        <w:ind w:left="1440" w:hanging="360"/>
      </w:pPr>
      <w:rPr>
        <w:rFonts w:ascii="Courier New" w:hAnsi="Courier New" w:hint="default"/>
      </w:rPr>
    </w:lvl>
    <w:lvl w:ilvl="2" w:tplc="E25EBE52">
      <w:start w:val="1"/>
      <w:numFmt w:val="bullet"/>
      <w:lvlText w:val=""/>
      <w:lvlJc w:val="left"/>
      <w:pPr>
        <w:ind w:left="2160" w:hanging="360"/>
      </w:pPr>
      <w:rPr>
        <w:rFonts w:ascii="Wingdings" w:hAnsi="Wingdings" w:hint="default"/>
      </w:rPr>
    </w:lvl>
    <w:lvl w:ilvl="3" w:tplc="C41611B2">
      <w:start w:val="1"/>
      <w:numFmt w:val="bullet"/>
      <w:lvlText w:val=""/>
      <w:lvlJc w:val="left"/>
      <w:pPr>
        <w:ind w:left="2880" w:hanging="360"/>
      </w:pPr>
      <w:rPr>
        <w:rFonts w:ascii="Symbol" w:hAnsi="Symbol" w:hint="default"/>
      </w:rPr>
    </w:lvl>
    <w:lvl w:ilvl="4" w:tplc="551433CA">
      <w:start w:val="1"/>
      <w:numFmt w:val="bullet"/>
      <w:lvlText w:val="o"/>
      <w:lvlJc w:val="left"/>
      <w:pPr>
        <w:ind w:left="3600" w:hanging="360"/>
      </w:pPr>
      <w:rPr>
        <w:rFonts w:ascii="Courier New" w:hAnsi="Courier New" w:hint="default"/>
      </w:rPr>
    </w:lvl>
    <w:lvl w:ilvl="5" w:tplc="35EC0D04">
      <w:start w:val="1"/>
      <w:numFmt w:val="bullet"/>
      <w:lvlText w:val=""/>
      <w:lvlJc w:val="left"/>
      <w:pPr>
        <w:ind w:left="4320" w:hanging="360"/>
      </w:pPr>
      <w:rPr>
        <w:rFonts w:ascii="Wingdings" w:hAnsi="Wingdings" w:hint="default"/>
      </w:rPr>
    </w:lvl>
    <w:lvl w:ilvl="6" w:tplc="CD46A42C">
      <w:start w:val="1"/>
      <w:numFmt w:val="bullet"/>
      <w:lvlText w:val=""/>
      <w:lvlJc w:val="left"/>
      <w:pPr>
        <w:ind w:left="5040" w:hanging="360"/>
      </w:pPr>
      <w:rPr>
        <w:rFonts w:ascii="Symbol" w:hAnsi="Symbol" w:hint="default"/>
      </w:rPr>
    </w:lvl>
    <w:lvl w:ilvl="7" w:tplc="C71632A0">
      <w:start w:val="1"/>
      <w:numFmt w:val="bullet"/>
      <w:lvlText w:val="o"/>
      <w:lvlJc w:val="left"/>
      <w:pPr>
        <w:ind w:left="5760" w:hanging="360"/>
      </w:pPr>
      <w:rPr>
        <w:rFonts w:ascii="Courier New" w:hAnsi="Courier New" w:hint="default"/>
      </w:rPr>
    </w:lvl>
    <w:lvl w:ilvl="8" w:tplc="8CF640E4">
      <w:start w:val="1"/>
      <w:numFmt w:val="bullet"/>
      <w:lvlText w:val=""/>
      <w:lvlJc w:val="left"/>
      <w:pPr>
        <w:ind w:left="6480" w:hanging="360"/>
      </w:pPr>
      <w:rPr>
        <w:rFonts w:ascii="Wingdings" w:hAnsi="Wingdings" w:hint="default"/>
      </w:rPr>
    </w:lvl>
  </w:abstractNum>
  <w:abstractNum w:abstractNumId="3" w15:restartNumberingAfterBreak="0">
    <w:nsid w:val="4CB207BE"/>
    <w:multiLevelType w:val="hybridMultilevel"/>
    <w:tmpl w:val="FFFFFFFF"/>
    <w:lvl w:ilvl="0" w:tplc="9D4600D8">
      <w:start w:val="1"/>
      <w:numFmt w:val="bullet"/>
      <w:lvlText w:val=""/>
      <w:lvlJc w:val="left"/>
      <w:pPr>
        <w:ind w:left="720" w:hanging="360"/>
      </w:pPr>
      <w:rPr>
        <w:rFonts w:ascii="Symbol" w:hAnsi="Symbol" w:hint="default"/>
      </w:rPr>
    </w:lvl>
    <w:lvl w:ilvl="1" w:tplc="BFFA5F30">
      <w:start w:val="1"/>
      <w:numFmt w:val="bullet"/>
      <w:lvlText w:val="o"/>
      <w:lvlJc w:val="left"/>
      <w:pPr>
        <w:ind w:left="1440" w:hanging="360"/>
      </w:pPr>
      <w:rPr>
        <w:rFonts w:ascii="Courier New" w:hAnsi="Courier New" w:hint="default"/>
      </w:rPr>
    </w:lvl>
    <w:lvl w:ilvl="2" w:tplc="502AC4FC">
      <w:start w:val="1"/>
      <w:numFmt w:val="bullet"/>
      <w:lvlText w:val=""/>
      <w:lvlJc w:val="left"/>
      <w:pPr>
        <w:ind w:left="2160" w:hanging="360"/>
      </w:pPr>
      <w:rPr>
        <w:rFonts w:ascii="Wingdings" w:hAnsi="Wingdings" w:hint="default"/>
      </w:rPr>
    </w:lvl>
    <w:lvl w:ilvl="3" w:tplc="9D38F7E6">
      <w:start w:val="1"/>
      <w:numFmt w:val="bullet"/>
      <w:lvlText w:val=""/>
      <w:lvlJc w:val="left"/>
      <w:pPr>
        <w:ind w:left="2880" w:hanging="360"/>
      </w:pPr>
      <w:rPr>
        <w:rFonts w:ascii="Symbol" w:hAnsi="Symbol" w:hint="default"/>
      </w:rPr>
    </w:lvl>
    <w:lvl w:ilvl="4" w:tplc="CA60705E">
      <w:start w:val="1"/>
      <w:numFmt w:val="bullet"/>
      <w:lvlText w:val="o"/>
      <w:lvlJc w:val="left"/>
      <w:pPr>
        <w:ind w:left="3600" w:hanging="360"/>
      </w:pPr>
      <w:rPr>
        <w:rFonts w:ascii="Courier New" w:hAnsi="Courier New" w:hint="default"/>
      </w:rPr>
    </w:lvl>
    <w:lvl w:ilvl="5" w:tplc="2088705A">
      <w:start w:val="1"/>
      <w:numFmt w:val="bullet"/>
      <w:lvlText w:val=""/>
      <w:lvlJc w:val="left"/>
      <w:pPr>
        <w:ind w:left="4320" w:hanging="360"/>
      </w:pPr>
      <w:rPr>
        <w:rFonts w:ascii="Wingdings" w:hAnsi="Wingdings" w:hint="default"/>
      </w:rPr>
    </w:lvl>
    <w:lvl w:ilvl="6" w:tplc="BDD67504">
      <w:start w:val="1"/>
      <w:numFmt w:val="bullet"/>
      <w:lvlText w:val=""/>
      <w:lvlJc w:val="left"/>
      <w:pPr>
        <w:ind w:left="5040" w:hanging="360"/>
      </w:pPr>
      <w:rPr>
        <w:rFonts w:ascii="Symbol" w:hAnsi="Symbol" w:hint="default"/>
      </w:rPr>
    </w:lvl>
    <w:lvl w:ilvl="7" w:tplc="8968EC90">
      <w:start w:val="1"/>
      <w:numFmt w:val="bullet"/>
      <w:lvlText w:val="o"/>
      <w:lvlJc w:val="left"/>
      <w:pPr>
        <w:ind w:left="5760" w:hanging="360"/>
      </w:pPr>
      <w:rPr>
        <w:rFonts w:ascii="Courier New" w:hAnsi="Courier New" w:hint="default"/>
      </w:rPr>
    </w:lvl>
    <w:lvl w:ilvl="8" w:tplc="EE8C2A8C">
      <w:start w:val="1"/>
      <w:numFmt w:val="bullet"/>
      <w:lvlText w:val=""/>
      <w:lvlJc w:val="left"/>
      <w:pPr>
        <w:ind w:left="6480" w:hanging="360"/>
      </w:pPr>
      <w:rPr>
        <w:rFonts w:ascii="Wingdings" w:hAnsi="Wingdings" w:hint="default"/>
      </w:rPr>
    </w:lvl>
  </w:abstractNum>
  <w:abstractNum w:abstractNumId="4" w15:restartNumberingAfterBreak="0">
    <w:nsid w:val="59C1C3B1"/>
    <w:multiLevelType w:val="hybridMultilevel"/>
    <w:tmpl w:val="FFFFFFFF"/>
    <w:lvl w:ilvl="0" w:tplc="F68CEB38">
      <w:start w:val="1"/>
      <w:numFmt w:val="bullet"/>
      <w:lvlText w:val=""/>
      <w:lvlJc w:val="left"/>
      <w:pPr>
        <w:ind w:left="720" w:hanging="360"/>
      </w:pPr>
      <w:rPr>
        <w:rFonts w:ascii="Symbol" w:hAnsi="Symbol" w:hint="default"/>
      </w:rPr>
    </w:lvl>
    <w:lvl w:ilvl="1" w:tplc="5620660C">
      <w:start w:val="1"/>
      <w:numFmt w:val="bullet"/>
      <w:lvlText w:val="o"/>
      <w:lvlJc w:val="left"/>
      <w:pPr>
        <w:ind w:left="1440" w:hanging="360"/>
      </w:pPr>
      <w:rPr>
        <w:rFonts w:ascii="Courier New" w:hAnsi="Courier New" w:hint="default"/>
      </w:rPr>
    </w:lvl>
    <w:lvl w:ilvl="2" w:tplc="5E9AC446">
      <w:start w:val="1"/>
      <w:numFmt w:val="bullet"/>
      <w:lvlText w:val=""/>
      <w:lvlJc w:val="left"/>
      <w:pPr>
        <w:ind w:left="2160" w:hanging="360"/>
      </w:pPr>
      <w:rPr>
        <w:rFonts w:ascii="Wingdings" w:hAnsi="Wingdings" w:hint="default"/>
      </w:rPr>
    </w:lvl>
    <w:lvl w:ilvl="3" w:tplc="42AAD870">
      <w:start w:val="1"/>
      <w:numFmt w:val="bullet"/>
      <w:lvlText w:val=""/>
      <w:lvlJc w:val="left"/>
      <w:pPr>
        <w:ind w:left="2880" w:hanging="360"/>
      </w:pPr>
      <w:rPr>
        <w:rFonts w:ascii="Symbol" w:hAnsi="Symbol" w:hint="default"/>
      </w:rPr>
    </w:lvl>
    <w:lvl w:ilvl="4" w:tplc="E66097A2">
      <w:start w:val="1"/>
      <w:numFmt w:val="bullet"/>
      <w:lvlText w:val="o"/>
      <w:lvlJc w:val="left"/>
      <w:pPr>
        <w:ind w:left="3600" w:hanging="360"/>
      </w:pPr>
      <w:rPr>
        <w:rFonts w:ascii="Courier New" w:hAnsi="Courier New" w:hint="default"/>
      </w:rPr>
    </w:lvl>
    <w:lvl w:ilvl="5" w:tplc="A9746ABC">
      <w:start w:val="1"/>
      <w:numFmt w:val="bullet"/>
      <w:lvlText w:val=""/>
      <w:lvlJc w:val="left"/>
      <w:pPr>
        <w:ind w:left="4320" w:hanging="360"/>
      </w:pPr>
      <w:rPr>
        <w:rFonts w:ascii="Wingdings" w:hAnsi="Wingdings" w:hint="default"/>
      </w:rPr>
    </w:lvl>
    <w:lvl w:ilvl="6" w:tplc="0FDE0F2C">
      <w:start w:val="1"/>
      <w:numFmt w:val="bullet"/>
      <w:lvlText w:val=""/>
      <w:lvlJc w:val="left"/>
      <w:pPr>
        <w:ind w:left="5040" w:hanging="360"/>
      </w:pPr>
      <w:rPr>
        <w:rFonts w:ascii="Symbol" w:hAnsi="Symbol" w:hint="default"/>
      </w:rPr>
    </w:lvl>
    <w:lvl w:ilvl="7" w:tplc="4E5C9920">
      <w:start w:val="1"/>
      <w:numFmt w:val="bullet"/>
      <w:lvlText w:val="o"/>
      <w:lvlJc w:val="left"/>
      <w:pPr>
        <w:ind w:left="5760" w:hanging="360"/>
      </w:pPr>
      <w:rPr>
        <w:rFonts w:ascii="Courier New" w:hAnsi="Courier New" w:hint="default"/>
      </w:rPr>
    </w:lvl>
    <w:lvl w:ilvl="8" w:tplc="ED1ABB5A">
      <w:start w:val="1"/>
      <w:numFmt w:val="bullet"/>
      <w:lvlText w:val=""/>
      <w:lvlJc w:val="left"/>
      <w:pPr>
        <w:ind w:left="6480" w:hanging="360"/>
      </w:pPr>
      <w:rPr>
        <w:rFonts w:ascii="Wingdings" w:hAnsi="Wingdings" w:hint="default"/>
      </w:rPr>
    </w:lvl>
  </w:abstractNum>
  <w:abstractNum w:abstractNumId="5" w15:restartNumberingAfterBreak="0">
    <w:nsid w:val="69F7F8E9"/>
    <w:multiLevelType w:val="hybridMultilevel"/>
    <w:tmpl w:val="FFFFFFFF"/>
    <w:lvl w:ilvl="0" w:tplc="D94CDCC4">
      <w:start w:val="1"/>
      <w:numFmt w:val="bullet"/>
      <w:lvlText w:val=""/>
      <w:lvlJc w:val="left"/>
      <w:pPr>
        <w:ind w:left="720" w:hanging="360"/>
      </w:pPr>
      <w:rPr>
        <w:rFonts w:ascii="Symbol" w:hAnsi="Symbol" w:hint="default"/>
      </w:rPr>
    </w:lvl>
    <w:lvl w:ilvl="1" w:tplc="C6DC6516">
      <w:start w:val="1"/>
      <w:numFmt w:val="bullet"/>
      <w:lvlText w:val="o"/>
      <w:lvlJc w:val="left"/>
      <w:pPr>
        <w:ind w:left="1440" w:hanging="360"/>
      </w:pPr>
      <w:rPr>
        <w:rFonts w:ascii="Courier New" w:hAnsi="Courier New" w:hint="default"/>
      </w:rPr>
    </w:lvl>
    <w:lvl w:ilvl="2" w:tplc="7AB00DF2">
      <w:start w:val="1"/>
      <w:numFmt w:val="bullet"/>
      <w:lvlText w:val=""/>
      <w:lvlJc w:val="left"/>
      <w:pPr>
        <w:ind w:left="2160" w:hanging="360"/>
      </w:pPr>
      <w:rPr>
        <w:rFonts w:ascii="Wingdings" w:hAnsi="Wingdings" w:hint="default"/>
      </w:rPr>
    </w:lvl>
    <w:lvl w:ilvl="3" w:tplc="4EF0DFC2">
      <w:start w:val="1"/>
      <w:numFmt w:val="bullet"/>
      <w:lvlText w:val=""/>
      <w:lvlJc w:val="left"/>
      <w:pPr>
        <w:ind w:left="2880" w:hanging="360"/>
      </w:pPr>
      <w:rPr>
        <w:rFonts w:ascii="Symbol" w:hAnsi="Symbol" w:hint="default"/>
      </w:rPr>
    </w:lvl>
    <w:lvl w:ilvl="4" w:tplc="A7AAB3E6">
      <w:start w:val="1"/>
      <w:numFmt w:val="bullet"/>
      <w:lvlText w:val="o"/>
      <w:lvlJc w:val="left"/>
      <w:pPr>
        <w:ind w:left="3600" w:hanging="360"/>
      </w:pPr>
      <w:rPr>
        <w:rFonts w:ascii="Courier New" w:hAnsi="Courier New" w:hint="default"/>
      </w:rPr>
    </w:lvl>
    <w:lvl w:ilvl="5" w:tplc="22407270">
      <w:start w:val="1"/>
      <w:numFmt w:val="bullet"/>
      <w:lvlText w:val=""/>
      <w:lvlJc w:val="left"/>
      <w:pPr>
        <w:ind w:left="4320" w:hanging="360"/>
      </w:pPr>
      <w:rPr>
        <w:rFonts w:ascii="Wingdings" w:hAnsi="Wingdings" w:hint="default"/>
      </w:rPr>
    </w:lvl>
    <w:lvl w:ilvl="6" w:tplc="CB786B96">
      <w:start w:val="1"/>
      <w:numFmt w:val="bullet"/>
      <w:lvlText w:val=""/>
      <w:lvlJc w:val="left"/>
      <w:pPr>
        <w:ind w:left="5040" w:hanging="360"/>
      </w:pPr>
      <w:rPr>
        <w:rFonts w:ascii="Symbol" w:hAnsi="Symbol" w:hint="default"/>
      </w:rPr>
    </w:lvl>
    <w:lvl w:ilvl="7" w:tplc="E9D893CE">
      <w:start w:val="1"/>
      <w:numFmt w:val="bullet"/>
      <w:lvlText w:val="o"/>
      <w:lvlJc w:val="left"/>
      <w:pPr>
        <w:ind w:left="5760" w:hanging="360"/>
      </w:pPr>
      <w:rPr>
        <w:rFonts w:ascii="Courier New" w:hAnsi="Courier New" w:hint="default"/>
      </w:rPr>
    </w:lvl>
    <w:lvl w:ilvl="8" w:tplc="C96CAD64">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99"/>
    <w:rsid w:val="00005301"/>
    <w:rsid w:val="000133EE"/>
    <w:rsid w:val="000206A8"/>
    <w:rsid w:val="00027205"/>
    <w:rsid w:val="0003137A"/>
    <w:rsid w:val="0004076F"/>
    <w:rsid w:val="00041171"/>
    <w:rsid w:val="00041727"/>
    <w:rsid w:val="0004226F"/>
    <w:rsid w:val="00050F8E"/>
    <w:rsid w:val="000518BB"/>
    <w:rsid w:val="00056FD4"/>
    <w:rsid w:val="000573AD"/>
    <w:rsid w:val="0006123B"/>
    <w:rsid w:val="00064F6B"/>
    <w:rsid w:val="00072F17"/>
    <w:rsid w:val="000731AA"/>
    <w:rsid w:val="000806D8"/>
    <w:rsid w:val="00082978"/>
    <w:rsid w:val="00082C80"/>
    <w:rsid w:val="00083847"/>
    <w:rsid w:val="00083C36"/>
    <w:rsid w:val="00084D58"/>
    <w:rsid w:val="00092CAE"/>
    <w:rsid w:val="00095E48"/>
    <w:rsid w:val="000A4F1C"/>
    <w:rsid w:val="000A69BF"/>
    <w:rsid w:val="000C0356"/>
    <w:rsid w:val="000C225A"/>
    <w:rsid w:val="000C6781"/>
    <w:rsid w:val="000D0753"/>
    <w:rsid w:val="000F5E49"/>
    <w:rsid w:val="000F7A87"/>
    <w:rsid w:val="00102EAE"/>
    <w:rsid w:val="001047DC"/>
    <w:rsid w:val="00105D2E"/>
    <w:rsid w:val="00111BFD"/>
    <w:rsid w:val="0011498B"/>
    <w:rsid w:val="00120147"/>
    <w:rsid w:val="00123140"/>
    <w:rsid w:val="00123D94"/>
    <w:rsid w:val="00130BBC"/>
    <w:rsid w:val="00133D13"/>
    <w:rsid w:val="00150DBD"/>
    <w:rsid w:val="00156F9B"/>
    <w:rsid w:val="00163BA3"/>
    <w:rsid w:val="00166B31"/>
    <w:rsid w:val="00167D54"/>
    <w:rsid w:val="00167F7F"/>
    <w:rsid w:val="00176AB5"/>
    <w:rsid w:val="00180771"/>
    <w:rsid w:val="00190854"/>
    <w:rsid w:val="00192507"/>
    <w:rsid w:val="001930A3"/>
    <w:rsid w:val="00196EB8"/>
    <w:rsid w:val="001A25F0"/>
    <w:rsid w:val="001A341E"/>
    <w:rsid w:val="001A68C7"/>
    <w:rsid w:val="001B0EA6"/>
    <w:rsid w:val="001B1CDF"/>
    <w:rsid w:val="001B2EC4"/>
    <w:rsid w:val="001B56F4"/>
    <w:rsid w:val="001C5462"/>
    <w:rsid w:val="001D265C"/>
    <w:rsid w:val="001D3062"/>
    <w:rsid w:val="001D3CFB"/>
    <w:rsid w:val="001D559B"/>
    <w:rsid w:val="001D6302"/>
    <w:rsid w:val="001E0DA0"/>
    <w:rsid w:val="001E2C22"/>
    <w:rsid w:val="001E740C"/>
    <w:rsid w:val="001E7DD0"/>
    <w:rsid w:val="001F0D2E"/>
    <w:rsid w:val="001F1BDA"/>
    <w:rsid w:val="0020095E"/>
    <w:rsid w:val="00210BFE"/>
    <w:rsid w:val="00210D30"/>
    <w:rsid w:val="0021548A"/>
    <w:rsid w:val="002204FD"/>
    <w:rsid w:val="00221020"/>
    <w:rsid w:val="00226109"/>
    <w:rsid w:val="00226DF1"/>
    <w:rsid w:val="00227029"/>
    <w:rsid w:val="002308B5"/>
    <w:rsid w:val="00233C0B"/>
    <w:rsid w:val="00234A34"/>
    <w:rsid w:val="0025255D"/>
    <w:rsid w:val="00254334"/>
    <w:rsid w:val="00255EE3"/>
    <w:rsid w:val="00256B3D"/>
    <w:rsid w:val="0026743C"/>
    <w:rsid w:val="00270480"/>
    <w:rsid w:val="002779AF"/>
    <w:rsid w:val="002823D8"/>
    <w:rsid w:val="0028531A"/>
    <w:rsid w:val="00285446"/>
    <w:rsid w:val="00290082"/>
    <w:rsid w:val="00295593"/>
    <w:rsid w:val="002A354F"/>
    <w:rsid w:val="002A386C"/>
    <w:rsid w:val="002B09DF"/>
    <w:rsid w:val="002B524E"/>
    <w:rsid w:val="002B540D"/>
    <w:rsid w:val="002B7A7E"/>
    <w:rsid w:val="002C11BB"/>
    <w:rsid w:val="002C30BC"/>
    <w:rsid w:val="002C3BAB"/>
    <w:rsid w:val="002C5965"/>
    <w:rsid w:val="002C5E15"/>
    <w:rsid w:val="002C7A88"/>
    <w:rsid w:val="002C7AB9"/>
    <w:rsid w:val="002D232B"/>
    <w:rsid w:val="002D2759"/>
    <w:rsid w:val="002D5E00"/>
    <w:rsid w:val="002D6DAC"/>
    <w:rsid w:val="002E261D"/>
    <w:rsid w:val="002E3FAD"/>
    <w:rsid w:val="002E4E16"/>
    <w:rsid w:val="002E515D"/>
    <w:rsid w:val="002F6DAC"/>
    <w:rsid w:val="00301E8C"/>
    <w:rsid w:val="0030239B"/>
    <w:rsid w:val="00307DDD"/>
    <w:rsid w:val="00313CA2"/>
    <w:rsid w:val="003143C9"/>
    <w:rsid w:val="003146E9"/>
    <w:rsid w:val="00314D5D"/>
    <w:rsid w:val="00320009"/>
    <w:rsid w:val="00320345"/>
    <w:rsid w:val="0032424A"/>
    <w:rsid w:val="003245D3"/>
    <w:rsid w:val="00330AA3"/>
    <w:rsid w:val="00331584"/>
    <w:rsid w:val="00331964"/>
    <w:rsid w:val="00334987"/>
    <w:rsid w:val="00335B3C"/>
    <w:rsid w:val="003400EF"/>
    <w:rsid w:val="00340C69"/>
    <w:rsid w:val="00342E34"/>
    <w:rsid w:val="00344FF1"/>
    <w:rsid w:val="00347498"/>
    <w:rsid w:val="00371CF1"/>
    <w:rsid w:val="0037222D"/>
    <w:rsid w:val="00373128"/>
    <w:rsid w:val="003750C1"/>
    <w:rsid w:val="0038051E"/>
    <w:rsid w:val="00380AF7"/>
    <w:rsid w:val="00394A05"/>
    <w:rsid w:val="00397770"/>
    <w:rsid w:val="00397880"/>
    <w:rsid w:val="003A7016"/>
    <w:rsid w:val="003B0C08"/>
    <w:rsid w:val="003C17A5"/>
    <w:rsid w:val="003C1843"/>
    <w:rsid w:val="003D1552"/>
    <w:rsid w:val="003E381F"/>
    <w:rsid w:val="003E4046"/>
    <w:rsid w:val="003F003A"/>
    <w:rsid w:val="003F125B"/>
    <w:rsid w:val="003F7199"/>
    <w:rsid w:val="003F7303"/>
    <w:rsid w:val="003F7B3F"/>
    <w:rsid w:val="00404BB3"/>
    <w:rsid w:val="004058AD"/>
    <w:rsid w:val="0041078D"/>
    <w:rsid w:val="00416F97"/>
    <w:rsid w:val="004217D0"/>
    <w:rsid w:val="00425173"/>
    <w:rsid w:val="0043039B"/>
    <w:rsid w:val="0043395E"/>
    <w:rsid w:val="00436197"/>
    <w:rsid w:val="0043657E"/>
    <w:rsid w:val="004423FE"/>
    <w:rsid w:val="00445C35"/>
    <w:rsid w:val="00451517"/>
    <w:rsid w:val="00454B41"/>
    <w:rsid w:val="0045663A"/>
    <w:rsid w:val="0046344E"/>
    <w:rsid w:val="004667E7"/>
    <w:rsid w:val="004672CF"/>
    <w:rsid w:val="00470DEF"/>
    <w:rsid w:val="00475797"/>
    <w:rsid w:val="00476D0A"/>
    <w:rsid w:val="00491024"/>
    <w:rsid w:val="0049253B"/>
    <w:rsid w:val="004A140B"/>
    <w:rsid w:val="004A4B47"/>
    <w:rsid w:val="004B0EC9"/>
    <w:rsid w:val="004B308F"/>
    <w:rsid w:val="004B7BAA"/>
    <w:rsid w:val="004C2DF7"/>
    <w:rsid w:val="004C4E0B"/>
    <w:rsid w:val="004D497E"/>
    <w:rsid w:val="004E0272"/>
    <w:rsid w:val="004E4809"/>
    <w:rsid w:val="004E4CC3"/>
    <w:rsid w:val="004E5985"/>
    <w:rsid w:val="004E6352"/>
    <w:rsid w:val="004E6460"/>
    <w:rsid w:val="004F6B46"/>
    <w:rsid w:val="0050425E"/>
    <w:rsid w:val="00511999"/>
    <w:rsid w:val="005145D6"/>
    <w:rsid w:val="00521EA5"/>
    <w:rsid w:val="00524CA1"/>
    <w:rsid w:val="005254A6"/>
    <w:rsid w:val="00525B80"/>
    <w:rsid w:val="0053098F"/>
    <w:rsid w:val="00536B2E"/>
    <w:rsid w:val="00541E7B"/>
    <w:rsid w:val="005444E2"/>
    <w:rsid w:val="00546D8E"/>
    <w:rsid w:val="0055169A"/>
    <w:rsid w:val="00553738"/>
    <w:rsid w:val="00553F7E"/>
    <w:rsid w:val="00560704"/>
    <w:rsid w:val="0056646F"/>
    <w:rsid w:val="00571AE1"/>
    <w:rsid w:val="00581B28"/>
    <w:rsid w:val="005859C2"/>
    <w:rsid w:val="00592267"/>
    <w:rsid w:val="0059421F"/>
    <w:rsid w:val="005A136D"/>
    <w:rsid w:val="005B0AE2"/>
    <w:rsid w:val="005B1F2C"/>
    <w:rsid w:val="005B264C"/>
    <w:rsid w:val="005B5F3C"/>
    <w:rsid w:val="005C23E4"/>
    <w:rsid w:val="005C41F2"/>
    <w:rsid w:val="005D03D9"/>
    <w:rsid w:val="005D1EE8"/>
    <w:rsid w:val="005D56AE"/>
    <w:rsid w:val="005D666D"/>
    <w:rsid w:val="005D7893"/>
    <w:rsid w:val="005E3A59"/>
    <w:rsid w:val="00604802"/>
    <w:rsid w:val="00605438"/>
    <w:rsid w:val="00615AB0"/>
    <w:rsid w:val="00616247"/>
    <w:rsid w:val="0061778C"/>
    <w:rsid w:val="006229EE"/>
    <w:rsid w:val="00630382"/>
    <w:rsid w:val="00636B90"/>
    <w:rsid w:val="0064738B"/>
    <w:rsid w:val="006508EA"/>
    <w:rsid w:val="00653983"/>
    <w:rsid w:val="00657BE1"/>
    <w:rsid w:val="00667E86"/>
    <w:rsid w:val="00674EBF"/>
    <w:rsid w:val="0068392D"/>
    <w:rsid w:val="00692072"/>
    <w:rsid w:val="006978AD"/>
    <w:rsid w:val="00697DB5"/>
    <w:rsid w:val="006A1039"/>
    <w:rsid w:val="006A1B33"/>
    <w:rsid w:val="006A492A"/>
    <w:rsid w:val="006B5C72"/>
    <w:rsid w:val="006B7C5A"/>
    <w:rsid w:val="006C289D"/>
    <w:rsid w:val="006C2E88"/>
    <w:rsid w:val="006D0310"/>
    <w:rsid w:val="006D1FE0"/>
    <w:rsid w:val="006D2009"/>
    <w:rsid w:val="006D5576"/>
    <w:rsid w:val="006E766D"/>
    <w:rsid w:val="006F4B29"/>
    <w:rsid w:val="006F6CE9"/>
    <w:rsid w:val="0070358C"/>
    <w:rsid w:val="0070517C"/>
    <w:rsid w:val="00705C9F"/>
    <w:rsid w:val="00716951"/>
    <w:rsid w:val="00720F6B"/>
    <w:rsid w:val="007234DF"/>
    <w:rsid w:val="00730ADA"/>
    <w:rsid w:val="00732C37"/>
    <w:rsid w:val="00735D9E"/>
    <w:rsid w:val="00745A09"/>
    <w:rsid w:val="00751EAF"/>
    <w:rsid w:val="00754CF7"/>
    <w:rsid w:val="00757B0D"/>
    <w:rsid w:val="007605C9"/>
    <w:rsid w:val="00761320"/>
    <w:rsid w:val="007616AA"/>
    <w:rsid w:val="007637AE"/>
    <w:rsid w:val="007651B1"/>
    <w:rsid w:val="00767CE1"/>
    <w:rsid w:val="00771A68"/>
    <w:rsid w:val="007744D2"/>
    <w:rsid w:val="00786136"/>
    <w:rsid w:val="00792B72"/>
    <w:rsid w:val="007A30AB"/>
    <w:rsid w:val="007B05CF"/>
    <w:rsid w:val="007C212A"/>
    <w:rsid w:val="007C69EF"/>
    <w:rsid w:val="007D5B3C"/>
    <w:rsid w:val="007E6075"/>
    <w:rsid w:val="007E7D21"/>
    <w:rsid w:val="007E7DBD"/>
    <w:rsid w:val="007F482F"/>
    <w:rsid w:val="007F6907"/>
    <w:rsid w:val="007F7C94"/>
    <w:rsid w:val="0080398D"/>
    <w:rsid w:val="00805174"/>
    <w:rsid w:val="00806385"/>
    <w:rsid w:val="00807CC5"/>
    <w:rsid w:val="00807ED7"/>
    <w:rsid w:val="00810733"/>
    <w:rsid w:val="00814CC6"/>
    <w:rsid w:val="00826D53"/>
    <w:rsid w:val="008273AA"/>
    <w:rsid w:val="00831751"/>
    <w:rsid w:val="00831E53"/>
    <w:rsid w:val="00833369"/>
    <w:rsid w:val="00835B42"/>
    <w:rsid w:val="00842A4E"/>
    <w:rsid w:val="00847D99"/>
    <w:rsid w:val="0085038E"/>
    <w:rsid w:val="0085230A"/>
    <w:rsid w:val="00855757"/>
    <w:rsid w:val="00860B9A"/>
    <w:rsid w:val="0086271D"/>
    <w:rsid w:val="0086420B"/>
    <w:rsid w:val="00864DBF"/>
    <w:rsid w:val="00865AE2"/>
    <w:rsid w:val="008663C8"/>
    <w:rsid w:val="00872FFD"/>
    <w:rsid w:val="0087767C"/>
    <w:rsid w:val="0088163A"/>
    <w:rsid w:val="00893376"/>
    <w:rsid w:val="0089601F"/>
    <w:rsid w:val="008970B8"/>
    <w:rsid w:val="008A7313"/>
    <w:rsid w:val="008A7D91"/>
    <w:rsid w:val="008B7FC7"/>
    <w:rsid w:val="008C4337"/>
    <w:rsid w:val="008C4F06"/>
    <w:rsid w:val="008C5273"/>
    <w:rsid w:val="008D0C90"/>
    <w:rsid w:val="008E1E4A"/>
    <w:rsid w:val="008F0615"/>
    <w:rsid w:val="008F103E"/>
    <w:rsid w:val="008F1244"/>
    <w:rsid w:val="008F1FDB"/>
    <w:rsid w:val="008F36FB"/>
    <w:rsid w:val="008F46DC"/>
    <w:rsid w:val="00902EA9"/>
    <w:rsid w:val="00903EFF"/>
    <w:rsid w:val="0090427F"/>
    <w:rsid w:val="0091218E"/>
    <w:rsid w:val="00920506"/>
    <w:rsid w:val="00924965"/>
    <w:rsid w:val="00931DEB"/>
    <w:rsid w:val="00933957"/>
    <w:rsid w:val="009356FA"/>
    <w:rsid w:val="0094603B"/>
    <w:rsid w:val="009504A1"/>
    <w:rsid w:val="00950605"/>
    <w:rsid w:val="00952233"/>
    <w:rsid w:val="00954D66"/>
    <w:rsid w:val="009610D8"/>
    <w:rsid w:val="00963F8F"/>
    <w:rsid w:val="00964D80"/>
    <w:rsid w:val="00973C62"/>
    <w:rsid w:val="00974A67"/>
    <w:rsid w:val="00975D76"/>
    <w:rsid w:val="0098025D"/>
    <w:rsid w:val="00982E51"/>
    <w:rsid w:val="009874B9"/>
    <w:rsid w:val="00993581"/>
    <w:rsid w:val="00993A9B"/>
    <w:rsid w:val="009A288C"/>
    <w:rsid w:val="009A64C1"/>
    <w:rsid w:val="009A74BB"/>
    <w:rsid w:val="009B4D72"/>
    <w:rsid w:val="009B6697"/>
    <w:rsid w:val="009C2B43"/>
    <w:rsid w:val="009C2EA4"/>
    <w:rsid w:val="009C4C04"/>
    <w:rsid w:val="009D5213"/>
    <w:rsid w:val="009E1C95"/>
    <w:rsid w:val="009F196A"/>
    <w:rsid w:val="009F4B0D"/>
    <w:rsid w:val="009F669B"/>
    <w:rsid w:val="009F7566"/>
    <w:rsid w:val="009F7F18"/>
    <w:rsid w:val="00A02A72"/>
    <w:rsid w:val="00A06BFE"/>
    <w:rsid w:val="00A10F5D"/>
    <w:rsid w:val="00A1199A"/>
    <w:rsid w:val="00A1243C"/>
    <w:rsid w:val="00A135AE"/>
    <w:rsid w:val="00A14AF1"/>
    <w:rsid w:val="00A16891"/>
    <w:rsid w:val="00A268CE"/>
    <w:rsid w:val="00A31C1E"/>
    <w:rsid w:val="00A332E8"/>
    <w:rsid w:val="00A35AF5"/>
    <w:rsid w:val="00A35DDF"/>
    <w:rsid w:val="00A36CBA"/>
    <w:rsid w:val="00A432CD"/>
    <w:rsid w:val="00A45741"/>
    <w:rsid w:val="00A47EF6"/>
    <w:rsid w:val="00A50291"/>
    <w:rsid w:val="00A530E4"/>
    <w:rsid w:val="00A5587F"/>
    <w:rsid w:val="00A604CD"/>
    <w:rsid w:val="00A60FE6"/>
    <w:rsid w:val="00A622F5"/>
    <w:rsid w:val="00A654BE"/>
    <w:rsid w:val="00A66DD6"/>
    <w:rsid w:val="00A75018"/>
    <w:rsid w:val="00A771FD"/>
    <w:rsid w:val="00A80767"/>
    <w:rsid w:val="00A81C90"/>
    <w:rsid w:val="00A8638C"/>
    <w:rsid w:val="00A874EF"/>
    <w:rsid w:val="00A95415"/>
    <w:rsid w:val="00AA3C89"/>
    <w:rsid w:val="00AA6A0D"/>
    <w:rsid w:val="00AB0880"/>
    <w:rsid w:val="00AB135C"/>
    <w:rsid w:val="00AB32BD"/>
    <w:rsid w:val="00AB4723"/>
    <w:rsid w:val="00AC4CDB"/>
    <w:rsid w:val="00AC70FE"/>
    <w:rsid w:val="00AD3AA3"/>
    <w:rsid w:val="00AD4358"/>
    <w:rsid w:val="00AF61E1"/>
    <w:rsid w:val="00AF638A"/>
    <w:rsid w:val="00AF6780"/>
    <w:rsid w:val="00B00141"/>
    <w:rsid w:val="00B009AA"/>
    <w:rsid w:val="00B00ECE"/>
    <w:rsid w:val="00B030C8"/>
    <w:rsid w:val="00B039C0"/>
    <w:rsid w:val="00B03A09"/>
    <w:rsid w:val="00B056E7"/>
    <w:rsid w:val="00B05B71"/>
    <w:rsid w:val="00B079F8"/>
    <w:rsid w:val="00B10035"/>
    <w:rsid w:val="00B14ECB"/>
    <w:rsid w:val="00B15C76"/>
    <w:rsid w:val="00B165E6"/>
    <w:rsid w:val="00B235DB"/>
    <w:rsid w:val="00B23F28"/>
    <w:rsid w:val="00B25B94"/>
    <w:rsid w:val="00B424D9"/>
    <w:rsid w:val="00B447C0"/>
    <w:rsid w:val="00B52510"/>
    <w:rsid w:val="00B53E53"/>
    <w:rsid w:val="00B548A2"/>
    <w:rsid w:val="00B56934"/>
    <w:rsid w:val="00B62F03"/>
    <w:rsid w:val="00B72444"/>
    <w:rsid w:val="00B8725A"/>
    <w:rsid w:val="00B93B62"/>
    <w:rsid w:val="00B9400E"/>
    <w:rsid w:val="00B953D1"/>
    <w:rsid w:val="00B96D93"/>
    <w:rsid w:val="00BA30D0"/>
    <w:rsid w:val="00BA3F2F"/>
    <w:rsid w:val="00BB0D32"/>
    <w:rsid w:val="00BC76B5"/>
    <w:rsid w:val="00BD5420"/>
    <w:rsid w:val="00BF5191"/>
    <w:rsid w:val="00C04BD2"/>
    <w:rsid w:val="00C13EEC"/>
    <w:rsid w:val="00C14689"/>
    <w:rsid w:val="00C156A4"/>
    <w:rsid w:val="00C20FAA"/>
    <w:rsid w:val="00C23509"/>
    <w:rsid w:val="00C2459D"/>
    <w:rsid w:val="00C2755A"/>
    <w:rsid w:val="00C316F1"/>
    <w:rsid w:val="00C42C95"/>
    <w:rsid w:val="00C4470F"/>
    <w:rsid w:val="00C50727"/>
    <w:rsid w:val="00C55E5B"/>
    <w:rsid w:val="00C62739"/>
    <w:rsid w:val="00C720A4"/>
    <w:rsid w:val="00C74F59"/>
    <w:rsid w:val="00C7611C"/>
    <w:rsid w:val="00C81B1F"/>
    <w:rsid w:val="00C87426"/>
    <w:rsid w:val="00C94097"/>
    <w:rsid w:val="00CA4269"/>
    <w:rsid w:val="00CA48CA"/>
    <w:rsid w:val="00CA7330"/>
    <w:rsid w:val="00CB1C84"/>
    <w:rsid w:val="00CB5363"/>
    <w:rsid w:val="00CB64F0"/>
    <w:rsid w:val="00CC2909"/>
    <w:rsid w:val="00CC56B0"/>
    <w:rsid w:val="00CD0549"/>
    <w:rsid w:val="00CE4C4C"/>
    <w:rsid w:val="00CE6B3C"/>
    <w:rsid w:val="00D038D6"/>
    <w:rsid w:val="00D05E6F"/>
    <w:rsid w:val="00D20296"/>
    <w:rsid w:val="00D2231A"/>
    <w:rsid w:val="00D276BD"/>
    <w:rsid w:val="00D27929"/>
    <w:rsid w:val="00D33442"/>
    <w:rsid w:val="00D357EF"/>
    <w:rsid w:val="00D419C6"/>
    <w:rsid w:val="00D44BAD"/>
    <w:rsid w:val="00D45B55"/>
    <w:rsid w:val="00D4785A"/>
    <w:rsid w:val="00D52E43"/>
    <w:rsid w:val="00D664D7"/>
    <w:rsid w:val="00D67E1E"/>
    <w:rsid w:val="00D7097B"/>
    <w:rsid w:val="00D7197D"/>
    <w:rsid w:val="00D72300"/>
    <w:rsid w:val="00D72BC4"/>
    <w:rsid w:val="00D815FC"/>
    <w:rsid w:val="00D8517B"/>
    <w:rsid w:val="00D91DFA"/>
    <w:rsid w:val="00DA159A"/>
    <w:rsid w:val="00DB1AB2"/>
    <w:rsid w:val="00DC17C2"/>
    <w:rsid w:val="00DC4FDF"/>
    <w:rsid w:val="00DC601C"/>
    <w:rsid w:val="00DC66F0"/>
    <w:rsid w:val="00DD1D87"/>
    <w:rsid w:val="00DD3105"/>
    <w:rsid w:val="00DD3A65"/>
    <w:rsid w:val="00DD62C6"/>
    <w:rsid w:val="00DE3B92"/>
    <w:rsid w:val="00DE48B4"/>
    <w:rsid w:val="00DE5ACA"/>
    <w:rsid w:val="00DE7137"/>
    <w:rsid w:val="00DF18E4"/>
    <w:rsid w:val="00DF3676"/>
    <w:rsid w:val="00E00498"/>
    <w:rsid w:val="00E1464C"/>
    <w:rsid w:val="00E14ADB"/>
    <w:rsid w:val="00E22A28"/>
    <w:rsid w:val="00E22F78"/>
    <w:rsid w:val="00E2425D"/>
    <w:rsid w:val="00E24F87"/>
    <w:rsid w:val="00E2617A"/>
    <w:rsid w:val="00E273FB"/>
    <w:rsid w:val="00E31CD4"/>
    <w:rsid w:val="00E538E6"/>
    <w:rsid w:val="00E56696"/>
    <w:rsid w:val="00E74332"/>
    <w:rsid w:val="00E768A9"/>
    <w:rsid w:val="00E802A2"/>
    <w:rsid w:val="00E8410F"/>
    <w:rsid w:val="00E85C0B"/>
    <w:rsid w:val="00E85EA4"/>
    <w:rsid w:val="00E905B5"/>
    <w:rsid w:val="00EA7089"/>
    <w:rsid w:val="00EB13D7"/>
    <w:rsid w:val="00EB1E83"/>
    <w:rsid w:val="00EB4B49"/>
    <w:rsid w:val="00ED22CB"/>
    <w:rsid w:val="00ED4BB1"/>
    <w:rsid w:val="00ED67AF"/>
    <w:rsid w:val="00ED769C"/>
    <w:rsid w:val="00EE11F0"/>
    <w:rsid w:val="00EE128C"/>
    <w:rsid w:val="00EE4C48"/>
    <w:rsid w:val="00EE5D2E"/>
    <w:rsid w:val="00EE7E6F"/>
    <w:rsid w:val="00EF66D9"/>
    <w:rsid w:val="00EF68E3"/>
    <w:rsid w:val="00EF6BA5"/>
    <w:rsid w:val="00EF780D"/>
    <w:rsid w:val="00EF7A98"/>
    <w:rsid w:val="00F0267E"/>
    <w:rsid w:val="00F06405"/>
    <w:rsid w:val="00F071B2"/>
    <w:rsid w:val="00F11B47"/>
    <w:rsid w:val="00F2412D"/>
    <w:rsid w:val="00F25D8D"/>
    <w:rsid w:val="00F3069C"/>
    <w:rsid w:val="00F3603E"/>
    <w:rsid w:val="00F44CCB"/>
    <w:rsid w:val="00F46C7B"/>
    <w:rsid w:val="00F474C9"/>
    <w:rsid w:val="00F5126B"/>
    <w:rsid w:val="00F54EA3"/>
    <w:rsid w:val="00F61675"/>
    <w:rsid w:val="00F6686B"/>
    <w:rsid w:val="00F67F74"/>
    <w:rsid w:val="00F712B3"/>
    <w:rsid w:val="00F71E9F"/>
    <w:rsid w:val="00F721FC"/>
    <w:rsid w:val="00F73DE3"/>
    <w:rsid w:val="00F744BF"/>
    <w:rsid w:val="00F7632C"/>
    <w:rsid w:val="00F77219"/>
    <w:rsid w:val="00F84DD2"/>
    <w:rsid w:val="00F91CBE"/>
    <w:rsid w:val="00F91D2F"/>
    <w:rsid w:val="00F95439"/>
    <w:rsid w:val="00FB0872"/>
    <w:rsid w:val="00FB54CC"/>
    <w:rsid w:val="00FD1A37"/>
    <w:rsid w:val="00FD2B7B"/>
    <w:rsid w:val="00FD4E5B"/>
    <w:rsid w:val="00FE4EE0"/>
    <w:rsid w:val="00FF0F9A"/>
    <w:rsid w:val="00FF23B6"/>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33CC3"/>
  <w15:docId w15:val="{62D80814-218C-45B5-B847-DCAB11F2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703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ecosoc/es/events/2022/revitalizing-new-urban-agenda-fight-rising-inequalities-nua20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4CE4C997-AFE9-4FD5-8B67-4DD00902483D}">
  <ds:schemaRefs>
    <ds:schemaRef ds:uri="http://www.w3.org/XML/1998/namespace"/>
    <ds:schemaRef ds:uri="http://schemas.openxmlformats.org/package/2006/metadata/core-properties"/>
    <ds:schemaRef ds:uri="http://purl.org/dc/elements/1.1/"/>
    <ds:schemaRef ds:uri="3679bf0f-1d7e-438f-afa5-6ebf1e20f9b8"/>
    <ds:schemaRef ds:uri="http://schemas.microsoft.com/office/infopath/2007/PartnerControls"/>
    <ds:schemaRef ds:uri="http://schemas.microsoft.com/office/2006/documentManagement/types"/>
    <ds:schemaRef ds:uri="http://purl.org/dc/terms/"/>
    <ds:schemaRef ds:uri="ce21bc6c-711a-4065-a01c-a8f0e29e3ad8"/>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FE342D53-2BB0-4527-9A62-5129E0347B52}"/>
</file>

<file path=customXml/itemProps4.xml><?xml version="1.0" encoding="utf-8"?>
<ds:datastoreItem xmlns:ds="http://schemas.openxmlformats.org/officeDocument/2006/customXml" ds:itemID="{ED81736C-55B1-4B78-A25D-0877AEC8081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10016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Vicente VASQUEZ GRANDA</dc:creator>
  <cp:lastModifiedBy>Elena Vicente</cp:lastModifiedBy>
  <cp:revision>74</cp:revision>
  <cp:lastPrinted>2013-03-12T09:27:00Z</cp:lastPrinted>
  <dcterms:created xsi:type="dcterms:W3CDTF">2022-10-11T08:26:00Z</dcterms:created>
  <dcterms:modified xsi:type="dcterms:W3CDTF">2022-10-14T15:05:00Z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