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0246CD" w:rsidRPr="000246CD" w14:paraId="7ED98257" w14:textId="77777777" w:rsidTr="00C747ED">
        <w:trPr>
          <w:trHeight w:val="282"/>
        </w:trPr>
        <w:tc>
          <w:tcPr>
            <w:tcW w:w="516" w:type="dxa"/>
            <w:vMerge w:val="restart"/>
            <w:tcBorders>
              <w:bottom w:val="nil"/>
            </w:tcBorders>
            <w:textDirection w:val="tbRl"/>
          </w:tcPr>
          <w:p w14:paraId="549BD957" w14:textId="77777777" w:rsidR="000246CD" w:rsidRPr="000246CD" w:rsidRDefault="000246CD" w:rsidP="000246CD">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0246CD">
              <w:rPr>
                <w:rFonts w:ascii="Arial" w:hAnsi="Arial"/>
                <w:noProof/>
                <w:color w:val="365F91" w:themeColor="accent1" w:themeShade="BF"/>
                <w:sz w:val="14"/>
                <w:szCs w:val="14"/>
                <w:rtl/>
                <w:lang w:eastAsia="zh-CN"/>
              </w:rPr>
              <w:t>الطقس المناخ الماء</w:t>
            </w:r>
          </w:p>
        </w:tc>
        <w:tc>
          <w:tcPr>
            <w:tcW w:w="6841" w:type="dxa"/>
            <w:vMerge w:val="restart"/>
          </w:tcPr>
          <w:p w14:paraId="79EDCDB9" w14:textId="77777777" w:rsidR="000246CD" w:rsidRPr="000246CD" w:rsidRDefault="000246CD" w:rsidP="000246CD">
            <w:pPr>
              <w:tabs>
                <w:tab w:val="left" w:pos="6946"/>
              </w:tabs>
              <w:suppressAutoHyphens/>
              <w:bidi/>
              <w:spacing w:after="120" w:line="252" w:lineRule="auto"/>
              <w:ind w:left="1134"/>
              <w:jc w:val="left"/>
              <w:rPr>
                <w:rFonts w:ascii="Arial" w:hAnsi="Arial"/>
                <w:b/>
                <w:bCs/>
                <w:color w:val="365F91" w:themeColor="accent1" w:themeShade="BF"/>
                <w:szCs w:val="22"/>
                <w:rtl/>
              </w:rPr>
            </w:pPr>
            <w:r w:rsidRPr="000246CD">
              <w:rPr>
                <w:rFonts w:ascii="Arial" w:hAnsi="Arial"/>
                <w:noProof/>
                <w:color w:val="365F91" w:themeColor="accent1" w:themeShade="BF"/>
                <w:sz w:val="26"/>
                <w:szCs w:val="28"/>
                <w:lang w:val="en-US" w:eastAsia="zh-CN"/>
              </w:rPr>
              <w:drawing>
                <wp:anchor distT="0" distB="0" distL="114300" distR="114300" simplePos="0" relativeHeight="251659264" behindDoc="1" locked="1" layoutInCell="1" allowOverlap="1" wp14:anchorId="1C773568" wp14:editId="2448AA54">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6CD">
              <w:rPr>
                <w:rFonts w:ascii="Arial" w:hAnsi="Arial"/>
                <w:b/>
                <w:bCs/>
                <w:color w:val="365F91" w:themeColor="accent1" w:themeShade="BF"/>
                <w:sz w:val="26"/>
                <w:szCs w:val="28"/>
                <w:rtl/>
              </w:rPr>
              <w:t>المنظمة العالمية للأرصاد الجوية</w:t>
            </w:r>
          </w:p>
          <w:p w14:paraId="32FA1A5C" w14:textId="77777777" w:rsidR="000246CD" w:rsidRPr="000246CD" w:rsidRDefault="000246CD" w:rsidP="000246CD">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bookmarkStart w:id="1" w:name="_Hlk110435210"/>
            <w:r w:rsidRPr="000246CD">
              <w:rPr>
                <w:rFonts w:ascii="Arial" w:hAnsi="Arial" w:hint="eastAsia"/>
                <w:b/>
                <w:bCs/>
                <w:color w:val="365F91"/>
                <w:sz w:val="30"/>
                <w:szCs w:val="30"/>
                <w:rtl/>
              </w:rPr>
              <w:t>لجنة</w:t>
            </w:r>
            <w:r w:rsidRPr="000246CD">
              <w:rPr>
                <w:rFonts w:ascii="Arial" w:hAnsi="Arial"/>
                <w:b/>
                <w:bCs/>
                <w:color w:val="365F91"/>
                <w:sz w:val="30"/>
                <w:szCs w:val="30"/>
                <w:rtl/>
              </w:rPr>
              <w:t xml:space="preserve"> </w:t>
            </w:r>
            <w:r w:rsidRPr="000246CD">
              <w:rPr>
                <w:rFonts w:ascii="Arial" w:hAnsi="Arial" w:hint="cs"/>
                <w:b/>
                <w:bCs/>
                <w:color w:val="365F91"/>
                <w:sz w:val="30"/>
                <w:szCs w:val="30"/>
                <w:rtl/>
              </w:rPr>
              <w:t>خدمات وتطبيقات</w:t>
            </w:r>
            <w:r w:rsidRPr="000246CD">
              <w:rPr>
                <w:rFonts w:ascii="Arial" w:hAnsi="Arial"/>
                <w:b/>
                <w:bCs/>
                <w:color w:val="365F91"/>
                <w:sz w:val="30"/>
                <w:szCs w:val="30"/>
                <w:rtl/>
              </w:rPr>
              <w:t xml:space="preserve"> </w:t>
            </w:r>
            <w:bookmarkEnd w:id="0"/>
            <w:r w:rsidRPr="000246CD">
              <w:rPr>
                <w:rFonts w:ascii="Arial" w:hAnsi="Arial" w:hint="cs"/>
                <w:b/>
                <w:bCs/>
                <w:color w:val="365F91"/>
                <w:sz w:val="30"/>
                <w:szCs w:val="30"/>
                <w:rtl/>
              </w:rPr>
              <w:t>الطقس والمناخ والماء</w:t>
            </w:r>
            <w:r w:rsidRPr="000246CD">
              <w:rPr>
                <w:rFonts w:ascii="Arial" w:hAnsi="Arial"/>
                <w:b/>
                <w:bCs/>
                <w:color w:val="365F91"/>
                <w:sz w:val="30"/>
                <w:szCs w:val="30"/>
                <w:rtl/>
              </w:rPr>
              <w:br/>
            </w:r>
            <w:r w:rsidRPr="000246CD">
              <w:rPr>
                <w:rFonts w:ascii="Arial" w:hAnsi="Arial" w:hint="cs"/>
                <w:b/>
                <w:bCs/>
                <w:color w:val="365F91"/>
                <w:sz w:val="30"/>
                <w:szCs w:val="30"/>
                <w:rtl/>
              </w:rPr>
              <w:t>والخدمات والتطبيقات البيئية ذات الصلة</w:t>
            </w:r>
            <w:bookmarkEnd w:id="1"/>
          </w:p>
          <w:p w14:paraId="3FD2017B" w14:textId="77777777" w:rsidR="000246CD" w:rsidRPr="000246CD" w:rsidRDefault="000246CD" w:rsidP="000246CD">
            <w:pPr>
              <w:tabs>
                <w:tab w:val="left" w:pos="6946"/>
              </w:tabs>
              <w:suppressAutoHyphens/>
              <w:bidi/>
              <w:spacing w:after="120" w:line="252" w:lineRule="auto"/>
              <w:ind w:left="1134"/>
              <w:jc w:val="left"/>
              <w:rPr>
                <w:rFonts w:ascii="Arial" w:hAnsi="Arial"/>
                <w:b/>
                <w:bCs/>
                <w:color w:val="365F91" w:themeColor="accent1" w:themeShade="BF"/>
                <w:szCs w:val="22"/>
              </w:rPr>
            </w:pPr>
            <w:r w:rsidRPr="000246CD">
              <w:rPr>
                <w:rFonts w:ascii="Arial" w:hAnsi="Arial"/>
                <w:bCs/>
                <w:snapToGrid w:val="0"/>
                <w:color w:val="365F91" w:themeColor="accent1" w:themeShade="BF"/>
                <w:sz w:val="28"/>
                <w:szCs w:val="28"/>
                <w:rtl/>
              </w:rPr>
              <w:t xml:space="preserve">الدورة </w:t>
            </w:r>
            <w:r w:rsidRPr="000246CD">
              <w:rPr>
                <w:rFonts w:ascii="Arial" w:hAnsi="Arial" w:hint="cs"/>
                <w:bCs/>
                <w:snapToGrid w:val="0"/>
                <w:color w:val="365F91" w:themeColor="accent1" w:themeShade="BF"/>
                <w:sz w:val="28"/>
                <w:szCs w:val="28"/>
                <w:rtl/>
              </w:rPr>
              <w:t>الثانية</w:t>
            </w:r>
            <w:r w:rsidRPr="000246CD">
              <w:rPr>
                <w:rFonts w:ascii="Arial" w:hAnsi="Arial"/>
                <w:bCs/>
                <w:snapToGrid w:val="0"/>
                <w:color w:val="365F91" w:themeColor="accent1" w:themeShade="BF"/>
                <w:sz w:val="28"/>
                <w:szCs w:val="28"/>
              </w:rPr>
              <w:br/>
            </w:r>
            <w:r w:rsidRPr="000246CD">
              <w:rPr>
                <w:rFonts w:ascii="Arial" w:hAnsi="Arial"/>
                <w:snapToGrid w:val="0"/>
                <w:color w:val="365F91" w:themeColor="accent1" w:themeShade="BF"/>
                <w:szCs w:val="26"/>
              </w:rPr>
              <w:t>17</w:t>
            </w:r>
            <w:r w:rsidRPr="000246CD">
              <w:rPr>
                <w:rFonts w:ascii="Arial" w:hAnsi="Arial" w:hint="cs"/>
                <w:snapToGrid w:val="0"/>
                <w:color w:val="365F91" w:themeColor="accent1" w:themeShade="BF"/>
                <w:rtl/>
              </w:rPr>
              <w:t>-</w:t>
            </w:r>
            <w:r w:rsidRPr="000246CD">
              <w:rPr>
                <w:rFonts w:ascii="Arial" w:hAnsi="Arial"/>
                <w:snapToGrid w:val="0"/>
                <w:color w:val="365F91" w:themeColor="accent1" w:themeShade="BF"/>
                <w:szCs w:val="26"/>
              </w:rPr>
              <w:t>21</w:t>
            </w:r>
            <w:r w:rsidRPr="000246CD">
              <w:rPr>
                <w:rFonts w:ascii="Arial" w:hAnsi="Arial" w:hint="cs"/>
                <w:snapToGrid w:val="0"/>
                <w:color w:val="365F91" w:themeColor="accent1" w:themeShade="BF"/>
                <w:szCs w:val="26"/>
                <w:rtl/>
              </w:rPr>
              <w:t xml:space="preserve"> </w:t>
            </w:r>
            <w:r w:rsidRPr="000246CD">
              <w:rPr>
                <w:rFonts w:ascii="Arial" w:hAnsi="Arial" w:hint="cs"/>
                <w:snapToGrid w:val="0"/>
                <w:color w:val="365F91" w:themeColor="accent1" w:themeShade="BF"/>
                <w:szCs w:val="26"/>
                <w:rtl/>
                <w:lang w:val="en-US"/>
              </w:rPr>
              <w:t xml:space="preserve">تشرين الأول/ أكتوبر </w:t>
            </w:r>
            <w:r w:rsidRPr="000246CD">
              <w:rPr>
                <w:rFonts w:ascii="Arial" w:hAnsi="Arial"/>
                <w:snapToGrid w:val="0"/>
                <w:color w:val="365F91" w:themeColor="accent1" w:themeShade="BF"/>
                <w:szCs w:val="26"/>
                <w:lang w:val="en-US"/>
              </w:rPr>
              <w:t>2022</w:t>
            </w:r>
            <w:r w:rsidRPr="000246CD">
              <w:rPr>
                <w:rFonts w:ascii="Arial" w:hAnsi="Arial"/>
                <w:snapToGrid w:val="0"/>
                <w:color w:val="365F91" w:themeColor="accent1" w:themeShade="BF"/>
                <w:szCs w:val="26"/>
                <w:rtl/>
                <w:lang w:val="en-US"/>
              </w:rPr>
              <w:t xml:space="preserve">، </w:t>
            </w:r>
            <w:r w:rsidRPr="000246CD">
              <w:rPr>
                <w:rFonts w:ascii="Arial" w:hAnsi="Arial" w:hint="cs"/>
                <w:snapToGrid w:val="0"/>
                <w:color w:val="365F91" w:themeColor="accent1" w:themeShade="BF"/>
                <w:szCs w:val="26"/>
                <w:rtl/>
                <w:lang w:val="en-US"/>
              </w:rPr>
              <w:t>جنيف</w:t>
            </w:r>
          </w:p>
        </w:tc>
        <w:tc>
          <w:tcPr>
            <w:tcW w:w="2957" w:type="dxa"/>
          </w:tcPr>
          <w:p w14:paraId="768F9F27" w14:textId="304638AA" w:rsidR="000246CD" w:rsidRPr="000246CD" w:rsidRDefault="000246CD" w:rsidP="000246CD">
            <w:pPr>
              <w:tabs>
                <w:tab w:val="clear" w:pos="1134"/>
              </w:tabs>
              <w:spacing w:after="60"/>
              <w:ind w:right="-108"/>
              <w:jc w:val="left"/>
              <w:rPr>
                <w:rFonts w:ascii="Arial" w:hAnsi="Arial"/>
                <w:b/>
                <w:bCs/>
                <w:color w:val="365F91" w:themeColor="accent1" w:themeShade="BF"/>
                <w:sz w:val="22"/>
                <w:szCs w:val="22"/>
              </w:rPr>
            </w:pPr>
            <w:bookmarkStart w:id="2" w:name="_Hlk107475833"/>
            <w:r w:rsidRPr="000246CD">
              <w:rPr>
                <w:rFonts w:ascii="Arial" w:hAnsi="Arial"/>
                <w:b/>
                <w:bCs/>
                <w:color w:val="365F91" w:themeColor="accent1" w:themeShade="BF"/>
                <w:sz w:val="22"/>
                <w:szCs w:val="22"/>
              </w:rPr>
              <w:t>SERCOM-2</w:t>
            </w:r>
            <w:bookmarkEnd w:id="2"/>
            <w:r w:rsidRPr="000246CD">
              <w:rPr>
                <w:rFonts w:ascii="Arial" w:hAnsi="Arial"/>
                <w:b/>
                <w:bCs/>
                <w:color w:val="365F91" w:themeColor="accent1" w:themeShade="BF"/>
                <w:sz w:val="22"/>
                <w:szCs w:val="22"/>
              </w:rPr>
              <w:t>/INF</w:t>
            </w:r>
            <w:r w:rsidRPr="000246CD">
              <w:rPr>
                <w:rFonts w:ascii="Arial" w:hAnsi="Arial"/>
                <w:b/>
                <w:bCs/>
                <w:color w:val="365F91" w:themeColor="accent1" w:themeShade="BF"/>
                <w:sz w:val="22"/>
                <w:szCs w:val="22"/>
                <w:lang w:val="fr-FR"/>
              </w:rPr>
              <w:t>. </w:t>
            </w:r>
            <w:r>
              <w:rPr>
                <w:rFonts w:ascii="Arial" w:hAnsi="Arial"/>
                <w:b/>
                <w:bCs/>
                <w:color w:val="365F91" w:themeColor="accent1" w:themeShade="BF"/>
                <w:sz w:val="22"/>
                <w:szCs w:val="22"/>
              </w:rPr>
              <w:t>5.11</w:t>
            </w:r>
          </w:p>
        </w:tc>
      </w:tr>
      <w:tr w:rsidR="000246CD" w:rsidRPr="000246CD" w14:paraId="5747B69C" w14:textId="77777777" w:rsidTr="00C747ED">
        <w:trPr>
          <w:trHeight w:val="730"/>
        </w:trPr>
        <w:tc>
          <w:tcPr>
            <w:tcW w:w="516" w:type="dxa"/>
            <w:vMerge/>
            <w:tcBorders>
              <w:bottom w:val="nil"/>
            </w:tcBorders>
          </w:tcPr>
          <w:p w14:paraId="796A4873" w14:textId="77777777" w:rsidR="000246CD" w:rsidRPr="000246CD" w:rsidRDefault="000246CD" w:rsidP="000246CD">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7D6A65ED" w14:textId="77777777" w:rsidR="000246CD" w:rsidRPr="000246CD" w:rsidRDefault="000246CD" w:rsidP="000246CD">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75D52291" w14:textId="2D8C0DB3" w:rsidR="000246CD" w:rsidRPr="000246CD" w:rsidRDefault="000246CD" w:rsidP="000246CD">
            <w:pPr>
              <w:tabs>
                <w:tab w:val="clear" w:pos="1134"/>
              </w:tabs>
              <w:bidi/>
              <w:spacing w:after="120" w:line="320" w:lineRule="exact"/>
              <w:jc w:val="right"/>
              <w:rPr>
                <w:rFonts w:ascii="Arial" w:hAnsi="Arial"/>
                <w:color w:val="365F91" w:themeColor="accent1" w:themeShade="BF"/>
                <w:szCs w:val="26"/>
                <w:rtl/>
                <w:lang w:bidi="ar-EG"/>
              </w:rPr>
            </w:pPr>
            <w:r w:rsidRPr="000246CD">
              <w:rPr>
                <w:rFonts w:ascii="Arial" w:hAnsi="Arial"/>
                <w:color w:val="365F91" w:themeColor="accent1" w:themeShade="BF"/>
                <w:szCs w:val="26"/>
                <w:rtl/>
              </w:rPr>
              <w:t>وثيقة مقدمة من:</w:t>
            </w:r>
            <w:r w:rsidRPr="000246CD">
              <w:rPr>
                <w:rFonts w:ascii="Arial" w:hAnsi="Arial"/>
                <w:color w:val="365F91" w:themeColor="accent1" w:themeShade="BF"/>
                <w:szCs w:val="26"/>
              </w:rPr>
              <w:br/>
            </w:r>
            <w:r w:rsidRPr="00FC66A0">
              <w:rPr>
                <w:rFonts w:ascii="Arial" w:hAnsi="Arial"/>
                <w:color w:val="365F91" w:themeColor="accent1" w:themeShade="BF"/>
                <w:szCs w:val="26"/>
                <w:rtl/>
                <w:lang w:eastAsia="ar" w:bidi="ar-MA"/>
              </w:rPr>
              <w:t xml:space="preserve">الفريق </w:t>
            </w:r>
            <w:r w:rsidRPr="00FC66A0">
              <w:rPr>
                <w:rFonts w:ascii="Arial" w:hAnsi="Arial"/>
                <w:color w:val="365F91" w:themeColor="accent1" w:themeShade="BF"/>
                <w:szCs w:val="26"/>
                <w:lang w:eastAsia="ar" w:bidi="en-US"/>
              </w:rPr>
              <w:t>SG-URB</w:t>
            </w:r>
          </w:p>
          <w:p w14:paraId="0C9BFD0E" w14:textId="7F35C0AA" w:rsidR="000246CD" w:rsidRPr="000246CD" w:rsidRDefault="000246CD" w:rsidP="000246CD">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11</w:t>
            </w:r>
            <w:r w:rsidRPr="000246CD">
              <w:rPr>
                <w:rFonts w:ascii="Arial" w:hAnsi="Arial"/>
                <w:color w:val="365F91" w:themeColor="accent1" w:themeShade="BF"/>
                <w:szCs w:val="26"/>
              </w:rPr>
              <w:t>.</w:t>
            </w:r>
            <w:r>
              <w:rPr>
                <w:rFonts w:ascii="Arial" w:hAnsi="Arial"/>
                <w:color w:val="365F91" w:themeColor="accent1" w:themeShade="BF"/>
                <w:szCs w:val="26"/>
              </w:rPr>
              <w:t>X</w:t>
            </w:r>
            <w:r w:rsidRPr="000246CD">
              <w:rPr>
                <w:rFonts w:ascii="Arial" w:hAnsi="Arial"/>
                <w:color w:val="365F91" w:themeColor="accent1" w:themeShade="BF"/>
                <w:szCs w:val="26"/>
              </w:rPr>
              <w:t>.202</w:t>
            </w:r>
            <w:r w:rsidRPr="000246CD">
              <w:rPr>
                <w:rFonts w:ascii="Arial" w:hAnsi="Arial"/>
                <w:color w:val="365F91" w:themeColor="accent1" w:themeShade="BF"/>
                <w:szCs w:val="26"/>
                <w:lang w:val="en-US"/>
              </w:rPr>
              <w:t>2</w:t>
            </w:r>
          </w:p>
        </w:tc>
      </w:tr>
    </w:tbl>
    <w:p w14:paraId="7535652C" w14:textId="77777777" w:rsidR="000246CD" w:rsidRPr="000246CD" w:rsidRDefault="000246CD" w:rsidP="000246CD">
      <w:pPr>
        <w:bidi/>
        <w:snapToGrid w:val="0"/>
        <w:spacing w:before="240" w:line="320" w:lineRule="exact"/>
        <w:jc w:val="left"/>
        <w:textDirection w:val="tbRlV"/>
        <w:rPr>
          <w:rFonts w:ascii="Arial" w:eastAsia="Verdana" w:hAnsi="Arial"/>
          <w:i/>
          <w:iCs/>
          <w:color w:val="FF0000"/>
          <w:szCs w:val="26"/>
          <w:lang w:eastAsia="zh-TW"/>
        </w:rPr>
      </w:pPr>
      <w:r w:rsidRPr="000246CD">
        <w:rPr>
          <w:rFonts w:ascii="Arial" w:eastAsia="Verdana" w:hAnsi="Arial" w:hint="cs"/>
          <w:i/>
          <w:iCs/>
          <w:color w:val="FF0000"/>
          <w:szCs w:val="26"/>
          <w:rtl/>
          <w:lang w:eastAsia="zh-TW"/>
        </w:rPr>
        <w:t>[</w:t>
      </w:r>
      <w:r w:rsidRPr="000246CD">
        <w:rPr>
          <w:rFonts w:ascii="Arial" w:eastAsia="Verdana" w:hAnsi="Arial"/>
          <w:i/>
          <w:iCs/>
          <w:color w:val="FF0000"/>
          <w:szCs w:val="26"/>
          <w:rtl/>
          <w:lang w:eastAsia="zh-TW"/>
        </w:rPr>
        <w:t xml:space="preserve">تُرجمت هذه الوثيقة باستخدام تقنية الترجمة الآلية للتيسير </w:t>
      </w:r>
      <w:proofErr w:type="gramStart"/>
      <w:r w:rsidRPr="000246CD">
        <w:rPr>
          <w:rFonts w:ascii="Arial" w:eastAsia="Verdana" w:hAnsi="Arial"/>
          <w:i/>
          <w:iCs/>
          <w:color w:val="FF0000"/>
          <w:szCs w:val="26"/>
          <w:rtl/>
          <w:lang w:eastAsia="zh-TW"/>
        </w:rPr>
        <w:t>عليكم</w:t>
      </w:r>
      <w:proofErr w:type="gramEnd"/>
      <w:r w:rsidRPr="000246CD">
        <w:rPr>
          <w:rFonts w:ascii="Arial" w:eastAsia="Verdana" w:hAnsi="Arial"/>
          <w:i/>
          <w:iCs/>
          <w:color w:val="FF0000"/>
          <w:szCs w:val="26"/>
          <w:rtl/>
          <w:lang w:eastAsia="zh-TW"/>
        </w:rPr>
        <w:t xml:space="preserve"> ولكن لم تُحرر</w:t>
      </w:r>
      <w:r w:rsidRPr="000246CD">
        <w:rPr>
          <w:rFonts w:ascii="Arial" w:eastAsia="Verdana" w:hAnsi="Arial" w:hint="cs"/>
          <w:i/>
          <w:iCs/>
          <w:color w:val="FF0000"/>
          <w:szCs w:val="26"/>
          <w:rtl/>
          <w:lang w:eastAsia="zh-TW"/>
        </w:rPr>
        <w:t>.</w:t>
      </w:r>
      <w:r w:rsidRPr="000246CD">
        <w:rPr>
          <w:rFonts w:ascii="Arial" w:eastAsia="Verdana" w:hAnsi="Arial"/>
          <w:i/>
          <w:iCs/>
          <w:color w:val="FF0000"/>
          <w:szCs w:val="26"/>
          <w:rtl/>
          <w:lang w:eastAsia="zh-TW"/>
        </w:rPr>
        <w:t xml:space="preserve"> </w:t>
      </w:r>
      <w:r w:rsidRPr="000246CD">
        <w:rPr>
          <w:rFonts w:ascii="Arial" w:eastAsia="Verdana" w:hAnsi="Arial" w:hint="cs"/>
          <w:i/>
          <w:iCs/>
          <w:color w:val="FF0000"/>
          <w:szCs w:val="26"/>
          <w:rtl/>
          <w:lang w:eastAsia="zh-TW"/>
        </w:rPr>
        <w:t>و</w:t>
      </w:r>
      <w:r w:rsidRPr="000246CD">
        <w:rPr>
          <w:rFonts w:ascii="Arial" w:eastAsia="Verdana" w:hAnsi="Arial"/>
          <w:i/>
          <w:iCs/>
          <w:color w:val="FF0000"/>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0246CD">
        <w:rPr>
          <w:rFonts w:ascii="Arial" w:eastAsia="Verdana" w:hAnsi="Arial" w:hint="cs"/>
          <w:i/>
          <w:iCs/>
          <w:color w:val="FF0000"/>
          <w:szCs w:val="26"/>
          <w:rtl/>
          <w:lang w:eastAsia="zh-TW"/>
        </w:rPr>
        <w:t>العربية</w:t>
      </w:r>
      <w:r w:rsidRPr="000246CD">
        <w:rPr>
          <w:rFonts w:ascii="Arial" w:eastAsia="Verdana" w:hAnsi="Arial"/>
          <w:i/>
          <w:iCs/>
          <w:color w:val="FF0000"/>
          <w:szCs w:val="26"/>
          <w:rtl/>
          <w:lang w:eastAsia="zh-TW"/>
        </w:rPr>
        <w:t xml:space="preserve"> ليست ملزمة وليس لها أي أثر قانوني للامتثال أو الإنفاذ أو أي غرض آخر. وقد لا</w:t>
      </w:r>
      <w:r w:rsidRPr="000246CD">
        <w:rPr>
          <w:rFonts w:ascii="Arial" w:eastAsia="Verdana" w:hAnsi="Arial" w:hint="cs"/>
          <w:i/>
          <w:iCs/>
          <w:color w:val="FF0000"/>
          <w:szCs w:val="26"/>
          <w:rtl/>
          <w:lang w:eastAsia="zh-TW"/>
        </w:rPr>
        <w:t> </w:t>
      </w:r>
      <w:r w:rsidRPr="000246CD">
        <w:rPr>
          <w:rFonts w:ascii="Arial" w:eastAsia="Verdana" w:hAnsi="Arial"/>
          <w:i/>
          <w:iCs/>
          <w:color w:val="FF0000"/>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0246CD">
        <w:rPr>
          <w:rFonts w:ascii="Arial" w:eastAsia="Verdana" w:hAnsi="Arial" w:hint="cs"/>
          <w:i/>
          <w:iCs/>
          <w:color w:val="FF0000"/>
          <w:szCs w:val="26"/>
          <w:rtl/>
          <w:lang w:eastAsia="zh-TW"/>
        </w:rPr>
        <w:t>ك</w:t>
      </w:r>
      <w:r w:rsidRPr="000246CD">
        <w:rPr>
          <w:rFonts w:ascii="Arial" w:eastAsia="Verdana" w:hAnsi="Arial"/>
          <w:i/>
          <w:iCs/>
          <w:color w:val="FF0000"/>
          <w:szCs w:val="26"/>
          <w:rtl/>
          <w:lang w:eastAsia="zh-TW"/>
        </w:rPr>
        <w:t>ليزية الأصلية التي هي النسخة الرسمية من الوثيقة.</w:t>
      </w:r>
      <w:r w:rsidRPr="000246CD">
        <w:rPr>
          <w:rFonts w:ascii="Arial" w:eastAsia="Verdana" w:hAnsi="Arial" w:hint="cs"/>
          <w:i/>
          <w:iCs/>
          <w:color w:val="FF0000"/>
          <w:szCs w:val="26"/>
          <w:rtl/>
          <w:lang w:eastAsia="zh-TW"/>
        </w:rPr>
        <w:t>]</w:t>
      </w:r>
    </w:p>
    <w:p w14:paraId="774E58D9" w14:textId="77777777" w:rsidR="00EB4B49" w:rsidRPr="00FC66A0" w:rsidRDefault="0070358C" w:rsidP="00FC66A0">
      <w:pPr>
        <w:bidi/>
        <w:spacing w:before="240" w:line="320" w:lineRule="exact"/>
        <w:jc w:val="center"/>
        <w:rPr>
          <w:rFonts w:ascii="Arial" w:eastAsia="Calibri" w:hAnsi="Arial"/>
          <w:color w:val="000000" w:themeColor="text1"/>
          <w:szCs w:val="26"/>
        </w:rPr>
      </w:pPr>
      <w:r w:rsidRPr="00FC66A0">
        <w:rPr>
          <w:rFonts w:ascii="Arial" w:eastAsia="Calibri" w:hAnsi="Arial"/>
          <w:b/>
          <w:bCs/>
          <w:color w:val="000000" w:themeColor="text1"/>
          <w:szCs w:val="26"/>
          <w:rtl/>
          <w:lang w:eastAsia="ar" w:bidi="ar-MA"/>
        </w:rPr>
        <w:t>ملخص وتوصيات حلقة العمل بشأن دمج الأنشطة المتصلة بالحضر في المنظمة العالمية للأرصاد الجوية</w:t>
      </w:r>
    </w:p>
    <w:p w14:paraId="13B37E16" w14:textId="300640F9" w:rsidR="0070358C" w:rsidRPr="00FC66A0" w:rsidRDefault="0070358C" w:rsidP="00FC66A0">
      <w:pPr>
        <w:bidi/>
        <w:spacing w:before="240" w:line="320" w:lineRule="exact"/>
        <w:jc w:val="center"/>
        <w:rPr>
          <w:rFonts w:ascii="Arial" w:eastAsia="Calibri" w:hAnsi="Arial"/>
          <w:color w:val="000000" w:themeColor="text1"/>
          <w:szCs w:val="26"/>
        </w:rPr>
      </w:pPr>
      <w:r w:rsidRPr="00FC66A0">
        <w:rPr>
          <w:rFonts w:ascii="Arial" w:eastAsia="Calibri" w:hAnsi="Arial"/>
          <w:b/>
          <w:bCs/>
          <w:color w:val="000000" w:themeColor="text1"/>
          <w:szCs w:val="26"/>
          <w:rtl/>
          <w:lang w:eastAsia="ar" w:bidi="ar-MA"/>
        </w:rPr>
        <w:t xml:space="preserve">جنيف، </w:t>
      </w:r>
      <w:r w:rsidRPr="00FC66A0">
        <w:rPr>
          <w:rFonts w:ascii="Arial" w:eastAsia="Calibri" w:hAnsi="Arial"/>
          <w:b/>
          <w:bCs/>
          <w:color w:val="000000" w:themeColor="text1"/>
          <w:szCs w:val="26"/>
          <w:lang w:eastAsia="ar" w:bidi="ar-MA"/>
        </w:rPr>
        <w:t>15-13</w:t>
      </w:r>
      <w:r w:rsidRPr="00FC66A0">
        <w:rPr>
          <w:rFonts w:ascii="Arial" w:eastAsia="Calibri" w:hAnsi="Arial"/>
          <w:b/>
          <w:bCs/>
          <w:color w:val="000000" w:themeColor="text1"/>
          <w:szCs w:val="26"/>
          <w:rtl/>
          <w:lang w:eastAsia="ar" w:bidi="ar-MA"/>
        </w:rPr>
        <w:t xml:space="preserve"> حزيران/ يونيو </w:t>
      </w:r>
      <w:r w:rsidRPr="00FC66A0">
        <w:rPr>
          <w:rFonts w:ascii="Arial" w:eastAsia="Calibri" w:hAnsi="Arial"/>
          <w:b/>
          <w:bCs/>
          <w:color w:val="000000" w:themeColor="text1"/>
          <w:szCs w:val="26"/>
          <w:lang w:eastAsia="ar" w:bidi="ar-MA"/>
        </w:rPr>
        <w:t>2022</w:t>
      </w:r>
    </w:p>
    <w:p w14:paraId="4FA50848" w14:textId="77777777" w:rsidR="0070358C" w:rsidRPr="00FC66A0" w:rsidRDefault="0070358C" w:rsidP="00FC66A0">
      <w:pPr>
        <w:bidi/>
        <w:spacing w:before="240" w:line="320" w:lineRule="exact"/>
        <w:rPr>
          <w:rFonts w:ascii="Arial" w:eastAsia="Calibri" w:hAnsi="Arial"/>
          <w:color w:val="000000" w:themeColor="text1"/>
          <w:szCs w:val="26"/>
        </w:rPr>
      </w:pPr>
      <w:r w:rsidRPr="00FC66A0">
        <w:rPr>
          <w:rFonts w:ascii="Arial" w:eastAsia="Calibri" w:hAnsi="Arial"/>
          <w:b/>
          <w:bCs/>
          <w:color w:val="000000" w:themeColor="text1"/>
          <w:szCs w:val="26"/>
          <w:rtl/>
          <w:lang w:eastAsia="ar" w:bidi="ar-MA"/>
        </w:rPr>
        <w:t>الخلفيه</w:t>
      </w:r>
    </w:p>
    <w:p w14:paraId="3A00029D" w14:textId="77777777" w:rsidR="00FC66A0" w:rsidRDefault="0070358C" w:rsidP="00FC66A0">
      <w:pPr>
        <w:bidi/>
        <w:spacing w:before="240" w:line="320" w:lineRule="exact"/>
        <w:jc w:val="left"/>
        <w:rPr>
          <w:rFonts w:ascii="Arial" w:eastAsia="Calibri" w:hAnsi="Arial"/>
          <w:color w:val="000000" w:themeColor="text1"/>
          <w:szCs w:val="26"/>
          <w:rtl/>
          <w:lang w:eastAsia="ar" w:bidi="ar-MA"/>
        </w:rPr>
      </w:pPr>
      <w:r w:rsidRPr="00FC66A0">
        <w:rPr>
          <w:rFonts w:ascii="Arial" w:eastAsia="Calibri" w:hAnsi="Arial"/>
          <w:color w:val="000000" w:themeColor="text1"/>
          <w:szCs w:val="26"/>
          <w:rtl/>
          <w:lang w:eastAsia="ar" w:bidi="ar-MA"/>
        </w:rPr>
        <w:t>لقد أصبح تسارع نمو سكان الحضر قوة دافعة للتنمية البشرية، لا سيما في البلدان النامية. فالمدن المزدحمة مراكز للإبداع والتقدم الاقتصادي؛ ومع ذلك، فإن أحوال الطقس المتطرفة والفيضانات ونوعية المياه وتلوث الهواء وغيرها من الأخطار تؤدي إلى شدة التأثر وتحديات كبيرة في البيئة الحضرية.</w:t>
      </w:r>
    </w:p>
    <w:p w14:paraId="6DDA3D1B" w14:textId="77777777" w:rsidR="00FC66A0" w:rsidRDefault="0070358C" w:rsidP="00FC66A0">
      <w:pPr>
        <w:bidi/>
        <w:spacing w:before="240" w:line="320" w:lineRule="exact"/>
        <w:jc w:val="left"/>
        <w:rPr>
          <w:rFonts w:ascii="Arial" w:eastAsia="Calibri" w:hAnsi="Arial"/>
          <w:color w:val="000000" w:themeColor="text1"/>
          <w:szCs w:val="26"/>
          <w:rtl/>
          <w:lang w:eastAsia="ar" w:bidi="ar-MA"/>
        </w:rPr>
      </w:pPr>
      <w:r w:rsidRPr="00FC66A0">
        <w:rPr>
          <w:rFonts w:ascii="Arial" w:eastAsia="Calibri" w:hAnsi="Arial"/>
          <w:color w:val="000000" w:themeColor="text1"/>
          <w:szCs w:val="26"/>
          <w:rtl/>
          <w:lang w:eastAsia="ar" w:bidi="ar-MA"/>
        </w:rPr>
        <w:t xml:space="preserve">اعتمد مؤتمر الأمم المتحدة الثالث المعني بالإسكان والتنمية الحضرية المستدامة (الموئل الثالث) في تشرين الأول/ أكتوبر </w:t>
      </w:r>
      <w:r w:rsidRPr="00FC66A0">
        <w:rPr>
          <w:rFonts w:ascii="Arial" w:eastAsia="Calibri" w:hAnsi="Arial"/>
          <w:color w:val="000000" w:themeColor="text1"/>
          <w:szCs w:val="26"/>
          <w:lang w:eastAsia="ar" w:bidi="ar-MA"/>
        </w:rPr>
        <w:t>2016</w:t>
      </w:r>
      <w:r w:rsidRPr="00FC66A0">
        <w:rPr>
          <w:rFonts w:ascii="Arial" w:eastAsia="Calibri" w:hAnsi="Arial"/>
          <w:color w:val="000000" w:themeColor="text1"/>
          <w:szCs w:val="26"/>
          <w:rtl/>
          <w:lang w:eastAsia="ar" w:bidi="ar-MA"/>
        </w:rPr>
        <w:t xml:space="preserve"> الخطة الحضرية الجديدة (الأمم المتحدة، </w:t>
      </w:r>
      <w:r w:rsidRPr="00FC66A0">
        <w:rPr>
          <w:rFonts w:ascii="Arial" w:eastAsia="Calibri" w:hAnsi="Arial"/>
          <w:color w:val="000000" w:themeColor="text1"/>
          <w:szCs w:val="26"/>
          <w:lang w:eastAsia="ar" w:bidi="ar-MA"/>
        </w:rPr>
        <w:t>2017</w:t>
      </w:r>
      <w:r w:rsidRPr="00FC66A0">
        <w:rPr>
          <w:rFonts w:ascii="Arial" w:eastAsia="Calibri" w:hAnsi="Arial"/>
          <w:color w:val="000000" w:themeColor="text1"/>
          <w:szCs w:val="26"/>
          <w:rtl/>
          <w:lang w:eastAsia="ar" w:bidi="ar-MA"/>
        </w:rPr>
        <w:t xml:space="preserve">)، التي تركز على القدرة الحضرية على المقاومة، واستدامة المناخ والبيئة، وإدارة </w:t>
      </w:r>
      <w:proofErr w:type="gramStart"/>
      <w:r w:rsidRPr="00FC66A0">
        <w:rPr>
          <w:rFonts w:ascii="Arial" w:eastAsia="Calibri" w:hAnsi="Arial"/>
          <w:color w:val="000000" w:themeColor="text1"/>
          <w:szCs w:val="26"/>
          <w:rtl/>
          <w:lang w:eastAsia="ar" w:bidi="ar-MA"/>
        </w:rPr>
        <w:t>مخاطر</w:t>
      </w:r>
      <w:proofErr w:type="gramEnd"/>
      <w:r w:rsidRPr="00FC66A0">
        <w:rPr>
          <w:rFonts w:ascii="Arial" w:eastAsia="Calibri" w:hAnsi="Arial"/>
          <w:color w:val="000000" w:themeColor="text1"/>
          <w:szCs w:val="26"/>
          <w:rtl/>
          <w:lang w:eastAsia="ar" w:bidi="ar-MA"/>
        </w:rPr>
        <w:t xml:space="preserve"> الكوارث. عقب الاجتماع الذي حضره المجلس الاقتصادي والاجتماعي للأمم المتحدة (</w:t>
      </w:r>
      <w:hyperlink r:id="rId12" w:history="1">
        <w:r w:rsidRPr="00FC66A0">
          <w:rPr>
            <w:rStyle w:val="Hyperlink"/>
            <w:rFonts w:ascii="Arial" w:eastAsia="Calibri" w:hAnsi="Arial"/>
            <w:szCs w:val="26"/>
            <w:rtl/>
            <w:lang w:eastAsia="ar" w:bidi="ar-MA"/>
          </w:rPr>
          <w:t>تنشيط الخطة الحضرية الجديدة لمكافحة التفاوتات المتزايدة - #</w:t>
        </w:r>
        <w:r w:rsidRPr="00FC66A0">
          <w:rPr>
            <w:rStyle w:val="Hyperlink"/>
            <w:rFonts w:ascii="Arial" w:eastAsia="Calibri" w:hAnsi="Arial"/>
            <w:szCs w:val="26"/>
            <w:lang w:eastAsia="ar" w:bidi="en-US"/>
          </w:rPr>
          <w:t>NUA</w:t>
        </w:r>
        <w:r w:rsidRPr="00FC66A0">
          <w:rPr>
            <w:rStyle w:val="Hyperlink"/>
            <w:rFonts w:ascii="Arial" w:eastAsia="Calibri" w:hAnsi="Arial"/>
            <w:szCs w:val="26"/>
            <w:lang w:eastAsia="ar" w:bidi="ar-MA"/>
          </w:rPr>
          <w:t>2030</w:t>
        </w:r>
        <w:r w:rsidRPr="00FC66A0">
          <w:rPr>
            <w:rStyle w:val="Hyperlink"/>
            <w:rFonts w:ascii="Arial" w:eastAsia="Calibri" w:hAnsi="Arial"/>
            <w:szCs w:val="26"/>
            <w:rtl/>
            <w:lang w:eastAsia="ar" w:bidi="ar-MA"/>
          </w:rPr>
          <w:t xml:space="preserve"> | المجلس</w:t>
        </w:r>
      </w:hyperlink>
      <w:r w:rsidRPr="00FC66A0">
        <w:rPr>
          <w:rFonts w:ascii="Arial" w:eastAsia="Calibri" w:hAnsi="Arial"/>
          <w:color w:val="000000" w:themeColor="text1"/>
          <w:szCs w:val="26"/>
          <w:rtl/>
          <w:lang w:eastAsia="ar" w:bidi="ar-MA"/>
        </w:rPr>
        <w:t xml:space="preserve">الاقتصادي والاجتماعي)، وهي تحتاج إلى جهود من المنظمة العالمية للأرصاد الجوية </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lang w:eastAsia="ar" w:bidi="en-US"/>
        </w:rPr>
        <w:t>WMO</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rtl/>
          <w:lang w:eastAsia="ar" w:bidi="ar-MA"/>
        </w:rPr>
        <w:t xml:space="preserve"> لتجميع إسهاماتها في تنقيح الخطة الحضرية الجديدة ودعم الأنشطة المتصلة بالحضر بطريقة شاملة. وتشكل التنمية الحضرية الآن حجر زاوية في أهداف الأمم المتحدة للتنمية المستدامة لعام </w:t>
      </w:r>
      <w:r w:rsidRPr="00FC66A0">
        <w:rPr>
          <w:rFonts w:ascii="Arial" w:eastAsia="Calibri" w:hAnsi="Arial"/>
          <w:color w:val="000000" w:themeColor="text1"/>
          <w:szCs w:val="26"/>
          <w:lang w:eastAsia="ar" w:bidi="ar-MA"/>
        </w:rPr>
        <w:t>2030</w:t>
      </w:r>
      <w:r w:rsidRPr="00FC66A0">
        <w:rPr>
          <w:rFonts w:ascii="Arial" w:eastAsia="Calibri" w:hAnsi="Arial"/>
          <w:color w:val="000000" w:themeColor="text1"/>
          <w:szCs w:val="26"/>
          <w:rtl/>
          <w:lang w:eastAsia="ar" w:bidi="ar-MA"/>
        </w:rPr>
        <w:t xml:space="preserve">. ولهذا الهدف هدفه الخاص بالتنمية المستدامة (الهدف </w:t>
      </w:r>
      <w:r w:rsidRPr="00FC66A0">
        <w:rPr>
          <w:rFonts w:ascii="Arial" w:eastAsia="Calibri" w:hAnsi="Arial"/>
          <w:color w:val="000000" w:themeColor="text1"/>
          <w:szCs w:val="26"/>
          <w:lang w:eastAsia="ar" w:bidi="ar-MA"/>
        </w:rPr>
        <w:t>11</w:t>
      </w:r>
      <w:r w:rsidRPr="00FC66A0">
        <w:rPr>
          <w:rFonts w:ascii="Arial" w:eastAsia="Calibri" w:hAnsi="Arial"/>
          <w:color w:val="000000" w:themeColor="text1"/>
          <w:szCs w:val="26"/>
          <w:rtl/>
          <w:lang w:eastAsia="ar" w:bidi="ar-MA"/>
        </w:rPr>
        <w:t xml:space="preserve"> من أهداف التنمية المستدامة</w:t>
      </w:r>
      <w:r w:rsidRPr="00FC66A0">
        <w:rPr>
          <w:rFonts w:ascii="Arial" w:eastAsia="Calibri" w:hAnsi="Arial"/>
          <w:color w:val="000000" w:themeColor="text1"/>
          <w:szCs w:val="26"/>
          <w:rtl/>
          <w:lang w:eastAsia="ar" w:bidi="ar-EG"/>
        </w:rPr>
        <w:t>):</w:t>
      </w:r>
      <w:r w:rsidRPr="00FC66A0">
        <w:rPr>
          <w:rFonts w:ascii="Arial" w:eastAsia="Calibri" w:hAnsi="Arial"/>
          <w:color w:val="000000" w:themeColor="text1"/>
          <w:szCs w:val="26"/>
          <w:rtl/>
          <w:lang w:eastAsia="ar" w:bidi="ar-MA"/>
        </w:rPr>
        <w:t xml:space="preserve"> جعل المدن شاملة للجميع وآمنة وقادرة على الصمود ومستدامة.</w:t>
      </w:r>
    </w:p>
    <w:p w14:paraId="2BAFD266" w14:textId="1B001960" w:rsidR="00E905B5" w:rsidRPr="00FC66A0" w:rsidRDefault="0070358C" w:rsidP="00FC66A0">
      <w:pPr>
        <w:bidi/>
        <w:spacing w:before="240" w:line="320" w:lineRule="exact"/>
        <w:jc w:val="left"/>
        <w:rPr>
          <w:rFonts w:ascii="Arial" w:eastAsia="Calibri" w:hAnsi="Arial"/>
          <w:color w:val="000000" w:themeColor="text1"/>
          <w:szCs w:val="26"/>
        </w:rPr>
      </w:pPr>
      <w:r w:rsidRPr="00FC66A0">
        <w:rPr>
          <w:rFonts w:ascii="Arial" w:eastAsia="Calibri" w:hAnsi="Arial"/>
          <w:color w:val="000000" w:themeColor="text1"/>
          <w:szCs w:val="26"/>
          <w:rtl/>
          <w:lang w:eastAsia="ar" w:bidi="ar-MA"/>
        </w:rPr>
        <w:t xml:space="preserve">ولدعم تنفيذ الأنشطة الحضرية، أعدت فرقة الخبراء الحضرية المشتركة بين البرامج التابعة للمنظمة </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lang w:eastAsia="ar" w:bidi="en-US"/>
        </w:rPr>
        <w:t>WMO</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rtl/>
          <w:lang w:eastAsia="ar" w:bidi="ar-MA"/>
        </w:rPr>
        <w:t xml:space="preserve"> في إطار لجنة علوم الغلاف الجوي </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lang w:eastAsia="ar" w:bidi="en-US"/>
        </w:rPr>
        <w:t>CAS</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rtl/>
          <w:lang w:eastAsia="ar" w:bidi="ar-MA"/>
        </w:rPr>
        <w:t xml:space="preserve"> ولجنة النظم الأساسية </w:t>
      </w:r>
      <w:r w:rsidRPr="00FC66A0">
        <w:rPr>
          <w:rFonts w:ascii="Arial" w:eastAsia="Calibri" w:hAnsi="Arial"/>
          <w:color w:val="000000" w:themeColor="text1"/>
          <w:szCs w:val="26"/>
          <w:lang w:eastAsia="ar" w:bidi="ar-MA"/>
        </w:rPr>
        <w:t>(2018)</w:t>
      </w:r>
      <w:r w:rsidRPr="00FC66A0">
        <w:rPr>
          <w:rFonts w:ascii="Arial" w:eastAsia="Calibri" w:hAnsi="Arial"/>
          <w:color w:val="000000" w:themeColor="text1"/>
          <w:szCs w:val="26"/>
          <w:rtl/>
          <w:lang w:eastAsia="ar" w:bidi="ar-MA"/>
        </w:rPr>
        <w:t>، بدعم من فرقة مكرسة من المنسقين الحضريين في الأمانة، الإرشادات بشأن الخدمات الحضرية المتكاملة للأرصاد الجوية الهيدرولوجية والمناخ والبيئة (المجلد الأو</w:t>
      </w:r>
      <w:r w:rsidRPr="00FC66A0">
        <w:rPr>
          <w:rFonts w:ascii="Arial" w:eastAsia="Calibri" w:hAnsi="Arial"/>
          <w:color w:val="000000" w:themeColor="text1"/>
          <w:szCs w:val="26"/>
          <w:rtl/>
          <w:lang w:eastAsia="ar" w:bidi="ar-EG"/>
        </w:rPr>
        <w:t>ل:</w:t>
      </w:r>
      <w:r w:rsidRPr="00FC66A0">
        <w:rPr>
          <w:rFonts w:ascii="Arial" w:eastAsia="Calibri" w:hAnsi="Arial"/>
          <w:color w:val="000000" w:themeColor="text1"/>
          <w:szCs w:val="26"/>
          <w:rtl/>
          <w:lang w:eastAsia="ar" w:bidi="ar-MA"/>
        </w:rPr>
        <w:t xml:space="preserve"> المفهوم والمنهجية، </w:t>
      </w:r>
      <w:r w:rsidRPr="00FC66A0">
        <w:rPr>
          <w:rFonts w:ascii="Arial" w:eastAsia="Calibri" w:hAnsi="Arial"/>
          <w:color w:val="000000" w:themeColor="text1"/>
          <w:szCs w:val="26"/>
          <w:lang w:eastAsia="ar" w:bidi="ar-MA"/>
        </w:rPr>
        <w:t>2019</w:t>
      </w:r>
      <w:r w:rsidRPr="00FC66A0">
        <w:rPr>
          <w:rFonts w:ascii="Arial" w:eastAsia="Calibri" w:hAnsi="Arial"/>
          <w:color w:val="000000" w:themeColor="text1"/>
          <w:szCs w:val="26"/>
          <w:rtl/>
          <w:lang w:eastAsia="ar" w:bidi="ar-MA"/>
        </w:rPr>
        <w:t xml:space="preserve"> والمجلد </w:t>
      </w:r>
      <w:r w:rsidRPr="00FC66A0">
        <w:rPr>
          <w:rFonts w:ascii="Arial" w:eastAsia="Calibri" w:hAnsi="Arial"/>
          <w:color w:val="000000" w:themeColor="text1"/>
          <w:szCs w:val="26"/>
          <w:lang w:eastAsia="ar" w:bidi="ar-MA"/>
        </w:rPr>
        <w:t>2</w:t>
      </w:r>
      <w:r w:rsidRPr="00FC66A0">
        <w:rPr>
          <w:rFonts w:ascii="Arial" w:eastAsia="Calibri" w:hAnsi="Arial"/>
          <w:color w:val="000000" w:themeColor="text1"/>
          <w:szCs w:val="26"/>
          <w:rtl/>
          <w:lang w:eastAsia="ar" w:bidi="ar-MA"/>
        </w:rPr>
        <w:t xml:space="preserve">: المدن الإيضاحية، </w:t>
      </w:r>
      <w:r w:rsidRPr="00FC66A0">
        <w:rPr>
          <w:rFonts w:ascii="Arial" w:eastAsia="Calibri" w:hAnsi="Arial"/>
          <w:color w:val="000000" w:themeColor="text1"/>
          <w:szCs w:val="26"/>
          <w:lang w:eastAsia="ar" w:bidi="ar-MA"/>
        </w:rPr>
        <w:t>2020</w:t>
      </w:r>
      <w:r w:rsidRPr="00FC66A0">
        <w:rPr>
          <w:rFonts w:ascii="Arial" w:eastAsia="Calibri" w:hAnsi="Arial"/>
          <w:color w:val="000000" w:themeColor="text1"/>
          <w:szCs w:val="26"/>
          <w:rtl/>
          <w:lang w:eastAsia="ar" w:bidi="ar-MA"/>
        </w:rPr>
        <w:t xml:space="preserve">). في أعقاب إصلاح الهيئات التأسيسية للمنظمة </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lang w:eastAsia="ar" w:bidi="en-US"/>
        </w:rPr>
        <w:t>WMO</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rtl/>
          <w:lang w:eastAsia="ar" w:bidi="ar-MA"/>
        </w:rPr>
        <w:t xml:space="preserve">، شكلت لجنة الخدمات </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lang w:eastAsia="ar" w:bidi="en-US"/>
        </w:rPr>
        <w:t>SERCOM</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rtl/>
          <w:lang w:eastAsia="ar" w:bidi="ar-MA"/>
        </w:rPr>
        <w:t xml:space="preserve"> التي أنشئت حديثا التابعة للمنظمة </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lang w:eastAsia="ar" w:bidi="en-US"/>
        </w:rPr>
        <w:t>WMO</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rtl/>
          <w:lang w:eastAsia="ar" w:bidi="ar-MA"/>
        </w:rPr>
        <w:t xml:space="preserve"> فريق دراسة معني بالخدمات الحضرية المتكاملة </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lang w:eastAsia="ar" w:bidi="en-US"/>
        </w:rPr>
        <w:t>SG-URB</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rtl/>
          <w:lang w:eastAsia="ar" w:bidi="ar-MA"/>
        </w:rPr>
        <w:t xml:space="preserve">. وكلفت اللجنة </w:t>
      </w:r>
      <w:r w:rsidRPr="00FC66A0">
        <w:rPr>
          <w:rFonts w:ascii="Arial" w:eastAsia="Calibri" w:hAnsi="Arial"/>
          <w:color w:val="000000" w:themeColor="text1"/>
          <w:szCs w:val="26"/>
          <w:lang w:eastAsia="ar" w:bidi="en-US"/>
        </w:rPr>
        <w:t>SERCOM</w:t>
      </w:r>
      <w:r w:rsidRPr="00FC66A0">
        <w:rPr>
          <w:rFonts w:ascii="Arial" w:eastAsia="Calibri" w:hAnsi="Arial"/>
          <w:color w:val="000000" w:themeColor="text1"/>
          <w:szCs w:val="26"/>
          <w:rtl/>
          <w:lang w:eastAsia="ar" w:bidi="ar-MA"/>
        </w:rPr>
        <w:t xml:space="preserve"> الفريق </w:t>
      </w:r>
      <w:r w:rsidRPr="00FC66A0">
        <w:rPr>
          <w:rFonts w:ascii="Arial" w:eastAsia="Calibri" w:hAnsi="Arial"/>
          <w:color w:val="000000" w:themeColor="text1"/>
          <w:szCs w:val="26"/>
          <w:lang w:eastAsia="ar" w:bidi="en-US"/>
        </w:rPr>
        <w:t>SG-URB</w:t>
      </w:r>
      <w:r w:rsidRPr="00FC66A0">
        <w:rPr>
          <w:rFonts w:ascii="Arial" w:eastAsia="Calibri" w:hAnsi="Arial"/>
          <w:color w:val="000000" w:themeColor="text1"/>
          <w:szCs w:val="26"/>
          <w:rtl/>
          <w:lang w:eastAsia="ar" w:bidi="ar-MA"/>
        </w:rPr>
        <w:t xml:space="preserve"> باستكشاف الكيفية التي يمكن بها تقديم خدمات الأرصاد الجوية الهيدرولوجية والمناخية والبيئية الحضرية بطريقة أكثر تكاملا. وعكفت هيئات أخرى تابعة للمنظمة </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lang w:eastAsia="ar" w:bidi="en-US"/>
        </w:rPr>
        <w:t>WMO</w:t>
      </w:r>
      <w:r w:rsidRPr="00FC66A0">
        <w:rPr>
          <w:rFonts w:ascii="Arial" w:eastAsia="Calibri" w:hAnsi="Arial"/>
          <w:color w:val="000000" w:themeColor="text1"/>
          <w:szCs w:val="26"/>
          <w:lang w:eastAsia="ar" w:bidi="ar-MA"/>
        </w:rPr>
        <w:t>)</w:t>
      </w:r>
      <w:r w:rsidRPr="00FC66A0">
        <w:rPr>
          <w:rFonts w:ascii="Arial" w:eastAsia="Calibri" w:hAnsi="Arial"/>
          <w:color w:val="000000" w:themeColor="text1"/>
          <w:szCs w:val="26"/>
          <w:rtl/>
          <w:lang w:eastAsia="ar" w:bidi="ar-MA"/>
        </w:rPr>
        <w:t xml:space="preserve"> على إعداد مواد إرشادية وتقديمها بشأن الجوانب المختلفة للبيئة الحضرية (في جزر الاحترار الحضرية، والفيضانات الحضرية، وما إلى ذلك). ويرد ملخص هذه الأنشطة في المرفق </w:t>
      </w:r>
      <w:r w:rsidRPr="00FC66A0">
        <w:rPr>
          <w:rFonts w:ascii="Arial" w:eastAsia="Calibri" w:hAnsi="Arial"/>
          <w:color w:val="000000" w:themeColor="text1"/>
          <w:szCs w:val="26"/>
          <w:lang w:eastAsia="ar" w:bidi="ar-MA"/>
        </w:rPr>
        <w:t>1</w:t>
      </w:r>
      <w:r w:rsidRPr="00FC66A0">
        <w:rPr>
          <w:rFonts w:ascii="Arial" w:eastAsia="Calibri" w:hAnsi="Arial"/>
          <w:color w:val="000000" w:themeColor="text1"/>
          <w:szCs w:val="26"/>
          <w:rtl/>
          <w:lang w:eastAsia="ar" w:bidi="ar-MA"/>
        </w:rPr>
        <w:t>.</w:t>
      </w:r>
    </w:p>
    <w:p w14:paraId="66AF6B38" w14:textId="77777777" w:rsidR="00226109" w:rsidRPr="00FC66A0" w:rsidRDefault="0070358C" w:rsidP="00FC66A0">
      <w:pPr>
        <w:bidi/>
        <w:spacing w:before="240" w:line="320" w:lineRule="exact"/>
        <w:jc w:val="left"/>
        <w:rPr>
          <w:rFonts w:ascii="Arial" w:eastAsia="Calibri" w:hAnsi="Arial"/>
          <w:b/>
          <w:bCs/>
          <w:color w:val="000000" w:themeColor="text1"/>
          <w:szCs w:val="26"/>
        </w:rPr>
      </w:pPr>
      <w:r w:rsidRPr="00FC66A0">
        <w:rPr>
          <w:rFonts w:ascii="Arial" w:eastAsia="Calibri" w:hAnsi="Arial"/>
          <w:b/>
          <w:bCs/>
          <w:color w:val="000000" w:themeColor="text1"/>
          <w:szCs w:val="26"/>
          <w:rtl/>
          <w:lang w:eastAsia="ar" w:bidi="ar-MA"/>
        </w:rPr>
        <w:t>التوصيات العامة لحلقة العمل</w:t>
      </w:r>
    </w:p>
    <w:p w14:paraId="1484CE87" w14:textId="77777777" w:rsidR="0070358C" w:rsidRPr="00FC66A0" w:rsidRDefault="0070358C" w:rsidP="00FC66A0">
      <w:pPr>
        <w:bidi/>
        <w:spacing w:before="240" w:line="320" w:lineRule="exact"/>
        <w:jc w:val="left"/>
        <w:rPr>
          <w:rFonts w:ascii="Arial" w:eastAsia="Calibri" w:hAnsi="Arial"/>
          <w:color w:val="000000" w:themeColor="text1"/>
          <w:szCs w:val="26"/>
        </w:rPr>
      </w:pPr>
      <w:r w:rsidRPr="00FC66A0">
        <w:rPr>
          <w:rFonts w:ascii="Arial" w:eastAsia="Calibri" w:hAnsi="Arial"/>
          <w:color w:val="000000" w:themeColor="text1"/>
          <w:szCs w:val="26"/>
          <w:rtl/>
          <w:lang w:eastAsia="ar" w:bidi="ar-MA"/>
        </w:rPr>
        <w:t>ويمكن الجمع بين الإجراءات الموصى بها التي يمكن أن تفضي إلى تحقيق فوائد للأعضاء في عدة مجموعا</w:t>
      </w:r>
      <w:r w:rsidRPr="00FC66A0">
        <w:rPr>
          <w:rFonts w:ascii="Arial" w:eastAsia="Calibri" w:hAnsi="Arial"/>
          <w:color w:val="000000" w:themeColor="text1"/>
          <w:szCs w:val="26"/>
          <w:rtl/>
          <w:lang w:eastAsia="ar" w:bidi="ar-EG"/>
        </w:rPr>
        <w:t>ت:</w:t>
      </w:r>
    </w:p>
    <w:p w14:paraId="3050B585" w14:textId="77777777" w:rsidR="00FC66A0" w:rsidRDefault="00FC66A0" w:rsidP="00FC66A0">
      <w:pPr>
        <w:bidi/>
        <w:spacing w:before="240" w:line="320" w:lineRule="exact"/>
        <w:ind w:left="1134" w:hanging="567"/>
        <w:jc w:val="left"/>
        <w:rPr>
          <w:rFonts w:ascii="Arial" w:eastAsia="Calibri" w:hAnsi="Arial"/>
          <w:color w:val="000000" w:themeColor="text1"/>
          <w:szCs w:val="26"/>
          <w:rtl/>
          <w:lang w:eastAsia="ar" w:bidi="ar-MA"/>
        </w:rPr>
      </w:pPr>
      <w:r w:rsidRPr="00FC66A0">
        <w:rPr>
          <w:rFonts w:ascii="Symbol" w:eastAsia="Calibri" w:hAnsi="Symbol"/>
          <w:color w:val="000000" w:themeColor="text1"/>
          <w:szCs w:val="26"/>
        </w:rPr>
        <w:lastRenderedPageBreak/>
        <w:t></w:t>
      </w:r>
      <w:r w:rsidRPr="00FC66A0">
        <w:rPr>
          <w:rFonts w:ascii="Symbol" w:eastAsia="Calibri" w:hAnsi="Symbol"/>
          <w:color w:val="000000" w:themeColor="text1"/>
          <w:szCs w:val="26"/>
        </w:rPr>
        <w:tab/>
      </w:r>
      <w:r w:rsidR="00226109" w:rsidRPr="00FC66A0">
        <w:rPr>
          <w:rFonts w:ascii="Arial" w:eastAsia="Calibri" w:hAnsi="Arial"/>
          <w:color w:val="000000" w:themeColor="text1"/>
          <w:szCs w:val="26"/>
          <w:rtl/>
          <w:lang w:eastAsia="ar" w:bidi="ar-MA"/>
        </w:rPr>
        <w:t xml:space="preserve">تحسين تبادل المعلومات بين مجموعات المنظمة </w:t>
      </w:r>
      <w:r w:rsidR="00226109" w:rsidRPr="00FC66A0">
        <w:rPr>
          <w:rFonts w:ascii="Arial" w:eastAsia="Calibri" w:hAnsi="Arial"/>
          <w:color w:val="000000" w:themeColor="text1"/>
          <w:szCs w:val="26"/>
          <w:lang w:eastAsia="ar" w:bidi="ar-MA"/>
        </w:rPr>
        <w:t>(</w:t>
      </w:r>
      <w:r w:rsidR="00226109" w:rsidRPr="00FC66A0">
        <w:rPr>
          <w:rFonts w:ascii="Arial" w:eastAsia="Calibri" w:hAnsi="Arial"/>
          <w:color w:val="000000" w:themeColor="text1"/>
          <w:szCs w:val="26"/>
          <w:lang w:eastAsia="ar" w:bidi="en-US"/>
        </w:rPr>
        <w:t>WMO</w:t>
      </w:r>
      <w:proofErr w:type="gramStart"/>
      <w:r w:rsidR="00226109" w:rsidRPr="00FC66A0">
        <w:rPr>
          <w:rFonts w:ascii="Arial" w:eastAsia="Calibri" w:hAnsi="Arial"/>
          <w:color w:val="000000" w:themeColor="text1"/>
          <w:szCs w:val="26"/>
          <w:lang w:eastAsia="ar" w:bidi="ar-MA"/>
        </w:rPr>
        <w:t>)</w:t>
      </w:r>
      <w:r w:rsidR="00226109" w:rsidRPr="00FC66A0">
        <w:rPr>
          <w:rFonts w:ascii="Arial" w:eastAsia="Calibri" w:hAnsi="Arial"/>
          <w:color w:val="000000" w:themeColor="text1"/>
          <w:szCs w:val="26"/>
          <w:rtl/>
          <w:lang w:eastAsia="ar" w:bidi="ar-MA"/>
        </w:rPr>
        <w:t>؛</w:t>
      </w:r>
      <w:proofErr w:type="gramEnd"/>
    </w:p>
    <w:p w14:paraId="34792BF9" w14:textId="6E258448" w:rsidR="0070358C" w:rsidRPr="00FC66A0" w:rsidRDefault="00FC66A0" w:rsidP="00FC66A0">
      <w:pPr>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30239B" w:rsidRPr="00FC66A0">
        <w:rPr>
          <w:rFonts w:ascii="Arial" w:eastAsia="Calibri" w:hAnsi="Arial"/>
          <w:color w:val="000000" w:themeColor="text1"/>
          <w:szCs w:val="26"/>
          <w:rtl/>
          <w:lang w:eastAsia="ar" w:bidi="ar-MA"/>
        </w:rPr>
        <w:t xml:space="preserve">استراتيجية مشتركة نحو مشاركة المستخدمين، بما في ذلك تعزيز النواتج المتاحة بالفعل في أوساط </w:t>
      </w:r>
      <w:proofErr w:type="gramStart"/>
      <w:r w:rsidR="0030239B" w:rsidRPr="00FC66A0">
        <w:rPr>
          <w:rFonts w:ascii="Arial" w:eastAsia="Calibri" w:hAnsi="Arial"/>
          <w:color w:val="000000" w:themeColor="text1"/>
          <w:szCs w:val="26"/>
          <w:rtl/>
          <w:lang w:eastAsia="ar" w:bidi="ar-MA"/>
        </w:rPr>
        <w:t>المستخدمين؛</w:t>
      </w:r>
      <w:proofErr w:type="gramEnd"/>
    </w:p>
    <w:p w14:paraId="2798AF86" w14:textId="6F17F0B1" w:rsidR="0070358C" w:rsidRPr="00FC66A0" w:rsidRDefault="00FC66A0" w:rsidP="00FC66A0">
      <w:pPr>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30239B" w:rsidRPr="00FC66A0">
        <w:rPr>
          <w:rFonts w:ascii="Arial" w:eastAsia="Calibri" w:hAnsi="Arial"/>
          <w:color w:val="000000" w:themeColor="text1"/>
          <w:szCs w:val="26"/>
          <w:rtl/>
          <w:lang w:eastAsia="ar" w:bidi="ar-MA"/>
        </w:rPr>
        <w:t>تحسين عمليات العمل</w:t>
      </w:r>
    </w:p>
    <w:p w14:paraId="279266C5" w14:textId="39445DA4" w:rsidR="0070358C" w:rsidRPr="00FC66A0" w:rsidRDefault="00FC66A0" w:rsidP="00FC66A0">
      <w:pPr>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254334" w:rsidRPr="00FC66A0">
        <w:rPr>
          <w:rFonts w:ascii="Arial" w:eastAsia="Calibri" w:hAnsi="Arial"/>
          <w:color w:val="000000" w:themeColor="text1"/>
          <w:szCs w:val="26"/>
          <w:rtl/>
          <w:lang w:eastAsia="ar" w:bidi="ar-MA"/>
        </w:rPr>
        <w:t>زيادة المشاركة الاستراتيجية في المشاريع التجريبية المستهدفة</w:t>
      </w:r>
    </w:p>
    <w:p w14:paraId="367D6B29" w14:textId="28443F87" w:rsidR="0070358C" w:rsidRPr="00FC66A0" w:rsidRDefault="00FC66A0" w:rsidP="00FC66A0">
      <w:pPr>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605C9" w:rsidRPr="00FC66A0">
        <w:rPr>
          <w:rFonts w:ascii="Arial" w:eastAsia="Calibri" w:hAnsi="Arial"/>
          <w:color w:val="000000" w:themeColor="text1"/>
          <w:szCs w:val="26"/>
          <w:rtl/>
          <w:lang w:eastAsia="ar" w:bidi="ar-MA"/>
        </w:rPr>
        <w:t>الجهود المشتركة بين المجموعات المختلفة بشأن وضع مواد معيارية</w:t>
      </w:r>
    </w:p>
    <w:p w14:paraId="746CD2CF" w14:textId="77777777" w:rsidR="0070358C" w:rsidRPr="00FC66A0" w:rsidRDefault="0070358C" w:rsidP="00FC66A0">
      <w:pPr>
        <w:bidi/>
        <w:spacing w:before="240" w:line="320" w:lineRule="exact"/>
        <w:jc w:val="left"/>
        <w:rPr>
          <w:rFonts w:ascii="Arial" w:eastAsia="Calibri" w:hAnsi="Arial"/>
          <w:b/>
          <w:bCs/>
          <w:color w:val="000000" w:themeColor="text1"/>
          <w:szCs w:val="26"/>
        </w:rPr>
      </w:pPr>
      <w:r w:rsidRPr="00FC66A0">
        <w:rPr>
          <w:rFonts w:ascii="Arial" w:eastAsia="Calibri" w:hAnsi="Arial"/>
          <w:b/>
          <w:bCs/>
          <w:color w:val="000000" w:themeColor="text1"/>
          <w:szCs w:val="26"/>
          <w:lang w:eastAsia="ar" w:bidi="ar-MA"/>
        </w:rPr>
        <w:t>1</w:t>
      </w:r>
      <w:r w:rsidRPr="00FC66A0">
        <w:rPr>
          <w:rFonts w:ascii="Arial" w:eastAsia="Calibri" w:hAnsi="Arial"/>
          <w:b/>
          <w:bCs/>
          <w:color w:val="000000" w:themeColor="text1"/>
          <w:szCs w:val="26"/>
          <w:rtl/>
          <w:lang w:eastAsia="ar" w:bidi="ar-MA"/>
        </w:rPr>
        <w:t xml:space="preserve">. </w:t>
      </w:r>
      <w:r w:rsidRPr="00FC66A0">
        <w:rPr>
          <w:rFonts w:ascii="Arial" w:eastAsia="Calibri" w:hAnsi="Arial"/>
          <w:b/>
          <w:bCs/>
          <w:color w:val="000000" w:themeColor="text1"/>
          <w:szCs w:val="26"/>
          <w:rtl/>
          <w:lang w:eastAsia="ar" w:bidi="ar-MA"/>
        </w:rPr>
        <w:tab/>
        <w:t>تبادل المعلومات.</w:t>
      </w:r>
    </w:p>
    <w:p w14:paraId="0DE0388D" w14:textId="253A48C3"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وثمة حاجة لأن تكون للأفرقة المختلفة العاملة في مجال البيئة الحضرية قاعدة بيانات مشتركة يمكن من فيها تجميع معلومات المدخلات المتعلقة بالنمذجة والتنبؤ وتقييم المخاطر في المناطق الحضرية. ويمكن للعناصر الأولية أن تستخدم قواعد البيانات البحثية التي أنشأتها أوساط غازات الاحتباس الحراري، والمؤسسة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WUDAPT</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ومخزون التلوث، وغيرهما. ومن شأن هذا الكتالوج (أين ومجموعات البيانات المتاحة) أن يكون مفيدا في رسم خرائط شاملة للأوضاع الاجتماعية - الاقتصادية وشدة التأثر.</w:t>
      </w:r>
    </w:p>
    <w:p w14:paraId="6DE63BAE" w14:textId="77978800"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سيكون من المفيد أن توفر مراكز التنبؤ العددي بالطقس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GDPFS</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xml:space="preserve"> التشغيلية نواتج عالية الاستبانة (كيلومتر) للتنبؤ العددي بالطقس تستخدمها مجموعات الحد من مخاطر الكوارث في التنبؤ على أساس الآثار.</w:t>
      </w:r>
    </w:p>
    <w:p w14:paraId="348C86D6" w14:textId="7D05D2E2"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وستكون حلقات العمل الحضرية التي تنظمها المنظمة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WMO</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xml:space="preserve"> آلية مفيدة لتبادل المعلومات ويمكن تنظيمها مرة كل عامين. وسيركز على آخر التطورات بشأن الرصدات الحضرية، وخدمات النمذجة، والبحوث.</w:t>
      </w:r>
    </w:p>
    <w:p w14:paraId="0E1D86B4" w14:textId="77777777" w:rsidR="0070358C" w:rsidRPr="00FC66A0" w:rsidRDefault="0070358C" w:rsidP="00FC66A0">
      <w:pPr>
        <w:bidi/>
        <w:spacing w:before="240" w:line="320" w:lineRule="exact"/>
        <w:jc w:val="left"/>
        <w:rPr>
          <w:rFonts w:ascii="Arial" w:eastAsia="Calibri" w:hAnsi="Arial"/>
          <w:b/>
          <w:bCs/>
          <w:color w:val="000000" w:themeColor="text1"/>
          <w:szCs w:val="26"/>
        </w:rPr>
      </w:pPr>
      <w:r w:rsidRPr="00FC66A0">
        <w:rPr>
          <w:rFonts w:ascii="Arial" w:eastAsia="Calibri" w:hAnsi="Arial"/>
          <w:b/>
          <w:bCs/>
          <w:color w:val="000000" w:themeColor="text1"/>
          <w:szCs w:val="26"/>
          <w:lang w:eastAsia="ar" w:bidi="ar-MA"/>
        </w:rPr>
        <w:t>2</w:t>
      </w:r>
      <w:r w:rsidRPr="00FC66A0">
        <w:rPr>
          <w:rFonts w:ascii="Arial" w:eastAsia="Calibri" w:hAnsi="Arial"/>
          <w:b/>
          <w:bCs/>
          <w:color w:val="000000" w:themeColor="text1"/>
          <w:szCs w:val="26"/>
          <w:rtl/>
          <w:lang w:eastAsia="ar" w:bidi="ar-MA"/>
        </w:rPr>
        <w:t>.</w:t>
      </w:r>
      <w:r w:rsidRPr="00FC66A0">
        <w:rPr>
          <w:rFonts w:ascii="Arial" w:eastAsia="Calibri" w:hAnsi="Arial"/>
          <w:b/>
          <w:bCs/>
          <w:color w:val="000000" w:themeColor="text1"/>
          <w:szCs w:val="26"/>
          <w:rtl/>
          <w:lang w:eastAsia="ar" w:bidi="ar-MA"/>
        </w:rPr>
        <w:tab/>
        <w:t>إشراك المستخدمين</w:t>
      </w:r>
    </w:p>
    <w:p w14:paraId="1D7FC679" w14:textId="77777777" w:rsid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tl/>
          <w:lang w:eastAsia="ar" w:bidi="ar-MA"/>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وينبغي توعية المستخدمين واستكهولم بالأعمال الحضرية للمنظمة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WMO</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xml:space="preserve"> ونواتج البيانات، وزيادة إشراكهم في عمل الأفرقة التابعة للمنظمة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WMO</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وينبغي تقييم احتياجاتهم وتعليقاتهم بطريقة استباقية.</w:t>
      </w:r>
    </w:p>
    <w:p w14:paraId="5A427D78" w14:textId="77777777" w:rsid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tl/>
          <w:lang w:eastAsia="ar" w:bidi="ar-MA"/>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ويلزم إعداد خرائط شاملة لتحديد الاحتياجات إلى الخدمات الحضرية التي يمكن </w:t>
      </w:r>
      <w:proofErr w:type="spellStart"/>
      <w:r w:rsidR="0070358C" w:rsidRPr="00FC66A0">
        <w:rPr>
          <w:rFonts w:ascii="Arial" w:eastAsia="Calibri" w:hAnsi="Arial"/>
          <w:color w:val="000000" w:themeColor="text1"/>
          <w:szCs w:val="26"/>
          <w:rtl/>
          <w:lang w:eastAsia="ar" w:bidi="ar-MA"/>
        </w:rPr>
        <w:t>تلبيةها</w:t>
      </w:r>
      <w:proofErr w:type="spellEnd"/>
      <w:r w:rsidR="0070358C" w:rsidRPr="00FC66A0">
        <w:rPr>
          <w:rFonts w:ascii="Arial" w:eastAsia="Calibri" w:hAnsi="Arial"/>
          <w:color w:val="000000" w:themeColor="text1"/>
          <w:szCs w:val="26"/>
          <w:rtl/>
          <w:lang w:eastAsia="ar" w:bidi="ar-MA"/>
        </w:rPr>
        <w:t xml:space="preserve"> من خلال القدرات القائمة (على سبيل المثال المقدمة من خلال النظام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GDPFS</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لمجموعة متنوعة من المناطق الحضرية التي لا تمتلك هذه الخدمات حاليا. ويمكن تعزيز هذه القدرات بالتشاور الوثيق مع المستخدم بما في ذلك تعقيباته.</w:t>
      </w:r>
    </w:p>
    <w:p w14:paraId="0F6DB06B" w14:textId="63B60DF6"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وأوصي بالنظر في تقييم القيمة الاجتماعية والاقتصادية حيثما أمكن واستخدامه كمحرك لتطوير النظم. ويعمل الفريق </w:t>
      </w:r>
      <w:r w:rsidR="0070358C" w:rsidRPr="00FC66A0">
        <w:rPr>
          <w:rFonts w:ascii="Arial" w:eastAsia="Calibri" w:hAnsi="Arial"/>
          <w:color w:val="000000" w:themeColor="text1"/>
          <w:szCs w:val="26"/>
          <w:lang w:eastAsia="ar" w:bidi="en-US"/>
        </w:rPr>
        <w:t>SG-URB</w:t>
      </w:r>
      <w:r w:rsidR="0070358C" w:rsidRPr="00FC66A0">
        <w:rPr>
          <w:rFonts w:ascii="Arial" w:eastAsia="Calibri" w:hAnsi="Arial"/>
          <w:color w:val="000000" w:themeColor="text1"/>
          <w:szCs w:val="26"/>
          <w:rtl/>
          <w:lang w:eastAsia="ar" w:bidi="ar-MA"/>
        </w:rPr>
        <w:t xml:space="preserve"> على تطوير المنهجية التي يمكن استخدامها.</w:t>
      </w:r>
    </w:p>
    <w:p w14:paraId="7E15A35A" w14:textId="7CF4A34D"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ومن شأن الدورات التدريبية المنتظمة للمستخدمين وأصحاب المصلحة بشأن القدرات المتاحة أن تحسن استيعاب نواتج المنظمة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WMO</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xml:space="preserve"> وتضمن أن التطورات جارية وفقا للاحتياجات المفصلة.</w:t>
      </w:r>
    </w:p>
    <w:p w14:paraId="3A0C2548" w14:textId="77777777" w:rsidR="00FC66A0" w:rsidRDefault="0070358C" w:rsidP="00FC66A0">
      <w:pPr>
        <w:bidi/>
        <w:spacing w:before="240" w:line="320" w:lineRule="exact"/>
        <w:jc w:val="left"/>
        <w:rPr>
          <w:rFonts w:ascii="Arial" w:eastAsia="Calibri" w:hAnsi="Arial"/>
          <w:b/>
          <w:bCs/>
          <w:color w:val="000000" w:themeColor="text1"/>
          <w:szCs w:val="26"/>
          <w:rtl/>
          <w:lang w:eastAsia="ar" w:bidi="ar-MA"/>
        </w:rPr>
      </w:pPr>
      <w:r w:rsidRPr="00FC66A0">
        <w:rPr>
          <w:rFonts w:ascii="Arial" w:eastAsia="Calibri" w:hAnsi="Arial"/>
          <w:b/>
          <w:bCs/>
          <w:color w:val="000000" w:themeColor="text1"/>
          <w:szCs w:val="26"/>
          <w:lang w:eastAsia="ar" w:bidi="ar-MA"/>
        </w:rPr>
        <w:t>3</w:t>
      </w:r>
      <w:r w:rsidRPr="00FC66A0">
        <w:rPr>
          <w:rFonts w:ascii="Arial" w:eastAsia="Calibri" w:hAnsi="Arial"/>
          <w:b/>
          <w:bCs/>
          <w:color w:val="000000" w:themeColor="text1"/>
          <w:szCs w:val="26"/>
          <w:rtl/>
          <w:lang w:eastAsia="ar" w:bidi="ar-MA"/>
        </w:rPr>
        <w:t>.</w:t>
      </w:r>
      <w:r w:rsidRPr="00FC66A0">
        <w:rPr>
          <w:rFonts w:ascii="Arial" w:eastAsia="Calibri" w:hAnsi="Arial"/>
          <w:b/>
          <w:bCs/>
          <w:color w:val="000000" w:themeColor="text1"/>
          <w:szCs w:val="26"/>
          <w:rtl/>
          <w:lang w:eastAsia="ar" w:bidi="ar-MA"/>
        </w:rPr>
        <w:tab/>
        <w:t>عمليات العمل</w:t>
      </w:r>
    </w:p>
    <w:p w14:paraId="777BF105" w14:textId="40954886"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وقد تكون هناك قيمة في إنشاء فريق من المنسقين في الأمانة والأفرقة المقابلة بين الأفرقة ذات الصلة بالحضر التابعة للمنظمة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WMO</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w:t>
      </w:r>
    </w:p>
    <w:p w14:paraId="68DA48BF" w14:textId="467FA54F"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lastRenderedPageBreak/>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وتشجع الأفرقة الموجهة نحو الخدمات على تحويل احتياجات المستخدمين إلى متطلبات فنية للنظام. وينبغي تحديد هذه المتطلبات فيما يتعلق بخدمات محددة مع وصف واضح لما ترغب الخدمة في تحقيقه، مع تحديد الجمهور المستهدف والهدف ومستوى الخدمة تحديدا واضحا. وينبغي أن تعمل أفرقة الخدمات معا بشكل وثيق لتعميم هذه المتطلبات قبل نقلها إلى البنية التحتية.</w:t>
      </w:r>
    </w:p>
    <w:p w14:paraId="062DAFB8" w14:textId="77777777" w:rsid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tl/>
          <w:lang w:eastAsia="ar" w:bidi="ar-MA"/>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يوصى بتطوير عملية الاستعراض المستمر للمتطلبات لتكون قادرة على تقديم إرشادات في المستقبل من أجل تحسين نظم الرصد الحضرية وإدماجها. وسيكون من المفيد لأفرقة البحوث العمل معا بشكل أوثق لمعالجة أهم جوانب البحوث الحضرية التي تفضي إلى فوائد تشغيلية سريعة.</w:t>
      </w:r>
    </w:p>
    <w:p w14:paraId="562AE2C6" w14:textId="3F5A4C4B" w:rsidR="00226DF1"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وسيساعد أيضا إذا قامت دوائر البحوث بتقييم/ تقييم منتظم فيما يتعلق بالجهاز التشغيلي لقدرات نمذجة البحوث، وإسداء المشورة بشأن تلك العمليات إلى النظام العالمي لمعالجة البيانات والهيدرولوجيا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GDPFS</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w:t>
      </w:r>
    </w:p>
    <w:p w14:paraId="464A9CEC" w14:textId="77777777" w:rsidR="0070358C" w:rsidRPr="00FC66A0" w:rsidRDefault="0070358C" w:rsidP="00FC66A0">
      <w:pPr>
        <w:keepNext/>
        <w:bidi/>
        <w:spacing w:before="240" w:line="320" w:lineRule="exact"/>
        <w:jc w:val="left"/>
        <w:rPr>
          <w:rFonts w:ascii="Arial" w:eastAsia="Calibri" w:hAnsi="Arial"/>
          <w:b/>
          <w:bCs/>
          <w:color w:val="000000" w:themeColor="text1"/>
          <w:szCs w:val="26"/>
        </w:rPr>
      </w:pPr>
      <w:r w:rsidRPr="00FC66A0">
        <w:rPr>
          <w:rFonts w:ascii="Arial" w:eastAsia="Calibri" w:hAnsi="Arial"/>
          <w:b/>
          <w:bCs/>
          <w:color w:val="000000" w:themeColor="text1"/>
          <w:szCs w:val="26"/>
          <w:lang w:eastAsia="ar" w:bidi="ar-MA"/>
        </w:rPr>
        <w:t>4</w:t>
      </w:r>
      <w:r w:rsidRPr="00FC66A0">
        <w:rPr>
          <w:rFonts w:ascii="Arial" w:eastAsia="Calibri" w:hAnsi="Arial"/>
          <w:b/>
          <w:bCs/>
          <w:color w:val="000000" w:themeColor="text1"/>
          <w:szCs w:val="26"/>
          <w:rtl/>
          <w:lang w:eastAsia="ar" w:bidi="ar-MA"/>
        </w:rPr>
        <w:t>.</w:t>
      </w:r>
      <w:r w:rsidRPr="00FC66A0">
        <w:rPr>
          <w:rFonts w:ascii="Arial" w:eastAsia="Calibri" w:hAnsi="Arial"/>
          <w:b/>
          <w:bCs/>
          <w:color w:val="000000" w:themeColor="text1"/>
          <w:szCs w:val="26"/>
          <w:rtl/>
          <w:lang w:eastAsia="ar" w:bidi="ar-MA"/>
        </w:rPr>
        <w:tab/>
        <w:t>المشاريع التجريبية</w:t>
      </w:r>
    </w:p>
    <w:p w14:paraId="3772DF27" w14:textId="71709F8F" w:rsidR="0070358C" w:rsidRPr="00FC66A0" w:rsidRDefault="00FC66A0" w:rsidP="00FC66A0">
      <w:pPr>
        <w:keepNext/>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وهناك حاجة إلى وجود كتالوج مشترك للمشاريع التجريبية والإيضاحية بين الأفرقة المختلفة وتعزيز التعاون بين الأطراف.</w:t>
      </w:r>
    </w:p>
    <w:p w14:paraId="4CE7B7B4" w14:textId="743D3907"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وينبغي أن تبحث المنظمة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WMO</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xml:space="preserve"> المشاريع التجريبية الجارية التي تدعمها المنظمات الأخرى (مثل مكتب الأمم المتحدة للحد من مخاطر الكوارث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UNDRR</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xml:space="preserve">، والبنك الدولي، وبرنامج الأمم المتحدة للبيئة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UNEP</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و</w:t>
      </w:r>
      <w:r w:rsidR="0070358C" w:rsidRPr="00FC66A0">
        <w:rPr>
          <w:rFonts w:ascii="Arial" w:eastAsia="Calibri" w:hAnsi="Arial"/>
          <w:color w:val="000000" w:themeColor="text1"/>
          <w:szCs w:val="26"/>
          <w:lang w:eastAsia="ar" w:bidi="en-US"/>
        </w:rPr>
        <w:t>ICLEI</w:t>
      </w:r>
      <w:r w:rsidR="0070358C" w:rsidRPr="00FC66A0">
        <w:rPr>
          <w:rFonts w:ascii="Arial" w:eastAsia="Calibri" w:hAnsi="Arial"/>
          <w:color w:val="000000" w:themeColor="text1"/>
          <w:szCs w:val="26"/>
          <w:rtl/>
          <w:lang w:eastAsia="ar" w:bidi="ar-MA"/>
        </w:rPr>
        <w:t>)، وأن تنظر في المشاركة بشكل استباقي.</w:t>
      </w:r>
    </w:p>
    <w:p w14:paraId="707F5ABD" w14:textId="3B8F54D9"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ينبغي أن تعمل اللجان الفنية ومجلس البحوث مع الاتحادات الإقليمية </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lang w:eastAsia="ar" w:bidi="en-US"/>
        </w:rPr>
        <w:t>RAs</w:t>
      </w:r>
      <w:r w:rsidR="0070358C" w:rsidRPr="00FC66A0">
        <w:rPr>
          <w:rFonts w:ascii="Arial" w:eastAsia="Calibri" w:hAnsi="Arial"/>
          <w:color w:val="000000" w:themeColor="text1"/>
          <w:szCs w:val="26"/>
          <w:lang w:eastAsia="ar" w:bidi="ar-MA"/>
        </w:rPr>
        <w:t>)</w:t>
      </w:r>
      <w:r w:rsidR="0070358C" w:rsidRPr="00FC66A0">
        <w:rPr>
          <w:rFonts w:ascii="Arial" w:eastAsia="Calibri" w:hAnsi="Arial"/>
          <w:color w:val="000000" w:themeColor="text1"/>
          <w:szCs w:val="26"/>
          <w:rtl/>
          <w:lang w:eastAsia="ar" w:bidi="ar-MA"/>
        </w:rPr>
        <w:t xml:space="preserve"> على اختيار مدن ملائمة لتنفيذ مشاريع تجريبية مشتركة لاختبار التكنولوجيات الجديدة (الأدوات، والطرق، ونماذج التنبؤ العددي بالطقس دون الكيلومتر، والنواتج لا سيما لدعم التنبؤ/ الإنذار بالأخطار المتعددة في البيئات الحضرية).</w:t>
      </w:r>
    </w:p>
    <w:p w14:paraId="60C90982" w14:textId="77777777" w:rsidR="0070358C" w:rsidRPr="00FC66A0" w:rsidRDefault="0070358C" w:rsidP="00FC66A0">
      <w:pPr>
        <w:bidi/>
        <w:spacing w:before="240" w:line="320" w:lineRule="exact"/>
        <w:jc w:val="left"/>
        <w:rPr>
          <w:rFonts w:ascii="Arial" w:eastAsia="Calibri" w:hAnsi="Arial"/>
          <w:b/>
          <w:bCs/>
          <w:color w:val="000000" w:themeColor="text1"/>
          <w:szCs w:val="26"/>
        </w:rPr>
      </w:pPr>
      <w:r w:rsidRPr="00FC66A0">
        <w:rPr>
          <w:rFonts w:ascii="Arial" w:eastAsia="Calibri" w:hAnsi="Arial"/>
          <w:b/>
          <w:bCs/>
          <w:color w:val="000000" w:themeColor="text1"/>
          <w:szCs w:val="26"/>
          <w:lang w:eastAsia="ar" w:bidi="ar-MA"/>
        </w:rPr>
        <w:t>5</w:t>
      </w:r>
      <w:r w:rsidRPr="00FC66A0">
        <w:rPr>
          <w:rFonts w:ascii="Arial" w:eastAsia="Calibri" w:hAnsi="Arial"/>
          <w:b/>
          <w:bCs/>
          <w:color w:val="000000" w:themeColor="text1"/>
          <w:szCs w:val="26"/>
          <w:rtl/>
          <w:lang w:eastAsia="ar" w:bidi="ar-MA"/>
        </w:rPr>
        <w:t>.</w:t>
      </w:r>
      <w:r w:rsidRPr="00FC66A0">
        <w:rPr>
          <w:rFonts w:ascii="Arial" w:eastAsia="Calibri" w:hAnsi="Arial"/>
          <w:b/>
          <w:bCs/>
          <w:color w:val="000000" w:themeColor="text1"/>
          <w:szCs w:val="26"/>
          <w:rtl/>
          <w:lang w:eastAsia="ar" w:bidi="ar-MA"/>
        </w:rPr>
        <w:tab/>
        <w:t>المواد المعيارية</w:t>
      </w:r>
    </w:p>
    <w:p w14:paraId="1B7E9C04" w14:textId="15326B51"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 xml:space="preserve">وضع معايير وبروتوكولات وتوصيات قياس مشتركة لأدوات الرصد الجديدة/ غير التقليدية استنادا إلى الأعمال التي بدأت بالفعل (بما في ذلك أجهزة الاستشعار المنخفضة التكلفة وعلم المواطنين) والتي تشمل جميع الفئات الحضرية. وينبغي أن يتضمن ذلك منهجية للحصول على كل من أنواع البيانات </w:t>
      </w:r>
      <w:proofErr w:type="gramStart"/>
      <w:r w:rsidR="0070358C" w:rsidRPr="00FC66A0">
        <w:rPr>
          <w:rFonts w:ascii="Arial" w:eastAsia="Calibri" w:hAnsi="Arial"/>
          <w:color w:val="000000" w:themeColor="text1"/>
          <w:szCs w:val="26"/>
          <w:rtl/>
          <w:lang w:eastAsia="ar" w:bidi="ar-MA"/>
        </w:rPr>
        <w:t>المنظمة</w:t>
      </w:r>
      <w:proofErr w:type="gramEnd"/>
      <w:r w:rsidR="0070358C" w:rsidRPr="00FC66A0">
        <w:rPr>
          <w:rFonts w:ascii="Arial" w:eastAsia="Calibri" w:hAnsi="Arial"/>
          <w:color w:val="000000" w:themeColor="text1"/>
          <w:szCs w:val="26"/>
          <w:rtl/>
          <w:lang w:eastAsia="ar" w:bidi="ar-MA"/>
        </w:rPr>
        <w:t xml:space="preserve"> وغير المنظمة وتحليلها وتقاسمها.</w:t>
      </w:r>
    </w:p>
    <w:p w14:paraId="63340C7C" w14:textId="6B5D778F" w:rsidR="0070358C"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وضع/ إنشاء مختبرات ومقاييس للنماذج عالية الاستبانة (على سبيل المثال من خلال اتحاد التوائم الرقمية).</w:t>
      </w:r>
    </w:p>
    <w:p w14:paraId="12BFBEBC" w14:textId="3C961B02" w:rsidR="00FC66A0" w:rsidRPr="00FC66A0" w:rsidRDefault="00FC66A0" w:rsidP="00FC66A0">
      <w:pPr>
        <w:tabs>
          <w:tab w:val="clear" w:pos="1134"/>
        </w:tabs>
        <w:bidi/>
        <w:spacing w:before="240" w:line="320" w:lineRule="exact"/>
        <w:ind w:left="1134" w:hanging="567"/>
        <w:jc w:val="left"/>
        <w:rPr>
          <w:rFonts w:ascii="Arial" w:eastAsia="Calibri" w:hAnsi="Arial"/>
          <w:color w:val="000000" w:themeColor="text1"/>
          <w:szCs w:val="26"/>
          <w:rtl/>
        </w:rPr>
      </w:pPr>
      <w:r w:rsidRPr="00FC66A0">
        <w:rPr>
          <w:rFonts w:ascii="Symbol" w:eastAsia="Calibri" w:hAnsi="Symbol"/>
          <w:color w:val="000000" w:themeColor="text1"/>
          <w:szCs w:val="26"/>
        </w:rPr>
        <w:t></w:t>
      </w:r>
      <w:r w:rsidRPr="00FC66A0">
        <w:rPr>
          <w:rFonts w:ascii="Symbol" w:eastAsia="Calibri" w:hAnsi="Symbol"/>
          <w:color w:val="000000" w:themeColor="text1"/>
          <w:szCs w:val="26"/>
        </w:rPr>
        <w:tab/>
      </w:r>
      <w:r w:rsidR="0070358C" w:rsidRPr="00FC66A0">
        <w:rPr>
          <w:rFonts w:ascii="Arial" w:eastAsia="Calibri" w:hAnsi="Arial"/>
          <w:color w:val="000000" w:themeColor="text1"/>
          <w:szCs w:val="26"/>
          <w:rtl/>
          <w:lang w:eastAsia="ar" w:bidi="ar-MA"/>
        </w:rPr>
        <w:t>تقييم المواد الإرشادية التي تعدها مجموعات مختلفة لإرساء اتساقها الداخلي، وإنشاء كتالوج بهذه المواد الإرشادية، وبناء تدريب المستخدمين على تلك المواد.</w:t>
      </w:r>
    </w:p>
    <w:p w14:paraId="24F6E470" w14:textId="3D236AAA" w:rsidR="00DD1D87" w:rsidRPr="00FC66A0" w:rsidRDefault="00DD1D87" w:rsidP="00FC66A0">
      <w:pPr>
        <w:pStyle w:val="WMOBodyText"/>
        <w:bidi/>
        <w:spacing w:line="320" w:lineRule="exact"/>
        <w:jc w:val="center"/>
        <w:rPr>
          <w:rFonts w:ascii="Arial" w:hAnsi="Arial" w:cs="Arial"/>
          <w:szCs w:val="26"/>
          <w:lang w:eastAsia="en-US"/>
        </w:rPr>
      </w:pPr>
      <w:r w:rsidRPr="00FC66A0">
        <w:rPr>
          <w:rFonts w:ascii="Arial" w:hAnsi="Arial" w:cs="Arial"/>
          <w:szCs w:val="26"/>
          <w:rtl/>
          <w:lang w:eastAsia="ar" w:bidi="ar-MA"/>
        </w:rPr>
        <w:t>_______________</w:t>
      </w:r>
    </w:p>
    <w:sectPr w:rsidR="00DD1D87" w:rsidRPr="00FC66A0"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52A0" w14:textId="77777777" w:rsidR="00B9400E" w:rsidRDefault="00B9400E">
      <w:r>
        <w:separator/>
      </w:r>
    </w:p>
    <w:p w14:paraId="240AB618" w14:textId="77777777" w:rsidR="00B9400E" w:rsidRDefault="00B9400E"/>
    <w:p w14:paraId="49F874D6" w14:textId="77777777" w:rsidR="00B9400E" w:rsidRDefault="00B9400E"/>
  </w:endnote>
  <w:endnote w:type="continuationSeparator" w:id="0">
    <w:p w14:paraId="30A3949B" w14:textId="77777777" w:rsidR="00B9400E" w:rsidRDefault="00B9400E">
      <w:r>
        <w:continuationSeparator/>
      </w:r>
    </w:p>
    <w:p w14:paraId="0E88DB5F" w14:textId="77777777" w:rsidR="00B9400E" w:rsidRDefault="00B9400E"/>
    <w:p w14:paraId="335495EB" w14:textId="77777777" w:rsidR="00B9400E" w:rsidRDefault="00B9400E"/>
  </w:endnote>
  <w:endnote w:type="continuationNotice" w:id="1">
    <w:p w14:paraId="04DA9D11" w14:textId="77777777" w:rsidR="00B9400E" w:rsidRDefault="00B94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DE50" w14:textId="77777777" w:rsidR="00B9400E" w:rsidRDefault="00B9400E">
      <w:r>
        <w:separator/>
      </w:r>
    </w:p>
  </w:footnote>
  <w:footnote w:type="continuationSeparator" w:id="0">
    <w:p w14:paraId="0DF59FCE" w14:textId="77777777" w:rsidR="00B9400E" w:rsidRDefault="00B9400E">
      <w:r>
        <w:continuationSeparator/>
      </w:r>
    </w:p>
    <w:p w14:paraId="230057DD" w14:textId="77777777" w:rsidR="00B9400E" w:rsidRDefault="00B9400E"/>
    <w:p w14:paraId="5F376B56" w14:textId="77777777" w:rsidR="00B9400E" w:rsidRDefault="00B9400E"/>
  </w:footnote>
  <w:footnote w:type="continuationNotice" w:id="1">
    <w:p w14:paraId="48E80D0E" w14:textId="77777777" w:rsidR="00B9400E" w:rsidRDefault="00B94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352A" w14:textId="6C440684" w:rsidR="006229EE" w:rsidRDefault="000246CD">
    <w:pPr>
      <w:pStyle w:val="Header"/>
      <w:bidi/>
    </w:pPr>
    <w:r>
      <w:rPr>
        <w:noProof/>
        <w:lang w:eastAsia="ar" w:bidi="ar-MA"/>
      </w:rPr>
      <mc:AlternateContent>
        <mc:Choice Requires="wps">
          <w:drawing>
            <wp:anchor distT="0" distB="0" distL="114300" distR="114300" simplePos="0" relativeHeight="251650048" behindDoc="0" locked="0" layoutInCell="1" allowOverlap="1" wp14:anchorId="03EB1685" wp14:editId="6543A72E">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FEDF0" id="Rectangle 16"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w:drawing>
        <wp:anchor distT="0" distB="0" distL="114300" distR="114300" simplePos="0" relativeHeight="251665408" behindDoc="1" locked="0" layoutInCell="0" allowOverlap="1" wp14:anchorId="6CCB94ED" wp14:editId="68930646">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7094A9A" w14:textId="77777777" w:rsidR="005444E2" w:rsidRDefault="005444E2">
    <w:pPr>
      <w:bidi/>
    </w:pPr>
  </w:p>
  <w:p w14:paraId="0A7FAE38" w14:textId="0C341228" w:rsidR="006229EE" w:rsidRDefault="000246CD">
    <w:pPr>
      <w:pStyle w:val="Header"/>
      <w:bidi/>
    </w:pPr>
    <w:r>
      <w:rPr>
        <w:noProof/>
        <w:lang w:eastAsia="ar" w:bidi="ar-MA"/>
      </w:rPr>
      <mc:AlternateContent>
        <mc:Choice Requires="wps">
          <w:drawing>
            <wp:anchor distT="0" distB="0" distL="114300" distR="114300" simplePos="0" relativeHeight="251651072" behindDoc="0" locked="0" layoutInCell="1" allowOverlap="1" wp14:anchorId="591D332B" wp14:editId="2500010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67334" id="Rectangle 14"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w:drawing>
        <wp:anchor distT="0" distB="0" distL="114300" distR="114300" simplePos="0" relativeHeight="251664384" behindDoc="1" locked="0" layoutInCell="0" allowOverlap="1" wp14:anchorId="5040E830" wp14:editId="0E6A128F">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F4B5DA1" w14:textId="77777777" w:rsidR="005444E2" w:rsidRDefault="005444E2">
    <w:pPr>
      <w:bidi/>
    </w:pPr>
  </w:p>
  <w:p w14:paraId="6953C7AC" w14:textId="48751DE0" w:rsidR="006229EE" w:rsidRDefault="000246CD">
    <w:pPr>
      <w:pStyle w:val="Header"/>
      <w:bidi/>
    </w:pPr>
    <w:r>
      <w:rPr>
        <w:noProof/>
        <w:lang w:eastAsia="ar" w:bidi="ar-MA"/>
      </w:rPr>
      <mc:AlternateContent>
        <mc:Choice Requires="wps">
          <w:drawing>
            <wp:anchor distT="0" distB="0" distL="114300" distR="114300" simplePos="0" relativeHeight="251652096" behindDoc="0" locked="0" layoutInCell="1" allowOverlap="1" wp14:anchorId="65186508" wp14:editId="547C87D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D703A" id="Rectangle 1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w:drawing>
        <wp:anchor distT="0" distB="0" distL="114300" distR="114300" simplePos="0" relativeHeight="251663360" behindDoc="1" locked="0" layoutInCell="0" allowOverlap="1" wp14:anchorId="73E8DDD0" wp14:editId="0859EDD6">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E1FF7B0" w14:textId="77777777" w:rsidR="005444E2" w:rsidRDefault="005444E2">
    <w:pPr>
      <w:bidi/>
    </w:pPr>
  </w:p>
  <w:p w14:paraId="3B6DEB7C" w14:textId="7F153D81" w:rsidR="00313CA2" w:rsidRDefault="000246CD">
    <w:pPr>
      <w:pStyle w:val="Header"/>
      <w:bidi/>
    </w:pPr>
    <w:r>
      <w:rPr>
        <w:noProof/>
        <w:lang w:eastAsia="ar" w:bidi="ar-MA"/>
      </w:rPr>
      <mc:AlternateContent>
        <mc:Choice Requires="wps">
          <w:drawing>
            <wp:anchor distT="0" distB="0" distL="114300" distR="114300" simplePos="0" relativeHeight="251658240" behindDoc="0" locked="0" layoutInCell="1" allowOverlap="1" wp14:anchorId="479262B5" wp14:editId="5B69A61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FE3A5" id="Rectangle 1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mc:AlternateContent>
        <mc:Choice Requires="wps">
          <w:drawing>
            <wp:anchor distT="0" distB="0" distL="114300" distR="114300" simplePos="0" relativeHeight="251653120" behindDoc="0" locked="0" layoutInCell="1" allowOverlap="1" wp14:anchorId="55E19431" wp14:editId="30326ED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FBA91" id="Rectangle 9"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23948">
      <w:rPr>
        <w:lang w:eastAsia="ar" w:bidi="ar-MA"/>
      </w:rPr>
      <w:pict w14:anchorId="49FEFEDB">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preferrelative="t" o:allowincell="f">
          <v:imagedata r:id="rId2"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3FB" w14:textId="28D39C98" w:rsidR="000246CD" w:rsidRPr="000246CD" w:rsidRDefault="000246CD" w:rsidP="000246CD">
    <w:pPr>
      <w:pStyle w:val="Header"/>
      <w:rPr>
        <w:rFonts w:ascii="Arial" w:hAnsi="Arial"/>
      </w:rPr>
    </w:pPr>
    <w:r w:rsidRPr="000246CD">
      <w:rPr>
        <w:rFonts w:ascii="Arial" w:hAnsi="Arial"/>
      </w:rPr>
      <w:t xml:space="preserve">SERCOM-2/INF. 5.11, p. </w:t>
    </w:r>
    <w:r w:rsidRPr="000246CD">
      <w:rPr>
        <w:rStyle w:val="PageNumber"/>
        <w:rFonts w:ascii="Arial" w:hAnsi="Arial"/>
      </w:rPr>
      <w:fldChar w:fldCharType="begin"/>
    </w:r>
    <w:r w:rsidRPr="000246CD">
      <w:rPr>
        <w:rStyle w:val="PageNumber"/>
        <w:rFonts w:ascii="Arial" w:hAnsi="Arial"/>
      </w:rPr>
      <w:instrText xml:space="preserve"> PAGE </w:instrText>
    </w:r>
    <w:r w:rsidRPr="000246CD">
      <w:rPr>
        <w:rStyle w:val="PageNumber"/>
        <w:rFonts w:ascii="Arial" w:hAnsi="Arial"/>
      </w:rPr>
      <w:fldChar w:fldCharType="separate"/>
    </w:r>
    <w:r w:rsidRPr="000246CD">
      <w:rPr>
        <w:rStyle w:val="PageNumber"/>
        <w:rFonts w:ascii="Arial" w:hAnsi="Arial"/>
      </w:rPr>
      <w:t>2</w:t>
    </w:r>
    <w:r w:rsidRPr="000246CD">
      <w:rPr>
        <w:rStyle w:val="PageNumber"/>
        <w:rFonts w:ascii="Arial" w:hAnsi="Arial"/>
      </w:rPr>
      <w:fldChar w:fldCharType="end"/>
    </w:r>
    <w:r w:rsidRPr="000246CD">
      <w:rPr>
        <w:rFonts w:ascii="Arial" w:hAnsi="Arial"/>
        <w:noProof/>
      </w:rPr>
      <mc:AlternateContent>
        <mc:Choice Requires="wps">
          <w:drawing>
            <wp:anchor distT="0" distB="0" distL="114300" distR="114300" simplePos="0" relativeHeight="251665920" behindDoc="0" locked="0" layoutInCell="1" allowOverlap="1" wp14:anchorId="5E73FA66" wp14:editId="58AE111E">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CC47A" id="Rectangle 20" o:spid="_x0000_s1026" style="position:absolute;left:0;text-align:left;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246CD">
      <w:rPr>
        <w:rFonts w:ascii="Arial" w:hAnsi="Arial"/>
        <w:noProof/>
      </w:rPr>
      <mc:AlternateContent>
        <mc:Choice Requires="wps">
          <w:drawing>
            <wp:anchor distT="0" distB="0" distL="114300" distR="114300" simplePos="0" relativeHeight="251667968" behindDoc="0" locked="0" layoutInCell="1" allowOverlap="1" wp14:anchorId="2259F7D1" wp14:editId="23F52DD0">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96E6E" id="Rectangle 19" o:spid="_x0000_s1026" style="position:absolute;left:0;text-align:left;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246CD">
      <w:rPr>
        <w:rFonts w:ascii="Arial" w:hAnsi="Arial"/>
        <w:noProof/>
      </w:rPr>
      <mc:AlternateContent>
        <mc:Choice Requires="wps">
          <w:drawing>
            <wp:anchor distT="0" distB="0" distL="114300" distR="114300" simplePos="0" relativeHeight="251661824" behindDoc="0" locked="0" layoutInCell="1" allowOverlap="1" wp14:anchorId="7084E1D1" wp14:editId="791F907B">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097C6" id="Rectangle 18" o:spid="_x0000_s1026"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246CD">
      <w:rPr>
        <w:rFonts w:ascii="Arial" w:hAnsi="Arial"/>
        <w:noProof/>
      </w:rPr>
      <mc:AlternateContent>
        <mc:Choice Requires="wps">
          <w:drawing>
            <wp:anchor distT="0" distB="0" distL="114300" distR="114300" simplePos="0" relativeHeight="251663872" behindDoc="0" locked="0" layoutInCell="1" allowOverlap="1" wp14:anchorId="34D80769" wp14:editId="5DD71A0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FD6A" id="Rectangle 17" o:spid="_x0000_s1026" style="position:absolute;left:0;text-align:left;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B69" w14:textId="09CA0390" w:rsidR="00313CA2" w:rsidRDefault="000246CD" w:rsidP="00DD1D87">
    <w:pPr>
      <w:pStyle w:val="Header"/>
      <w:bidi/>
      <w:spacing w:after="0"/>
    </w:pPr>
    <w:r>
      <w:rPr>
        <w:noProof/>
        <w:lang w:eastAsia="ar" w:bidi="ar-MA"/>
      </w:rPr>
      <mc:AlternateContent>
        <mc:Choice Requires="wps">
          <w:drawing>
            <wp:anchor distT="0" distB="0" distL="114300" distR="114300" simplePos="0" relativeHeight="251661312" behindDoc="0" locked="0" layoutInCell="1" allowOverlap="1" wp14:anchorId="40300567" wp14:editId="0898F63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5C39" id="Rectangle 4"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mc:AlternateContent>
        <mc:Choice Requires="wps">
          <w:drawing>
            <wp:anchor distT="0" distB="0" distL="114300" distR="114300" simplePos="0" relativeHeight="251656192" behindDoc="0" locked="0" layoutInCell="1" allowOverlap="1" wp14:anchorId="0D4C09C7" wp14:editId="6048ABB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137D3" id="Rectangle 2"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eastAsia="ar" w:bidi="ar-MA"/>
      </w:rPr>
      <mc:AlternateContent>
        <mc:Choice Requires="wps">
          <w:drawing>
            <wp:anchor distT="0" distB="0" distL="114300" distR="114300" simplePos="0" relativeHeight="251657216" behindDoc="0" locked="0" layoutInCell="1" allowOverlap="1" wp14:anchorId="12B2E4C0" wp14:editId="1030B424">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FED6" id="Rectangle 1"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F3E9"/>
    <w:multiLevelType w:val="hybridMultilevel"/>
    <w:tmpl w:val="FFFFFFFF"/>
    <w:lvl w:ilvl="0" w:tplc="90EC3814">
      <w:start w:val="1"/>
      <w:numFmt w:val="bullet"/>
      <w:lvlText w:val=""/>
      <w:lvlJc w:val="left"/>
      <w:pPr>
        <w:ind w:left="720" w:hanging="360"/>
      </w:pPr>
      <w:rPr>
        <w:rFonts w:ascii="Symbol" w:hAnsi="Symbol" w:hint="default"/>
      </w:rPr>
    </w:lvl>
    <w:lvl w:ilvl="1" w:tplc="A4946F66">
      <w:start w:val="1"/>
      <w:numFmt w:val="bullet"/>
      <w:lvlText w:val="o"/>
      <w:lvlJc w:val="left"/>
      <w:pPr>
        <w:ind w:left="1440" w:hanging="360"/>
      </w:pPr>
      <w:rPr>
        <w:rFonts w:ascii="Courier New" w:hAnsi="Courier New" w:hint="default"/>
      </w:rPr>
    </w:lvl>
    <w:lvl w:ilvl="2" w:tplc="1E3EA3D4">
      <w:start w:val="1"/>
      <w:numFmt w:val="bullet"/>
      <w:lvlText w:val=""/>
      <w:lvlJc w:val="left"/>
      <w:pPr>
        <w:ind w:left="2160" w:hanging="360"/>
      </w:pPr>
      <w:rPr>
        <w:rFonts w:ascii="Wingdings" w:hAnsi="Wingdings" w:hint="default"/>
      </w:rPr>
    </w:lvl>
    <w:lvl w:ilvl="3" w:tplc="A68A78EE">
      <w:start w:val="1"/>
      <w:numFmt w:val="bullet"/>
      <w:lvlText w:val=""/>
      <w:lvlJc w:val="left"/>
      <w:pPr>
        <w:ind w:left="2880" w:hanging="360"/>
      </w:pPr>
      <w:rPr>
        <w:rFonts w:ascii="Symbol" w:hAnsi="Symbol" w:hint="default"/>
      </w:rPr>
    </w:lvl>
    <w:lvl w:ilvl="4" w:tplc="B15A470A">
      <w:start w:val="1"/>
      <w:numFmt w:val="bullet"/>
      <w:lvlText w:val="o"/>
      <w:lvlJc w:val="left"/>
      <w:pPr>
        <w:ind w:left="3600" w:hanging="360"/>
      </w:pPr>
      <w:rPr>
        <w:rFonts w:ascii="Courier New" w:hAnsi="Courier New" w:hint="default"/>
      </w:rPr>
    </w:lvl>
    <w:lvl w:ilvl="5" w:tplc="CD76CA2C">
      <w:start w:val="1"/>
      <w:numFmt w:val="bullet"/>
      <w:lvlText w:val=""/>
      <w:lvlJc w:val="left"/>
      <w:pPr>
        <w:ind w:left="4320" w:hanging="360"/>
      </w:pPr>
      <w:rPr>
        <w:rFonts w:ascii="Wingdings" w:hAnsi="Wingdings" w:hint="default"/>
      </w:rPr>
    </w:lvl>
    <w:lvl w:ilvl="6" w:tplc="8A822CFA">
      <w:start w:val="1"/>
      <w:numFmt w:val="bullet"/>
      <w:lvlText w:val=""/>
      <w:lvlJc w:val="left"/>
      <w:pPr>
        <w:ind w:left="5040" w:hanging="360"/>
      </w:pPr>
      <w:rPr>
        <w:rFonts w:ascii="Symbol" w:hAnsi="Symbol" w:hint="default"/>
      </w:rPr>
    </w:lvl>
    <w:lvl w:ilvl="7" w:tplc="DCCE4F86">
      <w:start w:val="1"/>
      <w:numFmt w:val="bullet"/>
      <w:lvlText w:val="o"/>
      <w:lvlJc w:val="left"/>
      <w:pPr>
        <w:ind w:left="5760" w:hanging="360"/>
      </w:pPr>
      <w:rPr>
        <w:rFonts w:ascii="Courier New" w:hAnsi="Courier New" w:hint="default"/>
      </w:rPr>
    </w:lvl>
    <w:lvl w:ilvl="8" w:tplc="4B440284">
      <w:start w:val="1"/>
      <w:numFmt w:val="bullet"/>
      <w:lvlText w:val=""/>
      <w:lvlJc w:val="left"/>
      <w:pPr>
        <w:ind w:left="6480" w:hanging="360"/>
      </w:pPr>
      <w:rPr>
        <w:rFonts w:ascii="Wingdings" w:hAnsi="Wingdings" w:hint="default"/>
      </w:rPr>
    </w:lvl>
  </w:abstractNum>
  <w:abstractNum w:abstractNumId="1" w15:restartNumberingAfterBreak="0">
    <w:nsid w:val="2887AF5C"/>
    <w:multiLevelType w:val="hybridMultilevel"/>
    <w:tmpl w:val="FFFFFFFF"/>
    <w:lvl w:ilvl="0" w:tplc="E2F0AF3C">
      <w:start w:val="1"/>
      <w:numFmt w:val="bullet"/>
      <w:lvlText w:val=""/>
      <w:lvlJc w:val="left"/>
      <w:pPr>
        <w:ind w:left="720" w:hanging="360"/>
      </w:pPr>
      <w:rPr>
        <w:rFonts w:ascii="Symbol" w:hAnsi="Symbol" w:hint="default"/>
      </w:rPr>
    </w:lvl>
    <w:lvl w:ilvl="1" w:tplc="4296EADA">
      <w:start w:val="1"/>
      <w:numFmt w:val="bullet"/>
      <w:lvlText w:val="o"/>
      <w:lvlJc w:val="left"/>
      <w:pPr>
        <w:ind w:left="1440" w:hanging="360"/>
      </w:pPr>
      <w:rPr>
        <w:rFonts w:ascii="Courier New" w:hAnsi="Courier New" w:hint="default"/>
      </w:rPr>
    </w:lvl>
    <w:lvl w:ilvl="2" w:tplc="66703154">
      <w:start w:val="1"/>
      <w:numFmt w:val="bullet"/>
      <w:lvlText w:val=""/>
      <w:lvlJc w:val="left"/>
      <w:pPr>
        <w:ind w:left="2160" w:hanging="360"/>
      </w:pPr>
      <w:rPr>
        <w:rFonts w:ascii="Wingdings" w:hAnsi="Wingdings" w:hint="default"/>
      </w:rPr>
    </w:lvl>
    <w:lvl w:ilvl="3" w:tplc="BEBA6C10">
      <w:start w:val="1"/>
      <w:numFmt w:val="bullet"/>
      <w:lvlText w:val=""/>
      <w:lvlJc w:val="left"/>
      <w:pPr>
        <w:ind w:left="2880" w:hanging="360"/>
      </w:pPr>
      <w:rPr>
        <w:rFonts w:ascii="Symbol" w:hAnsi="Symbol" w:hint="default"/>
      </w:rPr>
    </w:lvl>
    <w:lvl w:ilvl="4" w:tplc="0DBE8796">
      <w:start w:val="1"/>
      <w:numFmt w:val="bullet"/>
      <w:lvlText w:val="o"/>
      <w:lvlJc w:val="left"/>
      <w:pPr>
        <w:ind w:left="3600" w:hanging="360"/>
      </w:pPr>
      <w:rPr>
        <w:rFonts w:ascii="Courier New" w:hAnsi="Courier New" w:hint="default"/>
      </w:rPr>
    </w:lvl>
    <w:lvl w:ilvl="5" w:tplc="025AA192">
      <w:start w:val="1"/>
      <w:numFmt w:val="bullet"/>
      <w:lvlText w:val=""/>
      <w:lvlJc w:val="left"/>
      <w:pPr>
        <w:ind w:left="4320" w:hanging="360"/>
      </w:pPr>
      <w:rPr>
        <w:rFonts w:ascii="Wingdings" w:hAnsi="Wingdings" w:hint="default"/>
      </w:rPr>
    </w:lvl>
    <w:lvl w:ilvl="6" w:tplc="DDDC056A">
      <w:start w:val="1"/>
      <w:numFmt w:val="bullet"/>
      <w:lvlText w:val=""/>
      <w:lvlJc w:val="left"/>
      <w:pPr>
        <w:ind w:left="5040" w:hanging="360"/>
      </w:pPr>
      <w:rPr>
        <w:rFonts w:ascii="Symbol" w:hAnsi="Symbol" w:hint="default"/>
      </w:rPr>
    </w:lvl>
    <w:lvl w:ilvl="7" w:tplc="16B2F2AE">
      <w:start w:val="1"/>
      <w:numFmt w:val="bullet"/>
      <w:lvlText w:val="o"/>
      <w:lvlJc w:val="left"/>
      <w:pPr>
        <w:ind w:left="5760" w:hanging="360"/>
      </w:pPr>
      <w:rPr>
        <w:rFonts w:ascii="Courier New" w:hAnsi="Courier New" w:hint="default"/>
      </w:rPr>
    </w:lvl>
    <w:lvl w:ilvl="8" w:tplc="7F520F1A">
      <w:start w:val="1"/>
      <w:numFmt w:val="bullet"/>
      <w:lvlText w:val=""/>
      <w:lvlJc w:val="left"/>
      <w:pPr>
        <w:ind w:left="6480" w:hanging="360"/>
      </w:pPr>
      <w:rPr>
        <w:rFonts w:ascii="Wingdings" w:hAnsi="Wingdings" w:hint="default"/>
      </w:rPr>
    </w:lvl>
  </w:abstractNum>
  <w:abstractNum w:abstractNumId="2" w15:restartNumberingAfterBreak="0">
    <w:nsid w:val="2A175D2C"/>
    <w:multiLevelType w:val="hybridMultilevel"/>
    <w:tmpl w:val="FFFFFFFF"/>
    <w:lvl w:ilvl="0" w:tplc="AA04F4DA">
      <w:start w:val="1"/>
      <w:numFmt w:val="bullet"/>
      <w:lvlText w:val=""/>
      <w:lvlJc w:val="left"/>
      <w:pPr>
        <w:ind w:left="720" w:hanging="360"/>
      </w:pPr>
      <w:rPr>
        <w:rFonts w:ascii="Symbol" w:hAnsi="Symbol" w:hint="default"/>
      </w:rPr>
    </w:lvl>
    <w:lvl w:ilvl="1" w:tplc="E174D2FE">
      <w:start w:val="1"/>
      <w:numFmt w:val="bullet"/>
      <w:lvlText w:val="o"/>
      <w:lvlJc w:val="left"/>
      <w:pPr>
        <w:ind w:left="1440" w:hanging="360"/>
      </w:pPr>
      <w:rPr>
        <w:rFonts w:ascii="Courier New" w:hAnsi="Courier New" w:hint="default"/>
      </w:rPr>
    </w:lvl>
    <w:lvl w:ilvl="2" w:tplc="E25EBE52">
      <w:start w:val="1"/>
      <w:numFmt w:val="bullet"/>
      <w:lvlText w:val=""/>
      <w:lvlJc w:val="left"/>
      <w:pPr>
        <w:ind w:left="2160" w:hanging="360"/>
      </w:pPr>
      <w:rPr>
        <w:rFonts w:ascii="Wingdings" w:hAnsi="Wingdings" w:hint="default"/>
      </w:rPr>
    </w:lvl>
    <w:lvl w:ilvl="3" w:tplc="C41611B2">
      <w:start w:val="1"/>
      <w:numFmt w:val="bullet"/>
      <w:lvlText w:val=""/>
      <w:lvlJc w:val="left"/>
      <w:pPr>
        <w:ind w:left="2880" w:hanging="360"/>
      </w:pPr>
      <w:rPr>
        <w:rFonts w:ascii="Symbol" w:hAnsi="Symbol" w:hint="default"/>
      </w:rPr>
    </w:lvl>
    <w:lvl w:ilvl="4" w:tplc="551433CA">
      <w:start w:val="1"/>
      <w:numFmt w:val="bullet"/>
      <w:lvlText w:val="o"/>
      <w:lvlJc w:val="left"/>
      <w:pPr>
        <w:ind w:left="3600" w:hanging="360"/>
      </w:pPr>
      <w:rPr>
        <w:rFonts w:ascii="Courier New" w:hAnsi="Courier New" w:hint="default"/>
      </w:rPr>
    </w:lvl>
    <w:lvl w:ilvl="5" w:tplc="35EC0D04">
      <w:start w:val="1"/>
      <w:numFmt w:val="bullet"/>
      <w:lvlText w:val=""/>
      <w:lvlJc w:val="left"/>
      <w:pPr>
        <w:ind w:left="4320" w:hanging="360"/>
      </w:pPr>
      <w:rPr>
        <w:rFonts w:ascii="Wingdings" w:hAnsi="Wingdings" w:hint="default"/>
      </w:rPr>
    </w:lvl>
    <w:lvl w:ilvl="6" w:tplc="CD46A42C">
      <w:start w:val="1"/>
      <w:numFmt w:val="bullet"/>
      <w:lvlText w:val=""/>
      <w:lvlJc w:val="left"/>
      <w:pPr>
        <w:ind w:left="5040" w:hanging="360"/>
      </w:pPr>
      <w:rPr>
        <w:rFonts w:ascii="Symbol" w:hAnsi="Symbol" w:hint="default"/>
      </w:rPr>
    </w:lvl>
    <w:lvl w:ilvl="7" w:tplc="C71632A0">
      <w:start w:val="1"/>
      <w:numFmt w:val="bullet"/>
      <w:lvlText w:val="o"/>
      <w:lvlJc w:val="left"/>
      <w:pPr>
        <w:ind w:left="5760" w:hanging="360"/>
      </w:pPr>
      <w:rPr>
        <w:rFonts w:ascii="Courier New" w:hAnsi="Courier New" w:hint="default"/>
      </w:rPr>
    </w:lvl>
    <w:lvl w:ilvl="8" w:tplc="8CF640E4">
      <w:start w:val="1"/>
      <w:numFmt w:val="bullet"/>
      <w:lvlText w:val=""/>
      <w:lvlJc w:val="left"/>
      <w:pPr>
        <w:ind w:left="6480" w:hanging="360"/>
      </w:pPr>
      <w:rPr>
        <w:rFonts w:ascii="Wingdings" w:hAnsi="Wingdings" w:hint="default"/>
      </w:rPr>
    </w:lvl>
  </w:abstractNum>
  <w:abstractNum w:abstractNumId="3" w15:restartNumberingAfterBreak="0">
    <w:nsid w:val="4CB207BE"/>
    <w:multiLevelType w:val="hybridMultilevel"/>
    <w:tmpl w:val="FFFFFFFF"/>
    <w:lvl w:ilvl="0" w:tplc="9D4600D8">
      <w:start w:val="1"/>
      <w:numFmt w:val="bullet"/>
      <w:lvlText w:val=""/>
      <w:lvlJc w:val="left"/>
      <w:pPr>
        <w:ind w:left="720" w:hanging="360"/>
      </w:pPr>
      <w:rPr>
        <w:rFonts w:ascii="Symbol" w:hAnsi="Symbol" w:hint="default"/>
      </w:rPr>
    </w:lvl>
    <w:lvl w:ilvl="1" w:tplc="BFFA5F30">
      <w:start w:val="1"/>
      <w:numFmt w:val="bullet"/>
      <w:lvlText w:val="o"/>
      <w:lvlJc w:val="left"/>
      <w:pPr>
        <w:ind w:left="1440" w:hanging="360"/>
      </w:pPr>
      <w:rPr>
        <w:rFonts w:ascii="Courier New" w:hAnsi="Courier New" w:hint="default"/>
      </w:rPr>
    </w:lvl>
    <w:lvl w:ilvl="2" w:tplc="502AC4FC">
      <w:start w:val="1"/>
      <w:numFmt w:val="bullet"/>
      <w:lvlText w:val=""/>
      <w:lvlJc w:val="left"/>
      <w:pPr>
        <w:ind w:left="2160" w:hanging="360"/>
      </w:pPr>
      <w:rPr>
        <w:rFonts w:ascii="Wingdings" w:hAnsi="Wingdings" w:hint="default"/>
      </w:rPr>
    </w:lvl>
    <w:lvl w:ilvl="3" w:tplc="9D38F7E6">
      <w:start w:val="1"/>
      <w:numFmt w:val="bullet"/>
      <w:lvlText w:val=""/>
      <w:lvlJc w:val="left"/>
      <w:pPr>
        <w:ind w:left="2880" w:hanging="360"/>
      </w:pPr>
      <w:rPr>
        <w:rFonts w:ascii="Symbol" w:hAnsi="Symbol" w:hint="default"/>
      </w:rPr>
    </w:lvl>
    <w:lvl w:ilvl="4" w:tplc="CA60705E">
      <w:start w:val="1"/>
      <w:numFmt w:val="bullet"/>
      <w:lvlText w:val="o"/>
      <w:lvlJc w:val="left"/>
      <w:pPr>
        <w:ind w:left="3600" w:hanging="360"/>
      </w:pPr>
      <w:rPr>
        <w:rFonts w:ascii="Courier New" w:hAnsi="Courier New" w:hint="default"/>
      </w:rPr>
    </w:lvl>
    <w:lvl w:ilvl="5" w:tplc="2088705A">
      <w:start w:val="1"/>
      <w:numFmt w:val="bullet"/>
      <w:lvlText w:val=""/>
      <w:lvlJc w:val="left"/>
      <w:pPr>
        <w:ind w:left="4320" w:hanging="360"/>
      </w:pPr>
      <w:rPr>
        <w:rFonts w:ascii="Wingdings" w:hAnsi="Wingdings" w:hint="default"/>
      </w:rPr>
    </w:lvl>
    <w:lvl w:ilvl="6" w:tplc="BDD67504">
      <w:start w:val="1"/>
      <w:numFmt w:val="bullet"/>
      <w:lvlText w:val=""/>
      <w:lvlJc w:val="left"/>
      <w:pPr>
        <w:ind w:left="5040" w:hanging="360"/>
      </w:pPr>
      <w:rPr>
        <w:rFonts w:ascii="Symbol" w:hAnsi="Symbol" w:hint="default"/>
      </w:rPr>
    </w:lvl>
    <w:lvl w:ilvl="7" w:tplc="8968EC90">
      <w:start w:val="1"/>
      <w:numFmt w:val="bullet"/>
      <w:lvlText w:val="o"/>
      <w:lvlJc w:val="left"/>
      <w:pPr>
        <w:ind w:left="5760" w:hanging="360"/>
      </w:pPr>
      <w:rPr>
        <w:rFonts w:ascii="Courier New" w:hAnsi="Courier New" w:hint="default"/>
      </w:rPr>
    </w:lvl>
    <w:lvl w:ilvl="8" w:tplc="EE8C2A8C">
      <w:start w:val="1"/>
      <w:numFmt w:val="bullet"/>
      <w:lvlText w:val=""/>
      <w:lvlJc w:val="left"/>
      <w:pPr>
        <w:ind w:left="6480" w:hanging="360"/>
      </w:pPr>
      <w:rPr>
        <w:rFonts w:ascii="Wingdings" w:hAnsi="Wingdings" w:hint="default"/>
      </w:rPr>
    </w:lvl>
  </w:abstractNum>
  <w:abstractNum w:abstractNumId="4" w15:restartNumberingAfterBreak="0">
    <w:nsid w:val="59C1C3B1"/>
    <w:multiLevelType w:val="hybridMultilevel"/>
    <w:tmpl w:val="FFFFFFFF"/>
    <w:lvl w:ilvl="0" w:tplc="F68CEB38">
      <w:start w:val="1"/>
      <w:numFmt w:val="bullet"/>
      <w:lvlText w:val=""/>
      <w:lvlJc w:val="left"/>
      <w:pPr>
        <w:ind w:left="720" w:hanging="360"/>
      </w:pPr>
      <w:rPr>
        <w:rFonts w:ascii="Symbol" w:hAnsi="Symbol" w:hint="default"/>
      </w:rPr>
    </w:lvl>
    <w:lvl w:ilvl="1" w:tplc="5620660C">
      <w:start w:val="1"/>
      <w:numFmt w:val="bullet"/>
      <w:lvlText w:val="o"/>
      <w:lvlJc w:val="left"/>
      <w:pPr>
        <w:ind w:left="1440" w:hanging="360"/>
      </w:pPr>
      <w:rPr>
        <w:rFonts w:ascii="Courier New" w:hAnsi="Courier New" w:hint="default"/>
      </w:rPr>
    </w:lvl>
    <w:lvl w:ilvl="2" w:tplc="5E9AC446">
      <w:start w:val="1"/>
      <w:numFmt w:val="bullet"/>
      <w:lvlText w:val=""/>
      <w:lvlJc w:val="left"/>
      <w:pPr>
        <w:ind w:left="2160" w:hanging="360"/>
      </w:pPr>
      <w:rPr>
        <w:rFonts w:ascii="Wingdings" w:hAnsi="Wingdings" w:hint="default"/>
      </w:rPr>
    </w:lvl>
    <w:lvl w:ilvl="3" w:tplc="42AAD870">
      <w:start w:val="1"/>
      <w:numFmt w:val="bullet"/>
      <w:lvlText w:val=""/>
      <w:lvlJc w:val="left"/>
      <w:pPr>
        <w:ind w:left="2880" w:hanging="360"/>
      </w:pPr>
      <w:rPr>
        <w:rFonts w:ascii="Symbol" w:hAnsi="Symbol" w:hint="default"/>
      </w:rPr>
    </w:lvl>
    <w:lvl w:ilvl="4" w:tplc="E66097A2">
      <w:start w:val="1"/>
      <w:numFmt w:val="bullet"/>
      <w:lvlText w:val="o"/>
      <w:lvlJc w:val="left"/>
      <w:pPr>
        <w:ind w:left="3600" w:hanging="360"/>
      </w:pPr>
      <w:rPr>
        <w:rFonts w:ascii="Courier New" w:hAnsi="Courier New" w:hint="default"/>
      </w:rPr>
    </w:lvl>
    <w:lvl w:ilvl="5" w:tplc="A9746ABC">
      <w:start w:val="1"/>
      <w:numFmt w:val="bullet"/>
      <w:lvlText w:val=""/>
      <w:lvlJc w:val="left"/>
      <w:pPr>
        <w:ind w:left="4320" w:hanging="360"/>
      </w:pPr>
      <w:rPr>
        <w:rFonts w:ascii="Wingdings" w:hAnsi="Wingdings" w:hint="default"/>
      </w:rPr>
    </w:lvl>
    <w:lvl w:ilvl="6" w:tplc="0FDE0F2C">
      <w:start w:val="1"/>
      <w:numFmt w:val="bullet"/>
      <w:lvlText w:val=""/>
      <w:lvlJc w:val="left"/>
      <w:pPr>
        <w:ind w:left="5040" w:hanging="360"/>
      </w:pPr>
      <w:rPr>
        <w:rFonts w:ascii="Symbol" w:hAnsi="Symbol" w:hint="default"/>
      </w:rPr>
    </w:lvl>
    <w:lvl w:ilvl="7" w:tplc="4E5C9920">
      <w:start w:val="1"/>
      <w:numFmt w:val="bullet"/>
      <w:lvlText w:val="o"/>
      <w:lvlJc w:val="left"/>
      <w:pPr>
        <w:ind w:left="5760" w:hanging="360"/>
      </w:pPr>
      <w:rPr>
        <w:rFonts w:ascii="Courier New" w:hAnsi="Courier New" w:hint="default"/>
      </w:rPr>
    </w:lvl>
    <w:lvl w:ilvl="8" w:tplc="ED1ABB5A">
      <w:start w:val="1"/>
      <w:numFmt w:val="bullet"/>
      <w:lvlText w:val=""/>
      <w:lvlJc w:val="left"/>
      <w:pPr>
        <w:ind w:left="6480" w:hanging="360"/>
      </w:pPr>
      <w:rPr>
        <w:rFonts w:ascii="Wingdings" w:hAnsi="Wingdings" w:hint="default"/>
      </w:rPr>
    </w:lvl>
  </w:abstractNum>
  <w:abstractNum w:abstractNumId="5" w15:restartNumberingAfterBreak="0">
    <w:nsid w:val="69F7F8E9"/>
    <w:multiLevelType w:val="hybridMultilevel"/>
    <w:tmpl w:val="FFFFFFFF"/>
    <w:lvl w:ilvl="0" w:tplc="D94CDCC4">
      <w:start w:val="1"/>
      <w:numFmt w:val="bullet"/>
      <w:lvlText w:val=""/>
      <w:lvlJc w:val="left"/>
      <w:pPr>
        <w:ind w:left="720" w:hanging="360"/>
      </w:pPr>
      <w:rPr>
        <w:rFonts w:ascii="Symbol" w:hAnsi="Symbol" w:hint="default"/>
      </w:rPr>
    </w:lvl>
    <w:lvl w:ilvl="1" w:tplc="C6DC6516">
      <w:start w:val="1"/>
      <w:numFmt w:val="bullet"/>
      <w:lvlText w:val="o"/>
      <w:lvlJc w:val="left"/>
      <w:pPr>
        <w:ind w:left="1440" w:hanging="360"/>
      </w:pPr>
      <w:rPr>
        <w:rFonts w:ascii="Courier New" w:hAnsi="Courier New" w:hint="default"/>
      </w:rPr>
    </w:lvl>
    <w:lvl w:ilvl="2" w:tplc="7AB00DF2">
      <w:start w:val="1"/>
      <w:numFmt w:val="bullet"/>
      <w:lvlText w:val=""/>
      <w:lvlJc w:val="left"/>
      <w:pPr>
        <w:ind w:left="2160" w:hanging="360"/>
      </w:pPr>
      <w:rPr>
        <w:rFonts w:ascii="Wingdings" w:hAnsi="Wingdings" w:hint="default"/>
      </w:rPr>
    </w:lvl>
    <w:lvl w:ilvl="3" w:tplc="4EF0DFC2">
      <w:start w:val="1"/>
      <w:numFmt w:val="bullet"/>
      <w:lvlText w:val=""/>
      <w:lvlJc w:val="left"/>
      <w:pPr>
        <w:ind w:left="2880" w:hanging="360"/>
      </w:pPr>
      <w:rPr>
        <w:rFonts w:ascii="Symbol" w:hAnsi="Symbol" w:hint="default"/>
      </w:rPr>
    </w:lvl>
    <w:lvl w:ilvl="4" w:tplc="A7AAB3E6">
      <w:start w:val="1"/>
      <w:numFmt w:val="bullet"/>
      <w:lvlText w:val="o"/>
      <w:lvlJc w:val="left"/>
      <w:pPr>
        <w:ind w:left="3600" w:hanging="360"/>
      </w:pPr>
      <w:rPr>
        <w:rFonts w:ascii="Courier New" w:hAnsi="Courier New" w:hint="default"/>
      </w:rPr>
    </w:lvl>
    <w:lvl w:ilvl="5" w:tplc="22407270">
      <w:start w:val="1"/>
      <w:numFmt w:val="bullet"/>
      <w:lvlText w:val=""/>
      <w:lvlJc w:val="left"/>
      <w:pPr>
        <w:ind w:left="4320" w:hanging="360"/>
      </w:pPr>
      <w:rPr>
        <w:rFonts w:ascii="Wingdings" w:hAnsi="Wingdings" w:hint="default"/>
      </w:rPr>
    </w:lvl>
    <w:lvl w:ilvl="6" w:tplc="CB786B96">
      <w:start w:val="1"/>
      <w:numFmt w:val="bullet"/>
      <w:lvlText w:val=""/>
      <w:lvlJc w:val="left"/>
      <w:pPr>
        <w:ind w:left="5040" w:hanging="360"/>
      </w:pPr>
      <w:rPr>
        <w:rFonts w:ascii="Symbol" w:hAnsi="Symbol" w:hint="default"/>
      </w:rPr>
    </w:lvl>
    <w:lvl w:ilvl="7" w:tplc="E9D893CE">
      <w:start w:val="1"/>
      <w:numFmt w:val="bullet"/>
      <w:lvlText w:val="o"/>
      <w:lvlJc w:val="left"/>
      <w:pPr>
        <w:ind w:left="5760" w:hanging="360"/>
      </w:pPr>
      <w:rPr>
        <w:rFonts w:ascii="Courier New" w:hAnsi="Courier New" w:hint="default"/>
      </w:rPr>
    </w:lvl>
    <w:lvl w:ilvl="8" w:tplc="C96CAD64">
      <w:start w:val="1"/>
      <w:numFmt w:val="bullet"/>
      <w:lvlText w:val=""/>
      <w:lvlJc w:val="left"/>
      <w:pPr>
        <w:ind w:left="6480" w:hanging="360"/>
      </w:pPr>
      <w:rPr>
        <w:rFonts w:ascii="Wingdings" w:hAnsi="Wingdings" w:hint="default"/>
      </w:rPr>
    </w:lvl>
  </w:abstractNum>
  <w:num w:numId="1" w16cid:durableId="1860511611">
    <w:abstractNumId w:val="4"/>
  </w:num>
  <w:num w:numId="2" w16cid:durableId="186797762">
    <w:abstractNumId w:val="5"/>
  </w:num>
  <w:num w:numId="3" w16cid:durableId="1958293780">
    <w:abstractNumId w:val="0"/>
  </w:num>
  <w:num w:numId="4" w16cid:durableId="773326950">
    <w:abstractNumId w:val="3"/>
  </w:num>
  <w:num w:numId="5" w16cid:durableId="1422752160">
    <w:abstractNumId w:val="1"/>
  </w:num>
  <w:num w:numId="6" w16cid:durableId="3585862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99"/>
    <w:rsid w:val="00005301"/>
    <w:rsid w:val="000133EE"/>
    <w:rsid w:val="000206A8"/>
    <w:rsid w:val="000246CD"/>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0356"/>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1548A"/>
    <w:rsid w:val="002204FD"/>
    <w:rsid w:val="00221020"/>
    <w:rsid w:val="00226109"/>
    <w:rsid w:val="00226DF1"/>
    <w:rsid w:val="00227029"/>
    <w:rsid w:val="002308B5"/>
    <w:rsid w:val="00233C0B"/>
    <w:rsid w:val="00234A34"/>
    <w:rsid w:val="0025255D"/>
    <w:rsid w:val="00254334"/>
    <w:rsid w:val="00255EE3"/>
    <w:rsid w:val="00256B3D"/>
    <w:rsid w:val="0026743C"/>
    <w:rsid w:val="00270480"/>
    <w:rsid w:val="002779AF"/>
    <w:rsid w:val="002823D8"/>
    <w:rsid w:val="0028531A"/>
    <w:rsid w:val="00285446"/>
    <w:rsid w:val="00290082"/>
    <w:rsid w:val="00295593"/>
    <w:rsid w:val="002A354F"/>
    <w:rsid w:val="002A386C"/>
    <w:rsid w:val="002B09DF"/>
    <w:rsid w:val="002B524E"/>
    <w:rsid w:val="002B540D"/>
    <w:rsid w:val="002B7A7E"/>
    <w:rsid w:val="002C30BC"/>
    <w:rsid w:val="002C3BAB"/>
    <w:rsid w:val="002C5965"/>
    <w:rsid w:val="002C5E15"/>
    <w:rsid w:val="002C7A88"/>
    <w:rsid w:val="002C7AB9"/>
    <w:rsid w:val="002D232B"/>
    <w:rsid w:val="002D2759"/>
    <w:rsid w:val="002D5E00"/>
    <w:rsid w:val="002D6DAC"/>
    <w:rsid w:val="002E261D"/>
    <w:rsid w:val="002E3FAD"/>
    <w:rsid w:val="002E4E16"/>
    <w:rsid w:val="002E515D"/>
    <w:rsid w:val="002F6DAC"/>
    <w:rsid w:val="00301E8C"/>
    <w:rsid w:val="0030239B"/>
    <w:rsid w:val="00307DDD"/>
    <w:rsid w:val="00313CA2"/>
    <w:rsid w:val="003143C9"/>
    <w:rsid w:val="003146E9"/>
    <w:rsid w:val="00314D5D"/>
    <w:rsid w:val="00320009"/>
    <w:rsid w:val="00320345"/>
    <w:rsid w:val="0032424A"/>
    <w:rsid w:val="003245D3"/>
    <w:rsid w:val="00330AA3"/>
    <w:rsid w:val="00331584"/>
    <w:rsid w:val="00331964"/>
    <w:rsid w:val="00334987"/>
    <w:rsid w:val="003400EF"/>
    <w:rsid w:val="00340C69"/>
    <w:rsid w:val="00342E34"/>
    <w:rsid w:val="00344FF1"/>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199"/>
    <w:rsid w:val="003F7B3F"/>
    <w:rsid w:val="004058AD"/>
    <w:rsid w:val="0041078D"/>
    <w:rsid w:val="00416F97"/>
    <w:rsid w:val="004217D0"/>
    <w:rsid w:val="00423948"/>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4CA1"/>
    <w:rsid w:val="005254A6"/>
    <w:rsid w:val="00525B80"/>
    <w:rsid w:val="0053098F"/>
    <w:rsid w:val="00536B2E"/>
    <w:rsid w:val="00541E7B"/>
    <w:rsid w:val="005444E2"/>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229EE"/>
    <w:rsid w:val="00624FA3"/>
    <w:rsid w:val="00630382"/>
    <w:rsid w:val="00636B90"/>
    <w:rsid w:val="0064738B"/>
    <w:rsid w:val="006508EA"/>
    <w:rsid w:val="00667E86"/>
    <w:rsid w:val="0068392D"/>
    <w:rsid w:val="00692072"/>
    <w:rsid w:val="00697DB5"/>
    <w:rsid w:val="006A1B33"/>
    <w:rsid w:val="006A492A"/>
    <w:rsid w:val="006B5C72"/>
    <w:rsid w:val="006B7C5A"/>
    <w:rsid w:val="006C289D"/>
    <w:rsid w:val="006D0310"/>
    <w:rsid w:val="006D1FE0"/>
    <w:rsid w:val="006D2009"/>
    <w:rsid w:val="006D5576"/>
    <w:rsid w:val="006E766D"/>
    <w:rsid w:val="006F4B29"/>
    <w:rsid w:val="006F6CE9"/>
    <w:rsid w:val="0070358C"/>
    <w:rsid w:val="0070517C"/>
    <w:rsid w:val="00705C9F"/>
    <w:rsid w:val="00716951"/>
    <w:rsid w:val="00720F6B"/>
    <w:rsid w:val="00730ADA"/>
    <w:rsid w:val="00732C37"/>
    <w:rsid w:val="00735D9E"/>
    <w:rsid w:val="00745A09"/>
    <w:rsid w:val="00751EAF"/>
    <w:rsid w:val="00754CF7"/>
    <w:rsid w:val="00757B0D"/>
    <w:rsid w:val="007605C9"/>
    <w:rsid w:val="00761320"/>
    <w:rsid w:val="007651B1"/>
    <w:rsid w:val="00767CE1"/>
    <w:rsid w:val="00771A68"/>
    <w:rsid w:val="007744D2"/>
    <w:rsid w:val="00786136"/>
    <w:rsid w:val="007B05CF"/>
    <w:rsid w:val="007C212A"/>
    <w:rsid w:val="007C69EF"/>
    <w:rsid w:val="007D5B3C"/>
    <w:rsid w:val="007E7D21"/>
    <w:rsid w:val="007E7DBD"/>
    <w:rsid w:val="007F482F"/>
    <w:rsid w:val="007F7C94"/>
    <w:rsid w:val="0080398D"/>
    <w:rsid w:val="00805174"/>
    <w:rsid w:val="00806385"/>
    <w:rsid w:val="00807CC5"/>
    <w:rsid w:val="00807ED7"/>
    <w:rsid w:val="00810733"/>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C5273"/>
    <w:rsid w:val="008D0C90"/>
    <w:rsid w:val="008E1E4A"/>
    <w:rsid w:val="008F0615"/>
    <w:rsid w:val="008F103E"/>
    <w:rsid w:val="008F1FDB"/>
    <w:rsid w:val="008F36FB"/>
    <w:rsid w:val="008F46DC"/>
    <w:rsid w:val="00902EA9"/>
    <w:rsid w:val="0090427F"/>
    <w:rsid w:val="00920506"/>
    <w:rsid w:val="00924965"/>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93A9B"/>
    <w:rsid w:val="009A288C"/>
    <w:rsid w:val="009A64C1"/>
    <w:rsid w:val="009A74BB"/>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5587F"/>
    <w:rsid w:val="00A604CD"/>
    <w:rsid w:val="00A60FE6"/>
    <w:rsid w:val="00A622F5"/>
    <w:rsid w:val="00A654BE"/>
    <w:rsid w:val="00A66DD6"/>
    <w:rsid w:val="00A75018"/>
    <w:rsid w:val="00A771FD"/>
    <w:rsid w:val="00A80767"/>
    <w:rsid w:val="00A81C90"/>
    <w:rsid w:val="00A8638C"/>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79F8"/>
    <w:rsid w:val="00B10035"/>
    <w:rsid w:val="00B14ECB"/>
    <w:rsid w:val="00B15C76"/>
    <w:rsid w:val="00B165E6"/>
    <w:rsid w:val="00B235DB"/>
    <w:rsid w:val="00B23F28"/>
    <w:rsid w:val="00B25B94"/>
    <w:rsid w:val="00B424D9"/>
    <w:rsid w:val="00B447C0"/>
    <w:rsid w:val="00B453DE"/>
    <w:rsid w:val="00B52510"/>
    <w:rsid w:val="00B53E53"/>
    <w:rsid w:val="00B548A2"/>
    <w:rsid w:val="00B56934"/>
    <w:rsid w:val="00B62F03"/>
    <w:rsid w:val="00B72444"/>
    <w:rsid w:val="00B93B62"/>
    <w:rsid w:val="00B9400E"/>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7426"/>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1D87"/>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05B5"/>
    <w:rsid w:val="00EA7089"/>
    <w:rsid w:val="00EB13D7"/>
    <w:rsid w:val="00EB1E83"/>
    <w:rsid w:val="00EB4B49"/>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C66A0"/>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33CC3"/>
  <w15:docId w15:val="{62D80814-218C-45B5-B847-DCAB11F2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03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cosoc/en/events/2022/revitalizing-new-urban-agenda-fight-rising-inequalities-nua20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61C20B79-7349-4961-B465-41E1A179CD3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B9AFE4B8-D8F1-4D0A-A2B1-5FD2DDF9F6E8}"/>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openxmlformats.org/package/2006/metadata/core-properties"/>
    <ds:schemaRef ds:uri="ce21bc6c-711a-4065-a01c-a8f0e29e3ad8"/>
    <ds:schemaRef ds:uri="http://purl.org/dc/elements/1.1/"/>
    <ds:schemaRef ds:uri="http://schemas.microsoft.com/office/infopath/2007/PartnerControls"/>
    <ds:schemaRef ds:uri="3679bf0f-1d7e-438f-afa5-6ebf1e20f9b8"/>
    <ds:schemaRef ds:uri="http://purl.org/dc/dcmitype/"/>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7281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Vicente VASQUEZ GRANDA</dc:creator>
  <cp:lastModifiedBy>Mohamed Mourad</cp:lastModifiedBy>
  <cp:revision>2</cp:revision>
  <cp:lastPrinted>2013-03-12T09:27:00Z</cp:lastPrinted>
  <dcterms:created xsi:type="dcterms:W3CDTF">2022-10-14T12:10:00Z</dcterms:created>
  <dcterms:modified xsi:type="dcterms:W3CDTF">2022-10-14T12:10:00Z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