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2" w:type="dxa"/>
        <w:tblInd w:w="-459" w:type="dxa"/>
        <w:tblBorders>
          <w:bottom w:val="single" w:sz="4" w:space="0" w:color="auto"/>
        </w:tblBorders>
        <w:tblLook w:val="01E0" w:firstRow="1" w:lastRow="1" w:firstColumn="1" w:lastColumn="1" w:noHBand="0" w:noVBand="0"/>
      </w:tblPr>
      <w:tblGrid>
        <w:gridCol w:w="500"/>
        <w:gridCol w:w="6852"/>
        <w:gridCol w:w="3030"/>
      </w:tblGrid>
      <w:tr w:rsidR="00A80767" w:rsidRPr="0094603B" w14:paraId="1D32E159" w14:textId="77777777" w:rsidTr="007E4B7C">
        <w:trPr>
          <w:trHeight w:val="282"/>
        </w:trPr>
        <w:tc>
          <w:tcPr>
            <w:tcW w:w="500" w:type="dxa"/>
            <w:vMerge w:val="restart"/>
            <w:tcBorders>
              <w:bottom w:val="nil"/>
            </w:tcBorders>
            <w:textDirection w:val="btLr"/>
          </w:tcPr>
          <w:p w14:paraId="022682D5" w14:textId="51127540" w:rsidR="00A80767" w:rsidRPr="00D62BCD" w:rsidRDefault="008060B7" w:rsidP="00596154">
            <w:pPr>
              <w:tabs>
                <w:tab w:val="clear" w:pos="1134"/>
                <w:tab w:val="left" w:pos="6946"/>
              </w:tabs>
              <w:suppressAutoHyphens/>
              <w:spacing w:after="120" w:line="252" w:lineRule="auto"/>
              <w:ind w:left="175" w:right="113"/>
              <w:jc w:val="center"/>
              <w:rPr>
                <w:color w:val="365F91" w:themeColor="accent1" w:themeShade="BF"/>
                <w:sz w:val="12"/>
                <w:szCs w:val="12"/>
                <w:lang w:val="es-ES"/>
              </w:rPr>
            </w:pPr>
            <w:r>
              <w:rPr>
                <w:color w:val="365F91" w:themeColor="accent1" w:themeShade="BF"/>
                <w:sz w:val="10"/>
                <w:szCs w:val="10"/>
                <w:lang w:val="es"/>
              </w:rPr>
              <w:t>AQUI</w:t>
            </w:r>
            <w:r w:rsidR="00A80767">
              <w:rPr>
                <w:color w:val="365F91" w:themeColor="accent1" w:themeShade="BF"/>
                <w:sz w:val="10"/>
                <w:szCs w:val="10"/>
                <w:lang w:val="es"/>
              </w:rPr>
              <w:t>TIEMPO CLIMA AGUA</w:t>
            </w:r>
          </w:p>
        </w:tc>
        <w:tc>
          <w:tcPr>
            <w:tcW w:w="6852" w:type="dxa"/>
            <w:vMerge w:val="restart"/>
          </w:tcPr>
          <w:p w14:paraId="1A75E658" w14:textId="77777777" w:rsidR="00A80767" w:rsidRPr="00D62BCD" w:rsidRDefault="00A80767" w:rsidP="00826D53">
            <w:pPr>
              <w:tabs>
                <w:tab w:val="left" w:pos="6946"/>
              </w:tabs>
              <w:suppressAutoHyphens/>
              <w:spacing w:after="120" w:line="252" w:lineRule="auto"/>
              <w:ind w:left="1134"/>
              <w:jc w:val="left"/>
              <w:rPr>
                <w:rFonts w:cs="Tahoma"/>
                <w:b/>
                <w:bCs/>
                <w:color w:val="365F91" w:themeColor="accent1" w:themeShade="BF"/>
                <w:szCs w:val="22"/>
                <w:lang w:val="es-ES"/>
              </w:rPr>
            </w:pPr>
            <w:r>
              <w:rPr>
                <w:noProof/>
                <w:color w:val="365F91" w:themeColor="accent1" w:themeShade="BF"/>
                <w:szCs w:val="22"/>
                <w:lang w:val="es"/>
              </w:rPr>
              <w:drawing>
                <wp:anchor distT="0" distB="0" distL="114300" distR="114300" simplePos="0" relativeHeight="251659264" behindDoc="1" locked="1" layoutInCell="1" allowOverlap="1" wp14:anchorId="3321B644" wp14:editId="2F5A1FC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365F91" w:themeColor="accent1" w:themeShade="BF"/>
                <w:szCs w:val="22"/>
                <w:lang w:val="es"/>
              </w:rPr>
              <w:t>Organización Meteorológica Mundial</w:t>
            </w:r>
          </w:p>
          <w:p w14:paraId="381283F4" w14:textId="77777777" w:rsidR="00A80767" w:rsidRPr="00D62BCD" w:rsidRDefault="003045D1" w:rsidP="00826D53">
            <w:pPr>
              <w:tabs>
                <w:tab w:val="left" w:pos="6946"/>
              </w:tabs>
              <w:suppressAutoHyphens/>
              <w:spacing w:after="120" w:line="252" w:lineRule="auto"/>
              <w:ind w:left="1134"/>
              <w:jc w:val="left"/>
              <w:rPr>
                <w:rFonts w:cs="Tahoma"/>
                <w:b/>
                <w:color w:val="365F91" w:themeColor="accent1" w:themeShade="BF"/>
                <w:spacing w:val="-2"/>
                <w:szCs w:val="22"/>
                <w:lang w:val="es-ES"/>
              </w:rPr>
            </w:pPr>
            <w:r>
              <w:rPr>
                <w:rFonts w:cs="Tahoma"/>
                <w:b/>
                <w:bCs/>
                <w:color w:val="365F91" w:themeColor="accent1" w:themeShade="BF"/>
                <w:szCs w:val="22"/>
                <w:lang w:val="es"/>
              </w:rPr>
              <w:t>COMISIÓN DE APLICACIONES Y SERVICIOS METEOROLÓGICOS, CLIMÁTICOS, HIDROLÓGICOS Y MEDIOAMBIENTALES CONEXOS</w:t>
            </w:r>
          </w:p>
          <w:p w14:paraId="395D0B25" w14:textId="68512518" w:rsidR="00A80767" w:rsidRPr="00D62BCD" w:rsidRDefault="003045D1" w:rsidP="00826D53">
            <w:pPr>
              <w:tabs>
                <w:tab w:val="left" w:pos="6946"/>
              </w:tabs>
              <w:suppressAutoHyphens/>
              <w:spacing w:after="120" w:line="252" w:lineRule="auto"/>
              <w:ind w:left="1134"/>
              <w:jc w:val="left"/>
              <w:rPr>
                <w:rFonts w:cs="Tahoma"/>
                <w:b/>
                <w:bCs/>
                <w:color w:val="365F91" w:themeColor="accent1" w:themeShade="BF"/>
                <w:szCs w:val="22"/>
                <w:lang w:val="es-ES"/>
              </w:rPr>
            </w:pPr>
            <w:r>
              <w:rPr>
                <w:b/>
                <w:bCs/>
                <w:snapToGrid w:val="0"/>
                <w:color w:val="365F91" w:themeColor="accent1" w:themeShade="BF"/>
                <w:szCs w:val="22"/>
                <w:lang w:val="es"/>
              </w:rPr>
              <w:t xml:space="preserve">Segunda </w:t>
            </w:r>
            <w:r w:rsidR="00D62BCD">
              <w:rPr>
                <w:b/>
                <w:bCs/>
                <w:snapToGrid w:val="0"/>
                <w:color w:val="365F91" w:themeColor="accent1" w:themeShade="BF"/>
                <w:szCs w:val="22"/>
                <w:lang w:val="es"/>
              </w:rPr>
              <w:t>reunión</w:t>
            </w:r>
            <w:r>
              <w:rPr>
                <w:snapToGrid w:val="0"/>
                <w:color w:val="365F91" w:themeColor="accent1" w:themeShade="BF"/>
                <w:szCs w:val="22"/>
                <w:lang w:val="es"/>
              </w:rPr>
              <w:br/>
              <w:t>Ginebra, 17 a 21 de octubre de 2022</w:t>
            </w:r>
          </w:p>
        </w:tc>
        <w:tc>
          <w:tcPr>
            <w:tcW w:w="3030" w:type="dxa"/>
          </w:tcPr>
          <w:p w14:paraId="41816CAC" w14:textId="4D8185F0" w:rsidR="00A80767" w:rsidRPr="00A77CCB" w:rsidRDefault="003045D1" w:rsidP="007E4B7C">
            <w:pPr>
              <w:tabs>
                <w:tab w:val="clear" w:pos="1134"/>
                <w:tab w:val="left" w:pos="84"/>
              </w:tabs>
              <w:spacing w:after="60"/>
              <w:ind w:left="-54" w:right="-108"/>
              <w:jc w:val="left"/>
              <w:rPr>
                <w:rFonts w:cs="Tahoma"/>
                <w:b/>
                <w:bCs/>
                <w:color w:val="365F91" w:themeColor="accent1" w:themeShade="BF"/>
                <w:szCs w:val="22"/>
              </w:rPr>
            </w:pPr>
            <w:r>
              <w:rPr>
                <w:rFonts w:cs="Tahoma"/>
                <w:b/>
                <w:bCs/>
                <w:color w:val="365F91" w:themeColor="accent1" w:themeShade="BF"/>
                <w:szCs w:val="22"/>
                <w:lang w:val="es"/>
              </w:rPr>
              <w:t xml:space="preserve">SERCOM-2/INF. 5.10(3 </w:t>
            </w:r>
            <w:r w:rsidR="00D62BCD">
              <w:rPr>
                <w:rFonts w:cs="Tahoma"/>
                <w:b/>
                <w:bCs/>
                <w:color w:val="365F91" w:themeColor="accent1" w:themeShade="BF"/>
                <w:szCs w:val="22"/>
                <w:lang w:val="es"/>
              </w:rPr>
              <w:t>a</w:t>
            </w:r>
            <w:r>
              <w:rPr>
                <w:rFonts w:cs="Tahoma"/>
                <w:b/>
                <w:bCs/>
                <w:color w:val="365F91" w:themeColor="accent1" w:themeShade="BF"/>
                <w:szCs w:val="22"/>
                <w:lang w:val="es"/>
              </w:rPr>
              <w:t>)</w:t>
            </w:r>
          </w:p>
        </w:tc>
      </w:tr>
      <w:tr w:rsidR="00A80767" w:rsidRPr="00B24FC9" w14:paraId="2A610671" w14:textId="77777777" w:rsidTr="007E4B7C">
        <w:trPr>
          <w:trHeight w:val="730"/>
        </w:trPr>
        <w:tc>
          <w:tcPr>
            <w:tcW w:w="500" w:type="dxa"/>
            <w:vMerge/>
            <w:tcBorders>
              <w:bottom w:val="nil"/>
            </w:tcBorders>
          </w:tcPr>
          <w:p w14:paraId="43FBC52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rPr>
            </w:pPr>
          </w:p>
        </w:tc>
        <w:tc>
          <w:tcPr>
            <w:tcW w:w="6852" w:type="dxa"/>
            <w:vMerge/>
          </w:tcPr>
          <w:p w14:paraId="2CC787B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rPr>
            </w:pPr>
          </w:p>
        </w:tc>
        <w:tc>
          <w:tcPr>
            <w:tcW w:w="3030" w:type="dxa"/>
          </w:tcPr>
          <w:p w14:paraId="7DAE5ECE" w14:textId="47AFEC9B" w:rsidR="00A80767" w:rsidRPr="00D62BCD" w:rsidRDefault="00A80767" w:rsidP="000166CD">
            <w:pPr>
              <w:tabs>
                <w:tab w:val="clear" w:pos="1134"/>
              </w:tabs>
              <w:spacing w:before="120" w:after="60"/>
              <w:jc w:val="right"/>
              <w:rPr>
                <w:rFonts w:cs="Tahoma"/>
                <w:color w:val="365F91" w:themeColor="accent1" w:themeShade="BF"/>
                <w:szCs w:val="22"/>
                <w:lang w:val="es-ES"/>
              </w:rPr>
            </w:pPr>
            <w:r>
              <w:rPr>
                <w:rFonts w:cs="Tahoma"/>
                <w:color w:val="365F91" w:themeColor="accent1" w:themeShade="BF"/>
                <w:szCs w:val="22"/>
                <w:lang w:val="es"/>
              </w:rPr>
              <w:t>Presentado por:</w:t>
            </w:r>
            <w:r>
              <w:rPr>
                <w:rFonts w:cs="Tahoma"/>
                <w:color w:val="365F91" w:themeColor="accent1" w:themeShade="BF"/>
                <w:szCs w:val="22"/>
                <w:lang w:val="es"/>
              </w:rPr>
              <w:br/>
              <w:t>Presidentes de</w:t>
            </w:r>
            <w:r w:rsidR="00A51A12">
              <w:rPr>
                <w:rFonts w:cs="Tahoma"/>
                <w:color w:val="365F91" w:themeColor="accent1" w:themeShade="BF"/>
                <w:szCs w:val="22"/>
                <w:lang w:val="es"/>
              </w:rPr>
              <w:t>l</w:t>
            </w:r>
            <w:r>
              <w:rPr>
                <w:rFonts w:cs="Tahoma"/>
                <w:color w:val="365F91" w:themeColor="accent1" w:themeShade="BF"/>
                <w:szCs w:val="22"/>
                <w:lang w:val="es"/>
              </w:rPr>
              <w:t xml:space="preserve"> SG-HEA</w:t>
            </w:r>
          </w:p>
          <w:p w14:paraId="056C64BB" w14:textId="082E36BB" w:rsidR="00A80767" w:rsidRPr="00596154" w:rsidRDefault="00596154" w:rsidP="000166CD">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s"/>
              </w:rPr>
              <w:t>10.X.2022</w:t>
            </w:r>
          </w:p>
        </w:tc>
      </w:tr>
    </w:tbl>
    <w:p w14:paraId="189E6BE6" w14:textId="77777777" w:rsidR="00352B1C" w:rsidRDefault="00352B1C" w:rsidP="00352B1C">
      <w:pPr>
        <w:tabs>
          <w:tab w:val="left" w:pos="708"/>
        </w:tabs>
        <w:spacing w:before="360"/>
        <w:ind w:right="-142"/>
        <w:jc w:val="left"/>
        <w:rPr>
          <w:rFonts w:eastAsia="Times New Roman" w:cs="Verdana"/>
          <w:i/>
          <w:color w:val="FF0000"/>
          <w:lang w:val="es-ES_tradnl"/>
        </w:rPr>
      </w:pPr>
      <w:bookmarkStart w:id="0" w:name="_Hlk114486083"/>
      <w:bookmarkEnd w:id="0"/>
      <w:r>
        <w:rPr>
          <w:rFonts w:eastAsia="Times New Roman" w:cs="Verdana"/>
          <w:i/>
          <w:color w:val="FF0000"/>
          <w:lang w:val="es-ES_tradnl"/>
        </w:rPr>
        <w:t>[Para facilitar su labor, el presente documento ha sido traducido empleando tecnologías de traducción automática y de memoria de traducción. Si bien la OMM ha hecho todo lo razonablemente posible para mejorar la calidad de la traducción resultante, 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6740F2D7" w14:textId="646F25A6" w:rsidR="008B72C9" w:rsidRPr="00D62BCD" w:rsidRDefault="00E3387B" w:rsidP="00E92248">
      <w:pPr>
        <w:pStyle w:val="Heading2"/>
        <w:rPr>
          <w:lang w:val="es-ES"/>
        </w:rPr>
      </w:pPr>
      <w:r>
        <w:rPr>
          <w:iCs w:val="0"/>
          <w:lang w:val="es"/>
        </w:rPr>
        <w:t xml:space="preserve">RESUMEN DEL PLAN DE EJECUCIÓN PARA EL AVANCE DE LA CIENCIA Y LOS SERVICIOS INTEGRADOS </w:t>
      </w:r>
      <w:r w:rsidR="00043F3F">
        <w:rPr>
          <w:iCs w:val="0"/>
          <w:lang w:val="es"/>
        </w:rPr>
        <w:t>EN EL ÁMBITO DEL</w:t>
      </w:r>
      <w:r>
        <w:rPr>
          <w:iCs w:val="0"/>
          <w:lang w:val="es"/>
        </w:rPr>
        <w:t xml:space="preserve"> CLIMA, </w:t>
      </w:r>
      <w:r w:rsidR="00043F3F">
        <w:rPr>
          <w:iCs w:val="0"/>
          <w:lang w:val="es"/>
        </w:rPr>
        <w:t xml:space="preserve">EL </w:t>
      </w:r>
      <w:r>
        <w:rPr>
          <w:iCs w:val="0"/>
          <w:lang w:val="es"/>
        </w:rPr>
        <w:t xml:space="preserve">MEDIOAMBIENTE Y </w:t>
      </w:r>
      <w:r w:rsidR="00043F3F">
        <w:rPr>
          <w:iCs w:val="0"/>
          <w:lang w:val="es"/>
        </w:rPr>
        <w:t xml:space="preserve">LA </w:t>
      </w:r>
      <w:r>
        <w:rPr>
          <w:iCs w:val="0"/>
          <w:lang w:val="es"/>
        </w:rPr>
        <w:t>SALUD 2023–2033</w:t>
      </w:r>
    </w:p>
    <w:p w14:paraId="41B1217C" w14:textId="6BAE2572" w:rsidR="00AA6584" w:rsidRPr="00D40F6B" w:rsidRDefault="00D62BCD" w:rsidP="00D40F6B">
      <w:pPr>
        <w:pStyle w:val="Heading3"/>
        <w:numPr>
          <w:ilvl w:val="0"/>
          <w:numId w:val="11"/>
        </w:numPr>
        <w:ind w:left="1134" w:hanging="1134"/>
      </w:pPr>
      <w:r>
        <w:rPr>
          <w:lang w:val="es"/>
        </w:rPr>
        <w:t>ACERCA DE</w:t>
      </w:r>
    </w:p>
    <w:p w14:paraId="435E63CB" w14:textId="45E50D09" w:rsidR="008B72C9" w:rsidRPr="00D62BCD" w:rsidRDefault="008B72C9" w:rsidP="00AA683D">
      <w:pPr>
        <w:pStyle w:val="WMOBodyText"/>
        <w:ind w:right="-170"/>
        <w:rPr>
          <w:lang w:val="es-ES"/>
        </w:rPr>
      </w:pPr>
      <w:r>
        <w:rPr>
          <w:lang w:val="es"/>
        </w:rPr>
        <w:t xml:space="preserve">Esta es una versión </w:t>
      </w:r>
      <w:r w:rsidR="0017692F">
        <w:rPr>
          <w:lang w:val="es"/>
        </w:rPr>
        <w:t>a</w:t>
      </w:r>
      <w:r>
        <w:rPr>
          <w:lang w:val="es"/>
        </w:rPr>
        <w:t xml:space="preserve">vanzada del </w:t>
      </w:r>
      <w:r w:rsidR="0017692F">
        <w:rPr>
          <w:lang w:val="es"/>
        </w:rPr>
        <w:t>b</w:t>
      </w:r>
      <w:r>
        <w:rPr>
          <w:lang w:val="es"/>
        </w:rPr>
        <w:t xml:space="preserve">orrador del Plan de </w:t>
      </w:r>
      <w:r w:rsidR="0017692F">
        <w:rPr>
          <w:lang w:val="es"/>
        </w:rPr>
        <w:t>Ejecución</w:t>
      </w:r>
      <w:r>
        <w:rPr>
          <w:lang w:val="es"/>
        </w:rPr>
        <w:t xml:space="preserve"> para el Avance de la Ciencia y </w:t>
      </w:r>
      <w:r w:rsidR="0017692F">
        <w:rPr>
          <w:lang w:val="es"/>
        </w:rPr>
        <w:t xml:space="preserve">los </w:t>
      </w:r>
      <w:r>
        <w:rPr>
          <w:lang w:val="es"/>
        </w:rPr>
        <w:t xml:space="preserve">Servicios </w:t>
      </w:r>
      <w:r w:rsidR="00B951AC">
        <w:rPr>
          <w:lang w:val="es"/>
        </w:rPr>
        <w:t xml:space="preserve">Integrados en el Ámbito del Clima, el </w:t>
      </w:r>
      <w:r w:rsidR="00E03560">
        <w:rPr>
          <w:lang w:val="es"/>
        </w:rPr>
        <w:t>Medioambiente</w:t>
      </w:r>
      <w:r>
        <w:rPr>
          <w:lang w:val="es"/>
        </w:rPr>
        <w:t xml:space="preserve"> y </w:t>
      </w:r>
      <w:r w:rsidR="00B951AC">
        <w:rPr>
          <w:lang w:val="es"/>
        </w:rPr>
        <w:t>la</w:t>
      </w:r>
      <w:r>
        <w:rPr>
          <w:lang w:val="es"/>
        </w:rPr>
        <w:t xml:space="preserve"> Salud, preparado por el Grupo de Estudio </w:t>
      </w:r>
      <w:r w:rsidR="00C83891">
        <w:rPr>
          <w:lang w:val="es"/>
        </w:rPr>
        <w:t xml:space="preserve">sobre </w:t>
      </w:r>
      <w:r>
        <w:rPr>
          <w:lang w:val="es"/>
        </w:rPr>
        <w:t xml:space="preserve">Servicios </w:t>
      </w:r>
      <w:r w:rsidR="000D28F0" w:rsidRPr="000D28F0">
        <w:rPr>
          <w:lang w:val="es"/>
        </w:rPr>
        <w:t xml:space="preserve">de Salud </w:t>
      </w:r>
      <w:r>
        <w:rPr>
          <w:lang w:val="es"/>
        </w:rPr>
        <w:t xml:space="preserve">Integrados. </w:t>
      </w:r>
      <w:r w:rsidR="0021518D" w:rsidRPr="0021518D">
        <w:rPr>
          <w:lang w:val="es"/>
        </w:rPr>
        <w:t xml:space="preserve">En él se describen determinados enfoques, mecanismos y oportunidades de participación para una transformación sostenible de la forma en que el sector </w:t>
      </w:r>
      <w:r w:rsidR="00A00F0E">
        <w:rPr>
          <w:lang w:val="es"/>
        </w:rPr>
        <w:t>de la salud</w:t>
      </w:r>
      <w:r w:rsidR="0021518D" w:rsidRPr="0021518D">
        <w:rPr>
          <w:lang w:val="es"/>
        </w:rPr>
        <w:t xml:space="preserve"> mundial entiende, accede y utiliza la ciencia y los servicios climáticos, meteorológicos y medioambientales</w:t>
      </w:r>
      <w:r>
        <w:rPr>
          <w:lang w:val="es"/>
        </w:rPr>
        <w:t>. Este INF resume la estructura y los detalles adicionales de las actividades y mecanismos previstos para el período 2023-2033.</w:t>
      </w:r>
    </w:p>
    <w:p w14:paraId="1727431B" w14:textId="5A7BA17B" w:rsidR="008B72C9" w:rsidRPr="00D62BCD" w:rsidRDefault="008B72C9" w:rsidP="00D40F6B">
      <w:pPr>
        <w:pStyle w:val="WMOBodyText"/>
        <w:rPr>
          <w:lang w:val="es-ES"/>
        </w:rPr>
      </w:pPr>
      <w:r>
        <w:rPr>
          <w:lang w:val="es"/>
        </w:rPr>
        <w:t xml:space="preserve">El plan final de </w:t>
      </w:r>
      <w:r w:rsidR="00770675">
        <w:rPr>
          <w:lang w:val="es"/>
        </w:rPr>
        <w:t>ejecución</w:t>
      </w:r>
      <w:r>
        <w:rPr>
          <w:lang w:val="es"/>
        </w:rPr>
        <w:t xml:space="preserve"> y de recursos, incluido el mandato propuesto para los </w:t>
      </w:r>
      <w:r w:rsidR="00A06D2D">
        <w:rPr>
          <w:lang w:val="es"/>
        </w:rPr>
        <w:t xml:space="preserve">mecanismos </w:t>
      </w:r>
      <w:r w:rsidR="00B51B86">
        <w:rPr>
          <w:lang w:val="es"/>
        </w:rPr>
        <w:t>nuevos y los principales</w:t>
      </w:r>
      <w:r>
        <w:rPr>
          <w:lang w:val="es"/>
        </w:rPr>
        <w:t xml:space="preserve">, se presentará en 2023 tras un proceso de </w:t>
      </w:r>
      <w:r w:rsidR="00850486">
        <w:rPr>
          <w:lang w:val="es"/>
        </w:rPr>
        <w:t>examen</w:t>
      </w:r>
      <w:r w:rsidR="00BB4245">
        <w:rPr>
          <w:lang w:val="es"/>
        </w:rPr>
        <w:t xml:space="preserve"> por pares</w:t>
      </w:r>
      <w:r>
        <w:rPr>
          <w:lang w:val="es"/>
        </w:rPr>
        <w:t>.</w:t>
      </w:r>
    </w:p>
    <w:p w14:paraId="58462CE9" w14:textId="77777777" w:rsidR="008B72C9" w:rsidRPr="00D62BCD" w:rsidRDefault="00AA6584" w:rsidP="00D40F6B">
      <w:pPr>
        <w:pStyle w:val="Heading3"/>
        <w:numPr>
          <w:ilvl w:val="0"/>
          <w:numId w:val="11"/>
        </w:numPr>
        <w:ind w:left="1134" w:hanging="1134"/>
        <w:rPr>
          <w:lang w:val="es-ES"/>
        </w:rPr>
      </w:pPr>
      <w:r>
        <w:rPr>
          <w:lang w:val="es"/>
        </w:rPr>
        <w:t>SERVICIOS METEOROLÓGICOS Y CLIMÁTICOS: LA SITUACIÓN ACTUAL DEL SECTOR DE LA SALUD</w:t>
      </w:r>
    </w:p>
    <w:p w14:paraId="1735D923" w14:textId="703CE008" w:rsidR="00D40F6B" w:rsidRPr="00D62BCD" w:rsidRDefault="008B72C9" w:rsidP="00D40F6B">
      <w:pPr>
        <w:pStyle w:val="WMOBodyText"/>
        <w:rPr>
          <w:lang w:val="es-ES"/>
        </w:rPr>
      </w:pPr>
      <w:r>
        <w:rPr>
          <w:lang w:val="es"/>
        </w:rPr>
        <w:t xml:space="preserve">El cambio climático está afectando negativamente a la salud mental y física de las personas en todo el mundo y </w:t>
      </w:r>
      <w:r w:rsidR="00DA6A74">
        <w:rPr>
          <w:lang w:val="es"/>
        </w:rPr>
        <w:t>supone</w:t>
      </w:r>
      <w:r>
        <w:rPr>
          <w:lang w:val="es"/>
        </w:rPr>
        <w:t xml:space="preserve"> el mayor riesgo para la salud mundial. Según el Sexto Informe de Evaluación del Grupo Intergubernamental de Expertos sobre el Cambio Climático, el cambio climático y los fenómenos extremos conexos están a punto de aumentar significativamente la </w:t>
      </w:r>
      <w:r w:rsidR="00874D4B">
        <w:rPr>
          <w:lang w:val="es"/>
        </w:rPr>
        <w:t>falta de</w:t>
      </w:r>
      <w:r>
        <w:rPr>
          <w:lang w:val="es"/>
        </w:rPr>
        <w:t xml:space="preserve"> salud, las muertes prematuras y el sufrimiento tanto a corto como a largo plazo, sin una mitigación y adaptación sustanciales.</w:t>
      </w:r>
      <w:r>
        <w:rPr>
          <w:vertAlign w:val="superscript"/>
          <w:lang w:val="es"/>
        </w:rPr>
        <w:footnoteReference w:id="2"/>
      </w:r>
    </w:p>
    <w:p w14:paraId="07D7DC2D" w14:textId="082BE35D" w:rsidR="008B72C9" w:rsidRPr="00D62BCD" w:rsidRDefault="008B72C9" w:rsidP="00402DFC">
      <w:pPr>
        <w:pStyle w:val="WMOIndent2"/>
        <w:numPr>
          <w:ilvl w:val="0"/>
          <w:numId w:val="9"/>
        </w:numPr>
        <w:ind w:left="1134" w:hanging="567"/>
        <w:rPr>
          <w:rStyle w:val="eop"/>
          <w:rFonts w:cs="Arial"/>
          <w:color w:val="000000"/>
          <w:lang w:val="es-ES"/>
        </w:rPr>
      </w:pPr>
      <w:r>
        <w:rPr>
          <w:lang w:val="es"/>
        </w:rPr>
        <w:t>La</w:t>
      </w:r>
      <w:r>
        <w:rPr>
          <w:rStyle w:val="eop"/>
          <w:rFonts w:cs="Arial"/>
          <w:color w:val="000000"/>
          <w:lang w:val="es"/>
        </w:rPr>
        <w:t xml:space="preserve"> exposición de la población a </w:t>
      </w:r>
      <w:r>
        <w:rPr>
          <w:rStyle w:val="eop"/>
          <w:rFonts w:cs="Arial"/>
          <w:b/>
          <w:bCs/>
          <w:color w:val="000000"/>
          <w:lang w:val="es"/>
        </w:rPr>
        <w:t>las olas de calor</w:t>
      </w:r>
      <w:r>
        <w:rPr>
          <w:rStyle w:val="eop"/>
          <w:rFonts w:cs="Arial"/>
          <w:color w:val="000000"/>
          <w:lang w:val="es"/>
        </w:rPr>
        <w:t xml:space="preserve"> seguirá aumentando con el calentamiento adicional, con fuertes diferencias geográficas en la mortalidad relacionada con el calor sin adaptación adicional. </w:t>
      </w:r>
      <w:r>
        <w:rPr>
          <w:rStyle w:val="eop"/>
          <w:rFonts w:cs="Arial"/>
          <w:b/>
          <w:bCs/>
          <w:color w:val="000000"/>
          <w:lang w:val="es"/>
        </w:rPr>
        <w:t>Las zonas urbanas</w:t>
      </w:r>
      <w:r>
        <w:rPr>
          <w:rStyle w:val="eop"/>
          <w:rFonts w:cs="Arial"/>
          <w:color w:val="000000"/>
          <w:lang w:val="es"/>
        </w:rPr>
        <w:t xml:space="preserve">, que </w:t>
      </w:r>
      <w:r>
        <w:rPr>
          <w:rStyle w:val="eop"/>
          <w:rFonts w:cs="Arial"/>
          <w:color w:val="000000"/>
          <w:lang w:val="es"/>
        </w:rPr>
        <w:lastRenderedPageBreak/>
        <w:t xml:space="preserve">representan </w:t>
      </w:r>
      <w:r w:rsidR="001E5CEC" w:rsidRPr="001E5CEC">
        <w:rPr>
          <w:rStyle w:val="eop"/>
          <w:rFonts w:cs="Arial"/>
          <w:color w:val="000000"/>
          <w:lang w:val="es"/>
        </w:rPr>
        <w:t>que representan una proporción mayoritaria y creciente de la población mundial</w:t>
      </w:r>
      <w:r>
        <w:rPr>
          <w:rStyle w:val="eop"/>
          <w:rFonts w:cs="Arial"/>
          <w:color w:val="000000"/>
          <w:lang w:val="es"/>
        </w:rPr>
        <w:t xml:space="preserve">, </w:t>
      </w:r>
      <w:r w:rsidR="00D160D9">
        <w:rPr>
          <w:rStyle w:val="eop"/>
          <w:rFonts w:cs="Arial"/>
          <w:color w:val="000000"/>
          <w:lang w:val="es"/>
        </w:rPr>
        <w:t>se ven</w:t>
      </w:r>
      <w:r>
        <w:rPr>
          <w:rStyle w:val="eop"/>
          <w:rFonts w:cs="Arial"/>
          <w:color w:val="000000"/>
          <w:lang w:val="es"/>
        </w:rPr>
        <w:t xml:space="preserve"> particularmente afectadas y vulnerables.</w:t>
      </w:r>
    </w:p>
    <w:p w14:paraId="7F265042" w14:textId="77777777" w:rsidR="008B72C9" w:rsidRPr="00D62BCD" w:rsidRDefault="008B72C9" w:rsidP="00402DFC">
      <w:pPr>
        <w:pStyle w:val="WMOIndent2"/>
        <w:numPr>
          <w:ilvl w:val="0"/>
          <w:numId w:val="9"/>
        </w:numPr>
        <w:ind w:left="1134" w:hanging="567"/>
        <w:rPr>
          <w:rStyle w:val="eop"/>
          <w:rFonts w:cs="Arial"/>
          <w:color w:val="000000"/>
          <w:lang w:val="es-ES"/>
        </w:rPr>
      </w:pPr>
      <w:r>
        <w:rPr>
          <w:rStyle w:val="eop"/>
          <w:rFonts w:cs="Arial"/>
          <w:color w:val="000000"/>
          <w:lang w:val="es"/>
        </w:rPr>
        <w:t xml:space="preserve">La mala </w:t>
      </w:r>
      <w:r>
        <w:rPr>
          <w:rStyle w:val="eop"/>
          <w:rFonts w:cs="Arial"/>
          <w:b/>
          <w:bCs/>
          <w:color w:val="000000"/>
          <w:lang w:val="es"/>
        </w:rPr>
        <w:t>calidad del aire</w:t>
      </w:r>
      <w:r>
        <w:rPr>
          <w:rStyle w:val="eop"/>
          <w:rFonts w:cs="Arial"/>
          <w:color w:val="000000"/>
          <w:lang w:val="es"/>
        </w:rPr>
        <w:t xml:space="preserve"> ambiente es responsable de 7 millones de muertes al año. Los incendios forestales, la arena y el polvo, el polen y la contaminación se ven exacerbados por el cambio climático.</w:t>
      </w:r>
    </w:p>
    <w:p w14:paraId="7BE1F0BB" w14:textId="1073858C" w:rsidR="008B72C9" w:rsidRPr="00D62BCD" w:rsidRDefault="008B72C9" w:rsidP="00402DFC">
      <w:pPr>
        <w:pStyle w:val="WMOIndent2"/>
        <w:numPr>
          <w:ilvl w:val="0"/>
          <w:numId w:val="9"/>
        </w:numPr>
        <w:ind w:left="1134" w:hanging="567"/>
        <w:rPr>
          <w:rStyle w:val="eop"/>
          <w:rFonts w:cs="Arial"/>
          <w:color w:val="000000"/>
          <w:lang w:val="es-ES"/>
        </w:rPr>
      </w:pPr>
      <w:r>
        <w:rPr>
          <w:rStyle w:val="eop"/>
          <w:rFonts w:cs="Arial"/>
          <w:color w:val="000000"/>
          <w:lang w:val="es"/>
        </w:rPr>
        <w:t xml:space="preserve">En 2019, la magnitud global de </w:t>
      </w:r>
      <w:r>
        <w:rPr>
          <w:rStyle w:val="eop"/>
          <w:rFonts w:cs="Arial"/>
          <w:b/>
          <w:bCs/>
          <w:color w:val="000000"/>
          <w:lang w:val="es"/>
        </w:rPr>
        <w:t xml:space="preserve">las enfermedades </w:t>
      </w:r>
      <w:r w:rsidR="00B31BB6">
        <w:rPr>
          <w:rStyle w:val="eop"/>
          <w:rFonts w:cs="Arial"/>
          <w:b/>
          <w:bCs/>
          <w:color w:val="000000"/>
          <w:lang w:val="es"/>
        </w:rPr>
        <w:t>susceptibles</w:t>
      </w:r>
      <w:r>
        <w:rPr>
          <w:rStyle w:val="eop"/>
          <w:rFonts w:cs="Arial"/>
          <w:b/>
          <w:bCs/>
          <w:color w:val="000000"/>
          <w:lang w:val="es"/>
        </w:rPr>
        <w:t xml:space="preserve"> al clima</w:t>
      </w:r>
      <w:r>
        <w:rPr>
          <w:rStyle w:val="eop"/>
          <w:rFonts w:cs="Arial"/>
          <w:color w:val="000000"/>
          <w:lang w:val="es"/>
        </w:rPr>
        <w:t xml:space="preserve"> se estimó en 39 503 684 muertes y 1 530 630 442 años de vida ajustados </w:t>
      </w:r>
      <w:r w:rsidR="007D2F92">
        <w:rPr>
          <w:rStyle w:val="eop"/>
          <w:rFonts w:cs="Arial"/>
          <w:color w:val="000000"/>
          <w:lang w:val="es"/>
        </w:rPr>
        <w:t>en función de la</w:t>
      </w:r>
      <w:r>
        <w:rPr>
          <w:rStyle w:val="eop"/>
          <w:rFonts w:cs="Arial"/>
          <w:color w:val="000000"/>
          <w:lang w:val="es"/>
        </w:rPr>
        <w:t xml:space="preserve"> discapacidad</w:t>
      </w:r>
      <w:r>
        <w:rPr>
          <w:rStyle w:val="FootnoteReference"/>
          <w:rFonts w:cs="Arial"/>
          <w:color w:val="000000"/>
          <w:lang w:val="es"/>
        </w:rPr>
        <w:footnoteReference w:id="3"/>
      </w:r>
      <w:r>
        <w:rPr>
          <w:rStyle w:val="eop"/>
          <w:rFonts w:cs="Arial"/>
          <w:color w:val="000000"/>
          <w:lang w:val="es"/>
        </w:rPr>
        <w:t xml:space="preserve">. Se prevé que los riesgos de enfermedades </w:t>
      </w:r>
      <w:r w:rsidR="004C6B1F">
        <w:rPr>
          <w:rStyle w:val="eop"/>
          <w:rFonts w:cs="Arial"/>
          <w:color w:val="000000"/>
          <w:lang w:val="es"/>
        </w:rPr>
        <w:t xml:space="preserve">susceptibles al clima </w:t>
      </w:r>
      <w:r>
        <w:rPr>
          <w:rStyle w:val="eop"/>
          <w:rFonts w:cs="Arial"/>
          <w:color w:val="000000"/>
          <w:lang w:val="es"/>
        </w:rPr>
        <w:t xml:space="preserve">transmitidas por los alimentos, el agua y los vectores aumenten en todos los niveles de calentamiento sin </w:t>
      </w:r>
      <w:r w:rsidR="00156437">
        <w:rPr>
          <w:rStyle w:val="eop"/>
          <w:rFonts w:cs="Arial"/>
          <w:color w:val="000000"/>
          <w:lang w:val="es"/>
        </w:rPr>
        <w:t>que se produzca una</w:t>
      </w:r>
      <w:r>
        <w:rPr>
          <w:rStyle w:val="eop"/>
          <w:rFonts w:cs="Arial"/>
          <w:color w:val="000000"/>
          <w:lang w:val="es"/>
        </w:rPr>
        <w:t xml:space="preserve"> adaptación adicional.</w:t>
      </w:r>
    </w:p>
    <w:p w14:paraId="25DD2069" w14:textId="77777777" w:rsidR="008B72C9" w:rsidRPr="00D62BCD" w:rsidRDefault="008B72C9" w:rsidP="00402DFC">
      <w:pPr>
        <w:pStyle w:val="WMOIndent2"/>
        <w:numPr>
          <w:ilvl w:val="0"/>
          <w:numId w:val="9"/>
        </w:numPr>
        <w:ind w:left="1134" w:hanging="567"/>
        <w:rPr>
          <w:rStyle w:val="eop"/>
          <w:rFonts w:cs="Arial"/>
          <w:color w:val="000000"/>
          <w:lang w:val="es-ES"/>
        </w:rPr>
      </w:pPr>
      <w:r>
        <w:rPr>
          <w:rStyle w:val="eop"/>
          <w:rFonts w:cs="Arial"/>
          <w:color w:val="000000"/>
          <w:lang w:val="es"/>
        </w:rPr>
        <w:t xml:space="preserve">Se prevé que el cambio climático exacerbe </w:t>
      </w:r>
      <w:r>
        <w:rPr>
          <w:rStyle w:val="eop"/>
          <w:rFonts w:cs="Arial"/>
          <w:b/>
          <w:bCs/>
          <w:color w:val="000000"/>
          <w:lang w:val="es"/>
        </w:rPr>
        <w:t>la malnutrición</w:t>
      </w:r>
      <w:r>
        <w:rPr>
          <w:rStyle w:val="eop"/>
          <w:rFonts w:cs="Arial"/>
          <w:color w:val="000000"/>
          <w:lang w:val="es"/>
        </w:rPr>
        <w:t xml:space="preserve"> con un millón de casos adicionales de retraso del crecimiento de moderado a grave en niños menores de 5 años, para 2030, en el marco del PCR 8.5, solo en 44 países</w:t>
      </w:r>
      <w:r>
        <w:rPr>
          <w:rStyle w:val="FootnoteReference"/>
          <w:rFonts w:cs="Arial"/>
          <w:color w:val="000000"/>
          <w:lang w:val="es"/>
        </w:rPr>
        <w:footnoteReference w:id="4"/>
      </w:r>
      <w:r>
        <w:rPr>
          <w:rStyle w:val="eop"/>
          <w:rFonts w:cs="Arial"/>
          <w:color w:val="000000"/>
          <w:lang w:val="es"/>
        </w:rPr>
        <w:t>.</w:t>
      </w:r>
    </w:p>
    <w:p w14:paraId="2F3113F8" w14:textId="465B1A04" w:rsidR="008B72C9" w:rsidRPr="00D62BCD" w:rsidRDefault="008B72C9" w:rsidP="00402DFC">
      <w:pPr>
        <w:pStyle w:val="WMOIndent2"/>
        <w:numPr>
          <w:ilvl w:val="0"/>
          <w:numId w:val="9"/>
        </w:numPr>
        <w:ind w:left="1134" w:hanging="567"/>
        <w:rPr>
          <w:rStyle w:val="eop"/>
          <w:rFonts w:cs="Arial"/>
          <w:color w:val="000000"/>
          <w:lang w:val="es-ES"/>
        </w:rPr>
      </w:pPr>
      <w:r>
        <w:rPr>
          <w:rStyle w:val="eop"/>
          <w:rFonts w:cs="Arial"/>
          <w:color w:val="000000"/>
          <w:lang w:val="es"/>
        </w:rPr>
        <w:t xml:space="preserve">La </w:t>
      </w:r>
      <w:r w:rsidR="00D44CAF">
        <w:rPr>
          <w:rStyle w:val="eop"/>
          <w:rFonts w:cs="Arial"/>
          <w:color w:val="000000"/>
          <w:lang w:val="es"/>
        </w:rPr>
        <w:t>asistencia sanitaria</w:t>
      </w:r>
      <w:r>
        <w:rPr>
          <w:rStyle w:val="eop"/>
          <w:rFonts w:cs="Arial"/>
          <w:color w:val="000000"/>
          <w:lang w:val="es"/>
        </w:rPr>
        <w:t xml:space="preserve"> contribuye al </w:t>
      </w:r>
      <w:r>
        <w:rPr>
          <w:rStyle w:val="eop"/>
          <w:rFonts w:cs="Arial"/>
          <w:b/>
          <w:bCs/>
          <w:color w:val="000000"/>
          <w:lang w:val="es"/>
        </w:rPr>
        <w:t>4</w:t>
      </w:r>
      <w:r w:rsidR="001A2FC6">
        <w:rPr>
          <w:rStyle w:val="eop"/>
          <w:rFonts w:cs="Arial"/>
          <w:b/>
          <w:bCs/>
          <w:color w:val="000000"/>
          <w:lang w:val="es"/>
        </w:rPr>
        <w:t>,</w:t>
      </w:r>
      <w:r>
        <w:rPr>
          <w:rStyle w:val="eop"/>
          <w:rFonts w:cs="Arial"/>
          <w:b/>
          <w:bCs/>
          <w:color w:val="000000"/>
          <w:lang w:val="es"/>
        </w:rPr>
        <w:t>4</w:t>
      </w:r>
      <w:r w:rsidR="00C35D1C">
        <w:rPr>
          <w:rStyle w:val="eop"/>
          <w:rFonts w:cs="Arial"/>
          <w:b/>
          <w:bCs/>
          <w:color w:val="000000"/>
          <w:lang w:val="es"/>
        </w:rPr>
        <w:t> </w:t>
      </w:r>
      <w:r>
        <w:rPr>
          <w:rStyle w:val="eop"/>
          <w:rFonts w:cs="Arial"/>
          <w:b/>
          <w:bCs/>
          <w:color w:val="000000"/>
          <w:lang w:val="es"/>
        </w:rPr>
        <w:t>% de las emisiones netas mundiales</w:t>
      </w:r>
      <w:r>
        <w:rPr>
          <w:rStyle w:val="eop"/>
          <w:rFonts w:cs="Arial"/>
          <w:color w:val="000000"/>
          <w:lang w:val="es"/>
        </w:rPr>
        <w:t xml:space="preserve"> de gases de efecto invernadero, lo que la sitúa como el quinto mayor emisor del planeta, si la atención de la salud fuera un país.</w:t>
      </w:r>
      <w:r>
        <w:rPr>
          <w:rStyle w:val="FootnoteReference"/>
          <w:rFonts w:cs="Arial"/>
          <w:color w:val="000000"/>
          <w:lang w:val="es"/>
        </w:rPr>
        <w:footnoteReference w:id="5"/>
      </w:r>
    </w:p>
    <w:p w14:paraId="08D7D0F0" w14:textId="689806C5" w:rsidR="008B72C9" w:rsidRPr="00D62BCD" w:rsidRDefault="008B72C9" w:rsidP="00402DFC">
      <w:pPr>
        <w:pStyle w:val="WMOIndent2"/>
        <w:numPr>
          <w:ilvl w:val="0"/>
          <w:numId w:val="9"/>
        </w:numPr>
        <w:ind w:left="1134" w:hanging="567"/>
        <w:rPr>
          <w:rStyle w:val="eop"/>
          <w:rFonts w:cs="Arial"/>
          <w:color w:val="000000"/>
          <w:lang w:val="es-ES"/>
        </w:rPr>
      </w:pPr>
      <w:r>
        <w:rPr>
          <w:rStyle w:val="eop"/>
          <w:rFonts w:cs="Arial"/>
          <w:color w:val="000000"/>
          <w:lang w:val="es"/>
        </w:rPr>
        <w:t xml:space="preserve">Además, los peligros </w:t>
      </w:r>
      <w:r w:rsidR="00870AEB">
        <w:rPr>
          <w:rStyle w:val="eop"/>
          <w:rFonts w:cs="Arial"/>
          <w:color w:val="000000"/>
          <w:lang w:val="es"/>
        </w:rPr>
        <w:t>relacionados con el clima</w:t>
      </w:r>
      <w:r>
        <w:rPr>
          <w:rStyle w:val="eop"/>
          <w:rFonts w:cs="Arial"/>
          <w:color w:val="000000"/>
          <w:lang w:val="es"/>
        </w:rPr>
        <w:t xml:space="preserve"> como el calor extremo, las precipitaciones, la sequía o las </w:t>
      </w:r>
      <w:r w:rsidR="00870AEB">
        <w:rPr>
          <w:rStyle w:val="eop"/>
          <w:rFonts w:cs="Arial"/>
          <w:color w:val="000000"/>
          <w:lang w:val="es"/>
        </w:rPr>
        <w:t>crecidas</w:t>
      </w:r>
      <w:r>
        <w:rPr>
          <w:rStyle w:val="eop"/>
          <w:rFonts w:cs="Arial"/>
          <w:color w:val="000000"/>
          <w:lang w:val="es"/>
        </w:rPr>
        <w:t xml:space="preserve"> activan las vías de riesgo en cascada con una secuencia de eventos secundarios, conectados causalmente, que pueden interrumpir la infraestructura crítica de </w:t>
      </w:r>
      <w:r w:rsidR="00153B8B">
        <w:rPr>
          <w:rStyle w:val="eop"/>
          <w:rFonts w:cs="Arial"/>
          <w:color w:val="000000"/>
          <w:lang w:val="es"/>
        </w:rPr>
        <w:t>atención a la salud</w:t>
      </w:r>
      <w:r>
        <w:rPr>
          <w:rStyle w:val="eop"/>
          <w:rFonts w:cs="Arial"/>
          <w:color w:val="000000"/>
          <w:lang w:val="es"/>
        </w:rPr>
        <w:t xml:space="preserve"> pública y </w:t>
      </w:r>
      <w:r w:rsidR="00A43DD4">
        <w:rPr>
          <w:rStyle w:val="eop"/>
          <w:rFonts w:cs="Arial"/>
          <w:color w:val="000000"/>
          <w:lang w:val="es"/>
        </w:rPr>
        <w:t>a la sanidad</w:t>
      </w:r>
      <w:r>
        <w:rPr>
          <w:rStyle w:val="eop"/>
          <w:rFonts w:cs="Arial"/>
          <w:color w:val="000000"/>
          <w:lang w:val="es"/>
        </w:rPr>
        <w:t xml:space="preserve">, </w:t>
      </w:r>
      <w:r w:rsidR="001E16B1">
        <w:rPr>
          <w:rStyle w:val="eop"/>
          <w:rFonts w:cs="Arial"/>
          <w:color w:val="000000"/>
          <w:lang w:val="es"/>
        </w:rPr>
        <w:t xml:space="preserve">que son </w:t>
      </w:r>
      <w:r>
        <w:rPr>
          <w:rStyle w:val="eop"/>
          <w:rFonts w:cs="Arial"/>
          <w:color w:val="000000"/>
          <w:lang w:val="es"/>
        </w:rPr>
        <w:t>vital</w:t>
      </w:r>
      <w:r w:rsidR="001E16B1">
        <w:rPr>
          <w:rStyle w:val="eop"/>
          <w:rFonts w:cs="Arial"/>
          <w:color w:val="000000"/>
          <w:lang w:val="es"/>
        </w:rPr>
        <w:t>es</w:t>
      </w:r>
      <w:r>
        <w:rPr>
          <w:rStyle w:val="eop"/>
          <w:rFonts w:cs="Arial"/>
          <w:color w:val="000000"/>
          <w:lang w:val="es"/>
        </w:rPr>
        <w:t xml:space="preserve"> para una sociedad funcional.</w:t>
      </w:r>
    </w:p>
    <w:p w14:paraId="5A77315F" w14:textId="3FB34AFA" w:rsidR="008B72C9" w:rsidRPr="00D62BCD" w:rsidRDefault="008B72C9" w:rsidP="004A5D76">
      <w:pPr>
        <w:pStyle w:val="WMOBodyText"/>
        <w:ind w:right="-170"/>
        <w:rPr>
          <w:lang w:val="es-ES"/>
        </w:rPr>
      </w:pPr>
      <w:r>
        <w:rPr>
          <w:lang w:val="es"/>
        </w:rPr>
        <w:t xml:space="preserve">Estos duros hallazgos informan la priorización de cuatro grandes áreas de desafío de este </w:t>
      </w:r>
      <w:r w:rsidR="007B54A7">
        <w:rPr>
          <w:lang w:val="es"/>
        </w:rPr>
        <w:t>P</w:t>
      </w:r>
      <w:r>
        <w:rPr>
          <w:lang w:val="es"/>
        </w:rPr>
        <w:t xml:space="preserve">lan de </w:t>
      </w:r>
      <w:r w:rsidR="007B54A7">
        <w:rPr>
          <w:lang w:val="es"/>
        </w:rPr>
        <w:t>E</w:t>
      </w:r>
      <w:r w:rsidR="00AC7593">
        <w:rPr>
          <w:lang w:val="es"/>
        </w:rPr>
        <w:t>jecución</w:t>
      </w:r>
      <w:r>
        <w:rPr>
          <w:lang w:val="es"/>
        </w:rPr>
        <w:t>. La adaptación a los riesgos para la salud ambiental, dinámicos y acelerados, amplificados por el cambio climático, requiere un enfoque coordinado entre los sectores para crear capacidades que puedan integrar habilidades, personas, datos y conocimientos para una toma de decisiones mejorada y ágil.</w:t>
      </w:r>
    </w:p>
    <w:p w14:paraId="29ADED78" w14:textId="3FEEFA0D" w:rsidR="008B72C9" w:rsidRPr="00D62BCD" w:rsidRDefault="009D15E0" w:rsidP="00D40F6B">
      <w:pPr>
        <w:pStyle w:val="WMOBodyText"/>
        <w:rPr>
          <w:lang w:val="es-ES"/>
        </w:rPr>
      </w:pPr>
      <w:r w:rsidRPr="009D15E0">
        <w:rPr>
          <w:lang w:val="es"/>
        </w:rPr>
        <w:t xml:space="preserve">En la actualidad, el sector </w:t>
      </w:r>
      <w:r>
        <w:rPr>
          <w:lang w:val="es"/>
        </w:rPr>
        <w:t>de la salud</w:t>
      </w:r>
      <w:r w:rsidRPr="009D15E0">
        <w:rPr>
          <w:lang w:val="es"/>
        </w:rPr>
        <w:t xml:space="preserve"> no aprovecha la ciencia y la tecnología disponibles </w:t>
      </w:r>
      <w:r w:rsidR="00BB715A">
        <w:rPr>
          <w:lang w:val="es"/>
        </w:rPr>
        <w:t>en materia d</w:t>
      </w:r>
      <w:r w:rsidRPr="009D15E0">
        <w:rPr>
          <w:lang w:val="es"/>
        </w:rPr>
        <w:t xml:space="preserve">el clima, el tiempo y el medioambiente </w:t>
      </w:r>
      <w:r w:rsidR="004C63D3">
        <w:rPr>
          <w:lang w:val="es"/>
        </w:rPr>
        <w:t>en lo que respecta a</w:t>
      </w:r>
      <w:r w:rsidRPr="009D15E0">
        <w:rPr>
          <w:lang w:val="es"/>
        </w:rPr>
        <w:t xml:space="preserve"> su forma de </w:t>
      </w:r>
      <w:r w:rsidR="006836EE">
        <w:rPr>
          <w:lang w:val="es"/>
        </w:rPr>
        <w:t>llevar a cabo negocios</w:t>
      </w:r>
      <w:r w:rsidRPr="009D15E0">
        <w:rPr>
          <w:lang w:val="es"/>
        </w:rPr>
        <w:t xml:space="preserve"> y de tomar decisiones programáticas y financieras</w:t>
      </w:r>
      <w:r w:rsidR="008B72C9">
        <w:rPr>
          <w:lang w:val="es"/>
        </w:rPr>
        <w:t xml:space="preserve">. Los enfoques específicos para integrar los servicios meteorológicos, climáticos y medioambientales </w:t>
      </w:r>
      <w:r w:rsidR="00670002">
        <w:rPr>
          <w:lang w:val="es"/>
        </w:rPr>
        <w:t>en</w:t>
      </w:r>
      <w:r w:rsidR="008B72C9">
        <w:rPr>
          <w:lang w:val="es"/>
        </w:rPr>
        <w:t xml:space="preserve"> la práctica de la salud pública pueden abordar esta situación. Ante el cambio climático, los servicios climáticos, meteorológicos y medioambientales integrados son una herramienta indispensable para </w:t>
      </w:r>
      <w:r w:rsidR="007B1437">
        <w:rPr>
          <w:lang w:val="es"/>
        </w:rPr>
        <w:t xml:space="preserve">el control </w:t>
      </w:r>
      <w:r w:rsidR="008B72C9">
        <w:rPr>
          <w:lang w:val="es"/>
        </w:rPr>
        <w:t xml:space="preserve">de la salud, las investigaciones </w:t>
      </w:r>
      <w:r w:rsidR="000A2E8E">
        <w:rPr>
          <w:lang w:val="es"/>
        </w:rPr>
        <w:t>de</w:t>
      </w:r>
      <w:r w:rsidR="00C474AB">
        <w:rPr>
          <w:lang w:val="es"/>
        </w:rPr>
        <w:t xml:space="preserve"> </w:t>
      </w:r>
      <w:r w:rsidR="000A2E8E">
        <w:rPr>
          <w:lang w:val="es"/>
        </w:rPr>
        <w:t>brotes epidémicos</w:t>
      </w:r>
      <w:r w:rsidR="008B72C9">
        <w:rPr>
          <w:lang w:val="es"/>
        </w:rPr>
        <w:t>, las evaluaciones de riesgos para la salud, la prestación de servicios de salud, la investigación, las políticas, la planificación a largo plazo y la toma de decisiones programáticas.</w:t>
      </w:r>
    </w:p>
    <w:p w14:paraId="107BD3E9" w14:textId="088FB886" w:rsidR="008B72C9" w:rsidRPr="00D62BCD" w:rsidRDefault="008B72C9" w:rsidP="00D40F6B">
      <w:pPr>
        <w:pStyle w:val="WMOBodyText"/>
        <w:rPr>
          <w:lang w:val="es-ES"/>
        </w:rPr>
      </w:pPr>
      <w:r>
        <w:rPr>
          <w:lang w:val="es"/>
        </w:rPr>
        <w:t xml:space="preserve">En muchos </w:t>
      </w:r>
      <w:r w:rsidR="008223B2">
        <w:rPr>
          <w:lang w:val="es"/>
        </w:rPr>
        <w:t>P</w:t>
      </w:r>
      <w:r>
        <w:rPr>
          <w:lang w:val="es"/>
        </w:rPr>
        <w:t xml:space="preserve">lanes </w:t>
      </w:r>
      <w:r w:rsidR="008223B2">
        <w:rPr>
          <w:lang w:val="es"/>
        </w:rPr>
        <w:t>N</w:t>
      </w:r>
      <w:r>
        <w:rPr>
          <w:lang w:val="es"/>
        </w:rPr>
        <w:t xml:space="preserve">acionales de </w:t>
      </w:r>
      <w:r w:rsidR="008223B2">
        <w:rPr>
          <w:lang w:val="es"/>
        </w:rPr>
        <w:t>A</w:t>
      </w:r>
      <w:r>
        <w:rPr>
          <w:lang w:val="es"/>
        </w:rPr>
        <w:t xml:space="preserve">daptación </w:t>
      </w:r>
      <w:r w:rsidR="008223B2">
        <w:rPr>
          <w:lang w:val="es"/>
        </w:rPr>
        <w:t>de</w:t>
      </w:r>
      <w:r>
        <w:rPr>
          <w:lang w:val="es"/>
        </w:rPr>
        <w:t xml:space="preserve"> la </w:t>
      </w:r>
      <w:r w:rsidR="008223B2">
        <w:rPr>
          <w:lang w:val="es"/>
        </w:rPr>
        <w:t>S</w:t>
      </w:r>
      <w:r>
        <w:rPr>
          <w:lang w:val="es"/>
        </w:rPr>
        <w:t xml:space="preserve">alud se ha determinado que los servicios climáticos y los instrumentos </w:t>
      </w:r>
      <w:r w:rsidR="00841EC3">
        <w:rPr>
          <w:lang w:val="es"/>
        </w:rPr>
        <w:t>para la</w:t>
      </w:r>
      <w:r>
        <w:rPr>
          <w:lang w:val="es"/>
        </w:rPr>
        <w:t xml:space="preserve"> adopción de decisiones en materia de salud basados en el clima son fundamentales para apoyar l</w:t>
      </w:r>
      <w:r w:rsidR="00B10BF7">
        <w:rPr>
          <w:lang w:val="es"/>
        </w:rPr>
        <w:t xml:space="preserve">as labores </w:t>
      </w:r>
      <w:r>
        <w:rPr>
          <w:lang w:val="es"/>
        </w:rPr>
        <w:t xml:space="preserve">de prevención de la salud pública. Como </w:t>
      </w:r>
      <w:r>
        <w:rPr>
          <w:lang w:val="es"/>
        </w:rPr>
        <w:lastRenderedPageBreak/>
        <w:t xml:space="preserve">parte de este proceso, la </w:t>
      </w:r>
      <w:r w:rsidR="00FB04D2">
        <w:rPr>
          <w:lang w:val="es"/>
        </w:rPr>
        <w:t>climatología</w:t>
      </w:r>
      <w:r>
        <w:rPr>
          <w:lang w:val="es"/>
        </w:rPr>
        <w:t xml:space="preserve"> es esencial para informar </w:t>
      </w:r>
      <w:r w:rsidR="00653150">
        <w:rPr>
          <w:lang w:val="es"/>
        </w:rPr>
        <w:t xml:space="preserve">de </w:t>
      </w:r>
      <w:r>
        <w:rPr>
          <w:lang w:val="es"/>
        </w:rPr>
        <w:t xml:space="preserve">las evaluaciones de vulnerabilidad y adaptación a la salud </w:t>
      </w:r>
      <w:r w:rsidR="00FB00FD">
        <w:rPr>
          <w:lang w:val="es"/>
        </w:rPr>
        <w:t>con el fin de</w:t>
      </w:r>
      <w:r>
        <w:rPr>
          <w:lang w:val="es"/>
        </w:rPr>
        <w:t xml:space="preserve"> comprender los riesgos y las oportunidades locales. Los servicios climáticos también se han utilizado para determinados instrumentos de predicción, la vigilancia integrada de la salud y el clima, la creación de observatorios de la salud, las predicciones relacionadas con el clima (</w:t>
      </w:r>
      <w:r w:rsidR="00B62E8F">
        <w:rPr>
          <w:lang w:val="es"/>
        </w:rPr>
        <w:t>crecidas</w:t>
      </w:r>
      <w:r>
        <w:rPr>
          <w:lang w:val="es"/>
        </w:rPr>
        <w:t xml:space="preserve">, olas de calor) y los sistemas de alerta temprana basados en el impacto para las enfermedades transmitidas por vectores y las olas de calor y frío. Sin embargo, en la actualidad estos enfoques siguen siendo ejemplos, en lugar de enfoques integrados. Estas actividades son fundamentales para desarrollar la capacidad de adaptación del sector de la salud. Lamentablemente, los Ministerios de Salud informan de que siguen siendo los más insuficientemente financiados y difíciles de </w:t>
      </w:r>
      <w:r w:rsidR="00556F53">
        <w:rPr>
          <w:lang w:val="es"/>
        </w:rPr>
        <w:t>implementar</w:t>
      </w:r>
      <w:r>
        <w:rPr>
          <w:lang w:val="es"/>
        </w:rPr>
        <w:t>.</w:t>
      </w:r>
      <w:r>
        <w:rPr>
          <w:vertAlign w:val="superscript"/>
          <w:lang w:val="es"/>
        </w:rPr>
        <w:footnoteReference w:id="6"/>
      </w:r>
    </w:p>
    <w:p w14:paraId="797D57C6" w14:textId="361BF55C" w:rsidR="008B72C9" w:rsidRPr="00D62BCD" w:rsidRDefault="008B72C9" w:rsidP="00D40F6B">
      <w:pPr>
        <w:pStyle w:val="WMOBodyText"/>
        <w:rPr>
          <w:lang w:val="es-ES"/>
        </w:rPr>
      </w:pPr>
      <w:r>
        <w:rPr>
          <w:lang w:val="es"/>
        </w:rPr>
        <w:t xml:space="preserve">Aprovechar el tiempo, el clima y los servicios </w:t>
      </w:r>
      <w:r w:rsidR="00BE1E5E">
        <w:rPr>
          <w:lang w:val="es"/>
        </w:rPr>
        <w:t>medio</w:t>
      </w:r>
      <w:r>
        <w:rPr>
          <w:lang w:val="es"/>
        </w:rPr>
        <w:t xml:space="preserve">ambientales mejorará la resiliencia del sector de la salud al clima, el clima extremo y la peligrosa calidad del aire. Además, abrirá vías importantes para contribuir al cumplimiento de múltiples metas de los ODS, el Marco de </w:t>
      </w:r>
      <w:proofErr w:type="spellStart"/>
      <w:r w:rsidR="00847AC7" w:rsidRPr="00847AC7">
        <w:rPr>
          <w:lang w:val="es"/>
        </w:rPr>
        <w:t>Sendái</w:t>
      </w:r>
      <w:proofErr w:type="spellEnd"/>
      <w:r w:rsidR="00847AC7" w:rsidRPr="00847AC7">
        <w:rPr>
          <w:lang w:val="es"/>
        </w:rPr>
        <w:t xml:space="preserve"> </w:t>
      </w:r>
      <w:r>
        <w:rPr>
          <w:lang w:val="es"/>
        </w:rPr>
        <w:t xml:space="preserve">y el Acuerdo de París. </w:t>
      </w:r>
      <w:r w:rsidR="00393665">
        <w:rPr>
          <w:lang w:val="es"/>
        </w:rPr>
        <w:t>Desafortunadamente</w:t>
      </w:r>
      <w:r>
        <w:rPr>
          <w:lang w:val="es"/>
        </w:rPr>
        <w:t>,</w:t>
      </w:r>
      <w:r w:rsidR="00A53760">
        <w:rPr>
          <w:lang w:val="es"/>
        </w:rPr>
        <w:t xml:space="preserve"> la</w:t>
      </w:r>
      <w:r>
        <w:rPr>
          <w:lang w:val="es"/>
        </w:rPr>
        <w:t xml:space="preserve"> </w:t>
      </w:r>
      <w:r w:rsidR="00A53760">
        <w:rPr>
          <w:lang w:val="es"/>
        </w:rPr>
        <w:t>comunidad de</w:t>
      </w:r>
      <w:r w:rsidR="00B935D1">
        <w:rPr>
          <w:lang w:val="es"/>
        </w:rPr>
        <w:t>l ámbito</w:t>
      </w:r>
      <w:r w:rsidR="00A53760">
        <w:rPr>
          <w:lang w:val="es"/>
        </w:rPr>
        <w:t xml:space="preserve"> </w:t>
      </w:r>
      <w:r w:rsidR="00B935D1">
        <w:rPr>
          <w:lang w:val="es"/>
        </w:rPr>
        <w:t xml:space="preserve">de </w:t>
      </w:r>
      <w:r w:rsidR="00A53760">
        <w:rPr>
          <w:lang w:val="es"/>
        </w:rPr>
        <w:t xml:space="preserve">la salud </w:t>
      </w:r>
      <w:r>
        <w:rPr>
          <w:lang w:val="es"/>
        </w:rPr>
        <w:t xml:space="preserve">sigue </w:t>
      </w:r>
      <w:r w:rsidR="00B935D1">
        <w:rPr>
          <w:lang w:val="es"/>
        </w:rPr>
        <w:t>estando muy aislada con respecto a</w:t>
      </w:r>
      <w:r>
        <w:rPr>
          <w:lang w:val="es"/>
        </w:rPr>
        <w:t xml:space="preserve"> otros sectores, y</w:t>
      </w:r>
      <w:r w:rsidR="0012575A">
        <w:rPr>
          <w:lang w:val="es"/>
        </w:rPr>
        <w:t xml:space="preserve"> existe </w:t>
      </w:r>
      <w:r>
        <w:rPr>
          <w:lang w:val="es"/>
        </w:rPr>
        <w:t xml:space="preserve">un desajuste entre la oferta de servicios climáticos, meteorológicos y medioambientales </w:t>
      </w:r>
      <w:r w:rsidR="001F72EC">
        <w:rPr>
          <w:lang w:val="es"/>
        </w:rPr>
        <w:t>y su uso en la esfera de la salud pública</w:t>
      </w:r>
      <w:r>
        <w:rPr>
          <w:lang w:val="es"/>
        </w:rPr>
        <w:t xml:space="preserve">. La ciencia y los servicios disponibles a menudo se desarrollan </w:t>
      </w:r>
      <w:r w:rsidR="004D7299">
        <w:rPr>
          <w:lang w:val="es"/>
        </w:rPr>
        <w:t>sin tener en cuenta</w:t>
      </w:r>
      <w:r>
        <w:rPr>
          <w:lang w:val="es"/>
        </w:rPr>
        <w:t xml:space="preserve"> </w:t>
      </w:r>
      <w:r w:rsidR="00B97843">
        <w:rPr>
          <w:lang w:val="es"/>
        </w:rPr>
        <w:t>a</w:t>
      </w:r>
      <w:r>
        <w:rPr>
          <w:lang w:val="es"/>
        </w:rPr>
        <w:t xml:space="preserve"> los </w:t>
      </w:r>
      <w:r w:rsidR="00F92CB2" w:rsidRPr="00F92CB2">
        <w:rPr>
          <w:lang w:val="es"/>
        </w:rPr>
        <w:t xml:space="preserve">responsables de la adopción de decisiones </w:t>
      </w:r>
      <w:r w:rsidR="00F92CB2">
        <w:rPr>
          <w:lang w:val="es"/>
        </w:rPr>
        <w:t>en materia de</w:t>
      </w:r>
      <w:r>
        <w:rPr>
          <w:lang w:val="es"/>
        </w:rPr>
        <w:t xml:space="preserve"> salud y, por lo tanto, tienden a ser </w:t>
      </w:r>
      <w:r w:rsidR="00A06F24">
        <w:rPr>
          <w:lang w:val="es"/>
        </w:rPr>
        <w:t>infrautilizados</w:t>
      </w:r>
      <w:r>
        <w:rPr>
          <w:lang w:val="es"/>
        </w:rPr>
        <w:t xml:space="preserve">, inaccesibles, inasequibles y </w:t>
      </w:r>
      <w:r w:rsidR="007B1635" w:rsidRPr="007B1635">
        <w:rPr>
          <w:lang w:val="es"/>
        </w:rPr>
        <w:t>descontextualizados</w:t>
      </w:r>
      <w:r>
        <w:rPr>
          <w:lang w:val="es"/>
        </w:rPr>
        <w:t>.</w:t>
      </w:r>
    </w:p>
    <w:p w14:paraId="589D47BB" w14:textId="521404CF" w:rsidR="008B72C9" w:rsidRPr="00D62BCD" w:rsidRDefault="008B72C9" w:rsidP="00D40F6B">
      <w:pPr>
        <w:pStyle w:val="WMOBodyText"/>
        <w:rPr>
          <w:rStyle w:val="eop"/>
          <w:rFonts w:cs="Arial"/>
          <w:color w:val="000000" w:themeColor="text1"/>
          <w:lang w:val="es-ES"/>
        </w:rPr>
      </w:pPr>
      <w:r>
        <w:rPr>
          <w:lang w:val="es"/>
        </w:rPr>
        <w:t xml:space="preserve">Los obstáculos financieros, políticos o institucionales reducen la viabilidad de la </w:t>
      </w:r>
      <w:r w:rsidR="007E168D">
        <w:rPr>
          <w:lang w:val="es"/>
        </w:rPr>
        <w:t>aplicación</w:t>
      </w:r>
      <w:r>
        <w:rPr>
          <w:lang w:val="es"/>
        </w:rPr>
        <w:t xml:space="preserve"> de estas herramientas. </w:t>
      </w:r>
      <w:r w:rsidR="007E168D">
        <w:rPr>
          <w:lang w:val="es"/>
        </w:rPr>
        <w:t>El</w:t>
      </w:r>
      <w:r>
        <w:rPr>
          <w:lang w:val="es"/>
        </w:rPr>
        <w:t xml:space="preserve"> esca</w:t>
      </w:r>
      <w:r w:rsidR="007E168D">
        <w:rPr>
          <w:lang w:val="es"/>
        </w:rPr>
        <w:t>so</w:t>
      </w:r>
      <w:r>
        <w:rPr>
          <w:lang w:val="es"/>
        </w:rPr>
        <w:t xml:space="preserve"> </w:t>
      </w:r>
      <w:r w:rsidR="007E168D">
        <w:rPr>
          <w:lang w:val="es"/>
        </w:rPr>
        <w:t>uso</w:t>
      </w:r>
      <w:r>
        <w:rPr>
          <w:lang w:val="es"/>
        </w:rPr>
        <w:t xml:space="preserve"> organizativ</w:t>
      </w:r>
      <w:r w:rsidR="007E168D">
        <w:rPr>
          <w:lang w:val="es"/>
        </w:rPr>
        <w:t>o</w:t>
      </w:r>
      <w:r>
        <w:rPr>
          <w:lang w:val="es"/>
        </w:rPr>
        <w:t xml:space="preserve"> de los servicios climáticos en el sector de la salud se debe también a obstáculos técnicos y no técnicos, como la falta de conocimiento de los recursos disponibles y de cómo interpretar y utilizar la información climática. </w:t>
      </w:r>
      <w:r w:rsidR="00F441A2" w:rsidRPr="00F441A2">
        <w:rPr>
          <w:lang w:val="es"/>
        </w:rPr>
        <w:t xml:space="preserve">Entre los obstáculos que impiden una integración </w:t>
      </w:r>
      <w:r w:rsidR="00F441A2">
        <w:rPr>
          <w:lang w:val="es"/>
        </w:rPr>
        <w:t xml:space="preserve">sin </w:t>
      </w:r>
      <w:r w:rsidR="003115AA">
        <w:rPr>
          <w:lang w:val="es"/>
        </w:rPr>
        <w:t xml:space="preserve">fisuras </w:t>
      </w:r>
      <w:r w:rsidR="00F441A2" w:rsidRPr="00F441A2">
        <w:rPr>
          <w:lang w:val="es"/>
        </w:rPr>
        <w:t xml:space="preserve">de los servicios climáticos por parte del sector </w:t>
      </w:r>
      <w:r w:rsidR="005928C8">
        <w:rPr>
          <w:lang w:val="es"/>
        </w:rPr>
        <w:t>de la salud</w:t>
      </w:r>
      <w:r w:rsidR="00F441A2" w:rsidRPr="00F441A2">
        <w:rPr>
          <w:lang w:val="es"/>
        </w:rPr>
        <w:t xml:space="preserve"> se encuentran, por ejemplo, las discrepancias básicas en la escala espacial de los datos climáticos, que no coinciden con los límites administrativos relevantes para el sector sanitario, lo que hace que la información sea inutilizable si no se invierte en su procesamiento posterior</w:t>
      </w:r>
      <w:r w:rsidR="005928C8">
        <w:rPr>
          <w:lang w:val="es"/>
        </w:rPr>
        <w:t>.</w:t>
      </w:r>
      <w:r>
        <w:rPr>
          <w:lang w:val="es"/>
        </w:rPr>
        <w:t xml:space="preserve"> Es posible que la escala temporal de los datos climáticos tampoco corresponda a las necesidades del sector de la salud, al</w:t>
      </w:r>
      <w:r>
        <w:rPr>
          <w:rStyle w:val="eop"/>
          <w:rFonts w:cs="Arial"/>
          <w:color w:val="000000" w:themeColor="text1"/>
          <w:lang w:val="es"/>
        </w:rPr>
        <w:t xml:space="preserve"> proporcionar datos que no son procesables. </w:t>
      </w:r>
      <w:r w:rsidR="004A2886">
        <w:rPr>
          <w:rStyle w:val="eop"/>
          <w:rFonts w:cs="Arial"/>
          <w:color w:val="000000" w:themeColor="text1"/>
          <w:lang w:val="es"/>
        </w:rPr>
        <w:t>El</w:t>
      </w:r>
      <w:r>
        <w:rPr>
          <w:rStyle w:val="eop"/>
          <w:rFonts w:cs="Arial"/>
          <w:color w:val="000000" w:themeColor="text1"/>
          <w:lang w:val="es"/>
        </w:rPr>
        <w:t xml:space="preserve"> </w:t>
      </w:r>
      <w:r w:rsidR="004A2886">
        <w:rPr>
          <w:rStyle w:val="eop"/>
          <w:rFonts w:cs="Arial"/>
          <w:color w:val="000000" w:themeColor="text1"/>
          <w:lang w:val="es"/>
        </w:rPr>
        <w:t>momento de obtención</w:t>
      </w:r>
      <w:r>
        <w:rPr>
          <w:rStyle w:val="eop"/>
          <w:rFonts w:cs="Arial"/>
          <w:color w:val="000000" w:themeColor="text1"/>
          <w:lang w:val="es"/>
        </w:rPr>
        <w:t xml:space="preserve"> y accesibilidad de los datos climáticos y ambientales es otro aspecto crucial que puede impedir la oportuna adopción de datos por parte de la comunidad </w:t>
      </w:r>
      <w:r w:rsidR="004A2886">
        <w:rPr>
          <w:rStyle w:val="eop"/>
          <w:rFonts w:cs="Arial"/>
          <w:color w:val="000000" w:themeColor="text1"/>
          <w:lang w:val="es"/>
        </w:rPr>
        <w:t>del ámbito de la salud</w:t>
      </w:r>
      <w:r>
        <w:rPr>
          <w:rStyle w:val="eop"/>
          <w:rFonts w:cs="Arial"/>
          <w:color w:val="000000" w:themeColor="text1"/>
          <w:lang w:val="es"/>
        </w:rPr>
        <w:t>. Es posible que las discrepancias entre los ciclos de planificación administrativa y las proyecciones climáticas no se presten a la integración de los servicios climáticos en los planes de salud pública.</w:t>
      </w:r>
    </w:p>
    <w:p w14:paraId="24D5B411" w14:textId="01E1F99B" w:rsidR="008B72C9" w:rsidRPr="00D62BCD" w:rsidRDefault="008B72C9" w:rsidP="009406F6">
      <w:pPr>
        <w:pStyle w:val="paragraph"/>
        <w:ind w:right="-170"/>
        <w:textAlignment w:val="baseline"/>
        <w:rPr>
          <w:rStyle w:val="normaltextrun"/>
          <w:rFonts w:ascii="Verdana" w:eastAsia="Arial" w:hAnsi="Verdana" w:cs="Arial"/>
          <w:color w:val="000000" w:themeColor="text1"/>
          <w:sz w:val="20"/>
          <w:szCs w:val="20"/>
          <w:lang w:val="es-ES"/>
        </w:rPr>
      </w:pPr>
      <w:r>
        <w:rPr>
          <w:rStyle w:val="eop"/>
          <w:rFonts w:ascii="Verdana" w:hAnsi="Verdana" w:cs="Arial"/>
          <w:color w:val="000000" w:themeColor="text1"/>
          <w:sz w:val="20"/>
          <w:szCs w:val="20"/>
          <w:lang w:val="es"/>
        </w:rPr>
        <w:t xml:space="preserve">Las incertidumbres y la falta de credibilidad en las proyecciones climáticas también pueden dificultar el uso de datos climáticos por parte de las autoridades sanitarias. Estos impedimentos sistémicos a la integración de los servicios climáticos en el sector de la salud requieren un </w:t>
      </w:r>
      <w:r w:rsidR="007B54A7">
        <w:rPr>
          <w:rStyle w:val="eop"/>
          <w:rFonts w:ascii="Verdana" w:hAnsi="Verdana" w:cs="Arial"/>
          <w:color w:val="000000" w:themeColor="text1"/>
          <w:sz w:val="20"/>
          <w:szCs w:val="20"/>
          <w:lang w:val="es"/>
        </w:rPr>
        <w:t>P</w:t>
      </w:r>
      <w:r>
        <w:rPr>
          <w:rStyle w:val="eop"/>
          <w:rFonts w:ascii="Verdana" w:hAnsi="Verdana" w:cs="Arial"/>
          <w:color w:val="000000" w:themeColor="text1"/>
          <w:sz w:val="20"/>
          <w:szCs w:val="20"/>
          <w:lang w:val="es"/>
        </w:rPr>
        <w:t xml:space="preserve">lan de </w:t>
      </w:r>
      <w:r w:rsidR="007B54A7">
        <w:rPr>
          <w:rStyle w:val="eop"/>
          <w:rFonts w:ascii="Verdana" w:hAnsi="Verdana" w:cs="Arial"/>
          <w:color w:val="000000" w:themeColor="text1"/>
          <w:sz w:val="20"/>
          <w:szCs w:val="20"/>
          <w:lang w:val="es"/>
        </w:rPr>
        <w:t>E</w:t>
      </w:r>
      <w:r w:rsidR="000F75F4">
        <w:rPr>
          <w:rStyle w:val="eop"/>
          <w:rFonts w:ascii="Verdana" w:hAnsi="Verdana" w:cs="Arial"/>
          <w:color w:val="000000" w:themeColor="text1"/>
          <w:sz w:val="20"/>
          <w:szCs w:val="20"/>
          <w:lang w:val="es"/>
        </w:rPr>
        <w:t>jecución</w:t>
      </w:r>
      <w:r>
        <w:rPr>
          <w:rStyle w:val="eop"/>
          <w:rFonts w:ascii="Verdana" w:hAnsi="Verdana" w:cs="Arial"/>
          <w:color w:val="000000" w:themeColor="text1"/>
          <w:sz w:val="20"/>
          <w:szCs w:val="20"/>
          <w:lang w:val="es"/>
        </w:rPr>
        <w:t xml:space="preserve"> institucional con implicaciones de largo alcance para los impactos del cambio climático en la salud pública. Abordar los desafíos subyacentes de la interoperabilidad de datos, la alfabetización climática y la capacidad de recursos humanos son, por lo tanto, objetivos fundamentales de este plan.</w:t>
      </w:r>
    </w:p>
    <w:p w14:paraId="3569AF91" w14:textId="77777777" w:rsidR="008B72C9" w:rsidRPr="00D40F6B" w:rsidRDefault="00AA6584" w:rsidP="00D40F6B">
      <w:pPr>
        <w:pStyle w:val="Heading3"/>
        <w:numPr>
          <w:ilvl w:val="0"/>
          <w:numId w:val="11"/>
        </w:numPr>
        <w:ind w:left="1134" w:hanging="1134"/>
      </w:pPr>
      <w:r>
        <w:rPr>
          <w:lang w:val="es"/>
        </w:rPr>
        <w:t>EL CONTEXTO INSTITUCIONAL</w:t>
      </w:r>
    </w:p>
    <w:p w14:paraId="32811AC7" w14:textId="6146A265" w:rsidR="008B72C9" w:rsidRPr="00D62BCD" w:rsidRDefault="008B72C9" w:rsidP="00D40F6B">
      <w:pPr>
        <w:pStyle w:val="WMOBodyText"/>
        <w:rPr>
          <w:lang w:val="es-ES"/>
        </w:rPr>
      </w:pPr>
      <w:r>
        <w:rPr>
          <w:lang w:val="es"/>
        </w:rPr>
        <w:t>Este plan pone en práctica los objetivos del Marco de Colaboración de la OMS y la OMM sobre el Clima, el Medio</w:t>
      </w:r>
      <w:r w:rsidR="0061317D">
        <w:rPr>
          <w:lang w:val="es"/>
        </w:rPr>
        <w:t>a</w:t>
      </w:r>
      <w:r>
        <w:rPr>
          <w:lang w:val="es"/>
        </w:rPr>
        <w:t>mbiente y la Salud (2018)</w:t>
      </w:r>
      <w:r w:rsidR="00BE3D9E">
        <w:rPr>
          <w:lang w:val="es"/>
        </w:rPr>
        <w:t>;</w:t>
      </w:r>
      <w:r>
        <w:rPr>
          <w:lang w:val="es"/>
        </w:rPr>
        <w:t xml:space="preserve"> </w:t>
      </w:r>
      <w:r w:rsidR="00DB0F50">
        <w:rPr>
          <w:lang w:val="es"/>
        </w:rPr>
        <w:t xml:space="preserve">la </w:t>
      </w:r>
      <w:r>
        <w:rPr>
          <w:lang w:val="es"/>
        </w:rPr>
        <w:t xml:space="preserve">Resolución 33 (Cg-18) sobre el Avance de los Servicios Integrados de Salud y el Plan Maestro de la OMS y la OMM de la Ciencia de la Salud, </w:t>
      </w:r>
      <w:r>
        <w:rPr>
          <w:lang w:val="es"/>
        </w:rPr>
        <w:lastRenderedPageBreak/>
        <w:t>el Medio Ambiente y el Clima a los Servicios (2019–2023)</w:t>
      </w:r>
      <w:r w:rsidR="007F465F">
        <w:rPr>
          <w:lang w:val="es"/>
        </w:rPr>
        <w:t xml:space="preserve"> del Decimoctavo Congreso Meteorológico Mundial (Cg-18).</w:t>
      </w:r>
    </w:p>
    <w:p w14:paraId="1DED1A9D" w14:textId="469E53CE" w:rsidR="008B72C9" w:rsidRPr="00D62BCD" w:rsidRDefault="008B72C9" w:rsidP="00402DFC">
      <w:pPr>
        <w:pStyle w:val="WMOBodyText"/>
        <w:rPr>
          <w:rStyle w:val="eop"/>
          <w:rFonts w:cs="Segoe UI"/>
          <w:lang w:val="es-ES"/>
        </w:rPr>
      </w:pPr>
      <w:r>
        <w:rPr>
          <w:lang w:val="es"/>
        </w:rPr>
        <w:t>En el marco del marco de colaboración (2018), la OMS y la OMM acordaron colaborar y, cuando proceda, trabajar juntas en torno a cinco objetivos comunes:</w:t>
      </w:r>
    </w:p>
    <w:p w14:paraId="2C22B61A" w14:textId="7358E6DE" w:rsidR="008B72C9" w:rsidRPr="00D62BCD" w:rsidRDefault="003C3045" w:rsidP="00402DFC">
      <w:pPr>
        <w:pStyle w:val="WMOIndent1"/>
        <w:numPr>
          <w:ilvl w:val="0"/>
          <w:numId w:val="12"/>
        </w:numPr>
        <w:tabs>
          <w:tab w:val="clear" w:pos="720"/>
        </w:tabs>
        <w:ind w:left="567" w:hanging="567"/>
        <w:rPr>
          <w:lang w:val="es-ES"/>
        </w:rPr>
      </w:pPr>
      <w:r>
        <w:rPr>
          <w:lang w:val="es"/>
        </w:rPr>
        <w:t>promover la armonización de las políticas aplicables y concienciar sobre los riesgos relacionados con el medioambiente y el clima y sobre las soluciones concebidas para proteger la salud humana;  </w:t>
      </w:r>
    </w:p>
    <w:p w14:paraId="4AB0DEB5" w14:textId="43C3E356" w:rsidR="008B72C9" w:rsidRPr="00D62BCD" w:rsidRDefault="003C3045" w:rsidP="00402DFC">
      <w:pPr>
        <w:pStyle w:val="WMOIndent1"/>
        <w:numPr>
          <w:ilvl w:val="0"/>
          <w:numId w:val="12"/>
        </w:numPr>
        <w:tabs>
          <w:tab w:val="clear" w:pos="720"/>
        </w:tabs>
        <w:ind w:left="567" w:hanging="567"/>
        <w:rPr>
          <w:lang w:val="es-ES"/>
        </w:rPr>
      </w:pPr>
      <w:r>
        <w:rPr>
          <w:lang w:val="es"/>
        </w:rPr>
        <w:t xml:space="preserve">promover la </w:t>
      </w:r>
      <w:r w:rsidR="00757E4A">
        <w:rPr>
          <w:lang w:val="es"/>
        </w:rPr>
        <w:t>creación</w:t>
      </w:r>
      <w:r>
        <w:rPr>
          <w:lang w:val="es"/>
        </w:rPr>
        <w:t xml:space="preserve"> de pruebas científicas y su aplicación;  </w:t>
      </w:r>
    </w:p>
    <w:p w14:paraId="7E5CA8BB" w14:textId="1011F6F1" w:rsidR="008B72C9" w:rsidRPr="00D62BCD" w:rsidRDefault="00352F40" w:rsidP="00402DFC">
      <w:pPr>
        <w:pStyle w:val="WMOIndent1"/>
        <w:numPr>
          <w:ilvl w:val="0"/>
          <w:numId w:val="12"/>
        </w:numPr>
        <w:tabs>
          <w:tab w:val="clear" w:pos="720"/>
        </w:tabs>
        <w:ind w:left="567" w:hanging="567"/>
        <w:rPr>
          <w:lang w:val="es-ES"/>
        </w:rPr>
      </w:pPr>
      <w:r>
        <w:rPr>
          <w:lang w:val="es"/>
        </w:rPr>
        <w:t>e</w:t>
      </w:r>
      <w:r w:rsidR="003C3045">
        <w:rPr>
          <w:lang w:val="es"/>
        </w:rPr>
        <w:t>stablecer mecanismos y asociaciones de carácter técnico adecuados con miras a facilitar la elaboración, el suministro, la consulta y la utilización de datos y productos de información adaptados al destinatario sobre el tiempo, el clima y los riesgos medioambientales para la salud;   </w:t>
      </w:r>
    </w:p>
    <w:p w14:paraId="43C20C1D" w14:textId="2651282A" w:rsidR="008B72C9" w:rsidRPr="00D62BCD" w:rsidRDefault="00352F40" w:rsidP="00402DFC">
      <w:pPr>
        <w:pStyle w:val="WMOIndent1"/>
        <w:numPr>
          <w:ilvl w:val="0"/>
          <w:numId w:val="12"/>
        </w:numPr>
        <w:tabs>
          <w:tab w:val="clear" w:pos="720"/>
        </w:tabs>
        <w:ind w:left="567" w:hanging="567"/>
        <w:rPr>
          <w:lang w:val="es-ES"/>
        </w:rPr>
      </w:pPr>
      <w:r>
        <w:rPr>
          <w:lang w:val="es"/>
        </w:rPr>
        <w:t>e</w:t>
      </w:r>
      <w:r w:rsidR="003C3045">
        <w:rPr>
          <w:lang w:val="es"/>
        </w:rPr>
        <w:t>laborar y difundir orientación de carácter técnico y normativo, herramientas y publicaciones científicas, y otras medidas encaminadas a apoyar el desarrollo de capacidad;  </w:t>
      </w:r>
    </w:p>
    <w:p w14:paraId="065789E2" w14:textId="1DB58CEF" w:rsidR="008B72C9" w:rsidRPr="00D62BCD" w:rsidRDefault="00352F40" w:rsidP="00402DFC">
      <w:pPr>
        <w:pStyle w:val="WMOIndent1"/>
        <w:numPr>
          <w:ilvl w:val="0"/>
          <w:numId w:val="12"/>
        </w:numPr>
        <w:tabs>
          <w:tab w:val="clear" w:pos="720"/>
        </w:tabs>
        <w:ind w:left="567" w:hanging="567"/>
        <w:rPr>
          <w:rStyle w:val="eop"/>
          <w:rFonts w:cs="Arial"/>
          <w:lang w:val="es-ES"/>
        </w:rPr>
      </w:pPr>
      <w:r>
        <w:rPr>
          <w:lang w:val="es"/>
        </w:rPr>
        <w:t>s</w:t>
      </w:r>
      <w:r w:rsidR="003C3045">
        <w:rPr>
          <w:lang w:val="es"/>
        </w:rPr>
        <w:t>upervisar los avances en el acceso y la utilización de información meteorológica, climática, hidrológica y medioambiental fiable y</w:t>
      </w:r>
      <w:r w:rsidR="003C3045">
        <w:rPr>
          <w:rStyle w:val="normaltextrun"/>
          <w:rFonts w:cs="Arial"/>
          <w:lang w:val="es"/>
        </w:rPr>
        <w:t xml:space="preserve"> pertinente.  </w:t>
      </w:r>
    </w:p>
    <w:p w14:paraId="6751524E" w14:textId="23971365" w:rsidR="008B72C9" w:rsidRPr="00D62BCD" w:rsidRDefault="008B72C9" w:rsidP="00D40F6B">
      <w:pPr>
        <w:pStyle w:val="WMOBodyText"/>
        <w:rPr>
          <w:lang w:val="es-ES"/>
        </w:rPr>
      </w:pPr>
      <w:r>
        <w:rPr>
          <w:lang w:val="es"/>
        </w:rPr>
        <w:t>En los primeros 5 años de este acuerdo, se establecieron metas y actividades</w:t>
      </w:r>
      <w:r>
        <w:rPr>
          <w:vertAlign w:val="superscript"/>
          <w:lang w:val="es"/>
        </w:rPr>
        <w:footnoteReference w:id="7"/>
      </w:r>
      <w:r>
        <w:rPr>
          <w:lang w:val="es"/>
        </w:rPr>
        <w:t>, y se aprobó la Resolución 33 (Cg-18) sobre el Avance de los Servicios de Salud Integrados</w:t>
      </w:r>
      <w:r w:rsidR="005F0558">
        <w:rPr>
          <w:vertAlign w:val="superscript"/>
          <w:lang w:val="es"/>
        </w:rPr>
        <w:footnoteReference w:id="8"/>
      </w:r>
      <w:r>
        <w:rPr>
          <w:lang w:val="es"/>
        </w:rPr>
        <w:t xml:space="preserve">, que estableció prioridades técnicas y estratégicas para la colaboración conjunta. Sin embargo, no se establecieron mecanismos ni requisitos financieros claros sobre la forma de alcanzar esos objetivos. Si bien es evidente que las estructuras bilaterales y multilaterales establecidas en los últimos 10 años crean las condiciones para la colaboración institucional mundial entre los sectores de la salud y el clima, </w:t>
      </w:r>
      <w:r w:rsidR="007F444B">
        <w:rPr>
          <w:lang w:val="es"/>
        </w:rPr>
        <w:t>e</w:t>
      </w:r>
      <w:r>
        <w:rPr>
          <w:lang w:val="es"/>
        </w:rPr>
        <w:t>stas son insuficientes para alcanzar los objetivos deseados. La consideración de nuevos mecanismos, enfoques innovadores y la plena participación de la amplia gama de socios técnicos en los gobiernos nacionales y subnacionales, el sector privado, las universidades y las redes multilaterales es fundamental para escalar el desarrollo y la aplicación de las ciencias del clima, el clima y el medio ambiente para mejorar la planificación, la preparación y la resiliencia en el sector de la salud.</w:t>
      </w:r>
    </w:p>
    <w:p w14:paraId="35CF64CF" w14:textId="77777777" w:rsidR="008B72C9" w:rsidRPr="00D62BCD" w:rsidRDefault="00AA6584" w:rsidP="00D40F6B">
      <w:pPr>
        <w:pStyle w:val="Heading3"/>
        <w:numPr>
          <w:ilvl w:val="0"/>
          <w:numId w:val="11"/>
        </w:numPr>
        <w:ind w:left="1134" w:hanging="1134"/>
        <w:rPr>
          <w:lang w:val="es-ES"/>
        </w:rPr>
      </w:pPr>
      <w:r>
        <w:rPr>
          <w:lang w:val="es"/>
        </w:rPr>
        <w:t>VISIÓN Y TEORÍA DEL CAMBIO PARA APROVECHAR LOS SERVICIOS CLIMÁTICOS PARA LA PROTECCIÓN DE LA SALUD</w:t>
      </w:r>
    </w:p>
    <w:p w14:paraId="705B374E" w14:textId="2058FC7D" w:rsidR="008B72C9" w:rsidRPr="00D62BCD" w:rsidRDefault="008B72C9" w:rsidP="00154D09">
      <w:pPr>
        <w:pStyle w:val="WMOBodyText"/>
        <w:spacing w:after="240"/>
        <w:rPr>
          <w:rStyle w:val="eop"/>
          <w:rFonts w:cs="Segoe UI"/>
          <w:lang w:val="es-ES"/>
        </w:rPr>
      </w:pPr>
      <w:r>
        <w:rPr>
          <w:rStyle w:val="normaltextrun"/>
          <w:rFonts w:cs="Segoe UI"/>
          <w:lang w:val="es"/>
        </w:rPr>
        <w:t xml:space="preserve">El liderazgo conjunto y la implementación de los mecanismos y acciones propuestos tanto por la OMM como por la Organización Mundial de la Salud son fundamentales para lograr </w:t>
      </w:r>
      <w:r>
        <w:rPr>
          <w:rStyle w:val="normaltextrun"/>
          <w:rFonts w:cs="Segoe UI"/>
          <w:b/>
          <w:bCs/>
          <w:i/>
          <w:iCs/>
          <w:lang w:val="es"/>
        </w:rPr>
        <w:t>"una mejor salud y bienestar para las personas que se enfrentan a los fenómenos meteorológicos extremos, el cambio climático y los riesgos ambientales existentes y emergentes a través de la integración efectiva del clima, el medioambiente y la ciencia de la salud y los servicios en todo el mundo".</w:t>
      </w:r>
      <w:r>
        <w:rPr>
          <w:rStyle w:val="eop"/>
          <w:rFonts w:cs="Segoe UI"/>
          <w:lang w:val="es"/>
        </w:rPr>
        <w:t xml:space="preserve"> Este Plan de </w:t>
      </w:r>
      <w:r w:rsidR="00A2759A">
        <w:rPr>
          <w:rStyle w:val="eop"/>
          <w:rFonts w:cs="Segoe UI"/>
          <w:lang w:val="es"/>
        </w:rPr>
        <w:t>Ejecución</w:t>
      </w:r>
      <w:r>
        <w:rPr>
          <w:rStyle w:val="eop"/>
          <w:rFonts w:cs="Segoe UI"/>
          <w:lang w:val="es"/>
        </w:rPr>
        <w:t xml:space="preserve"> prevé la vía </w:t>
      </w:r>
      <w:r>
        <w:rPr>
          <w:rStyle w:val="eop"/>
          <w:rFonts w:cs="Segoe UI"/>
          <w:lang w:val="es"/>
        </w:rPr>
        <w:lastRenderedPageBreak/>
        <w:t>del cambio (véase la figura 1 a continuación), que incluye cuatro pasos clave de transformación.</w:t>
      </w:r>
    </w:p>
    <w:p w14:paraId="36419592" w14:textId="77777777" w:rsidR="008B72C9" w:rsidRPr="004D0E4B" w:rsidRDefault="008B72C9" w:rsidP="00D40F6B">
      <w:pPr>
        <w:jc w:val="center"/>
        <w:rPr>
          <w:rStyle w:val="normaltextrun"/>
          <w:color w:val="000000"/>
          <w:shd w:val="clear" w:color="auto" w:fill="FFFFFF"/>
        </w:rPr>
      </w:pPr>
      <w:r>
        <w:rPr>
          <w:noProof/>
          <w:lang w:val="es"/>
        </w:rPr>
        <w:drawing>
          <wp:inline distT="0" distB="0" distL="0" distR="0" wp14:anchorId="2F81DD4D" wp14:editId="24139BCE">
            <wp:extent cx="5805169" cy="2069569"/>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rcRect t="17175"/>
                    <a:stretch>
                      <a:fillRect/>
                    </a:stretch>
                  </pic:blipFill>
                  <pic:spPr>
                    <a:xfrm>
                      <a:off x="0" y="0"/>
                      <a:ext cx="5805169" cy="2069569"/>
                    </a:xfrm>
                    <a:prstGeom prst="rect">
                      <a:avLst/>
                    </a:prstGeom>
                  </pic:spPr>
                </pic:pic>
              </a:graphicData>
            </a:graphic>
          </wp:inline>
        </w:drawing>
      </w:r>
    </w:p>
    <w:p w14:paraId="0D13C64D" w14:textId="1674832C" w:rsidR="008B72C9" w:rsidRPr="00D62BCD" w:rsidRDefault="008B72C9" w:rsidP="00154D09">
      <w:pPr>
        <w:spacing w:before="240" w:after="240"/>
        <w:jc w:val="center"/>
        <w:rPr>
          <w:rStyle w:val="normaltextrun"/>
          <w:b/>
          <w:bCs/>
          <w:color w:val="000000"/>
          <w:shd w:val="clear" w:color="auto" w:fill="FFFFFF"/>
          <w:lang w:val="es-ES"/>
        </w:rPr>
      </w:pPr>
      <w:r>
        <w:rPr>
          <w:rStyle w:val="normaltextrun"/>
          <w:b/>
          <w:bCs/>
          <w:color w:val="000000"/>
          <w:shd w:val="clear" w:color="auto" w:fill="FFFFFF"/>
          <w:lang w:val="es"/>
        </w:rPr>
        <w:t>Figura 1</w:t>
      </w:r>
      <w:r w:rsidR="00354DC0">
        <w:rPr>
          <w:rStyle w:val="normaltextrun"/>
          <w:b/>
          <w:bCs/>
          <w:color w:val="000000"/>
          <w:shd w:val="clear" w:color="auto" w:fill="FFFFFF"/>
          <w:lang w:val="es"/>
        </w:rPr>
        <w:t>.</w:t>
      </w:r>
      <w:r>
        <w:rPr>
          <w:rStyle w:val="normaltextrun"/>
          <w:b/>
          <w:bCs/>
          <w:color w:val="000000"/>
          <w:shd w:val="clear" w:color="auto" w:fill="FFFFFF"/>
          <w:lang w:val="es"/>
        </w:rPr>
        <w:t xml:space="preserve"> Teoría del cambio para la </w:t>
      </w:r>
      <w:r w:rsidR="00354DC0">
        <w:rPr>
          <w:rStyle w:val="normaltextrun"/>
          <w:b/>
          <w:bCs/>
          <w:color w:val="000000"/>
          <w:shd w:val="clear" w:color="auto" w:fill="FFFFFF"/>
          <w:lang w:val="es"/>
        </w:rPr>
        <w:t>climatologí</w:t>
      </w:r>
      <w:r w:rsidR="00AE3CD1">
        <w:rPr>
          <w:rStyle w:val="normaltextrun"/>
          <w:b/>
          <w:bCs/>
          <w:color w:val="000000"/>
          <w:shd w:val="clear" w:color="auto" w:fill="FFFFFF"/>
          <w:lang w:val="es"/>
        </w:rPr>
        <w:t>a</w:t>
      </w:r>
      <w:r>
        <w:rPr>
          <w:rStyle w:val="normaltextrun"/>
          <w:b/>
          <w:bCs/>
          <w:color w:val="000000"/>
          <w:shd w:val="clear" w:color="auto" w:fill="FFFFFF"/>
          <w:lang w:val="es"/>
        </w:rPr>
        <w:t xml:space="preserve"> y</w:t>
      </w:r>
      <w:r w:rsidR="00AE3CD1">
        <w:rPr>
          <w:rStyle w:val="normaltextrun"/>
          <w:b/>
          <w:bCs/>
          <w:color w:val="000000"/>
          <w:shd w:val="clear" w:color="auto" w:fill="FFFFFF"/>
          <w:lang w:val="es"/>
        </w:rPr>
        <w:t xml:space="preserve"> los</w:t>
      </w:r>
      <w:r>
        <w:rPr>
          <w:rStyle w:val="normaltextrun"/>
          <w:b/>
          <w:bCs/>
          <w:color w:val="000000"/>
          <w:shd w:val="clear" w:color="auto" w:fill="FFFFFF"/>
          <w:lang w:val="es"/>
        </w:rPr>
        <w:t xml:space="preserve"> servicios para la salud</w:t>
      </w:r>
    </w:p>
    <w:p w14:paraId="4AAB3DA8" w14:textId="77777777" w:rsidR="008B72C9" w:rsidRPr="00D62BCD" w:rsidRDefault="008B72C9" w:rsidP="00D40F6B">
      <w:pPr>
        <w:pStyle w:val="WMOSubTitle1"/>
        <w:rPr>
          <w:lang w:val="es-ES"/>
        </w:rPr>
      </w:pPr>
      <w:r>
        <w:rPr>
          <w:bCs/>
          <w:iCs/>
          <w:lang w:val="es"/>
        </w:rPr>
        <w:t>Paso 1 de la vía: Aplicación de estrategias y actividades clave</w:t>
      </w:r>
    </w:p>
    <w:p w14:paraId="26692D06" w14:textId="1CD6C266" w:rsidR="008B72C9" w:rsidRPr="00D62BCD" w:rsidRDefault="008B72C9" w:rsidP="00402DFC">
      <w:pPr>
        <w:pStyle w:val="paragraph"/>
        <w:spacing w:before="240" w:beforeAutospacing="0" w:after="0" w:afterAutospacing="0"/>
        <w:textAlignment w:val="baseline"/>
        <w:rPr>
          <w:rStyle w:val="normaltextrun"/>
          <w:rFonts w:ascii="Verdana" w:hAnsi="Verdana" w:cs="Arial"/>
          <w:color w:val="000000"/>
          <w:sz w:val="20"/>
          <w:szCs w:val="20"/>
          <w:lang w:val="es-ES"/>
        </w:rPr>
      </w:pPr>
      <w:r>
        <w:rPr>
          <w:rStyle w:val="normaltextrun"/>
          <w:rFonts w:ascii="Verdana" w:hAnsi="Verdana" w:cs="Arial"/>
          <w:color w:val="000000"/>
          <w:sz w:val="20"/>
          <w:szCs w:val="20"/>
          <w:lang w:val="es"/>
        </w:rPr>
        <w:t xml:space="preserve">Los riesgos críticos para la salud causados por la exposición de la población al cambio climático, el clima extremo y las condiciones ambientales son complejos, interactivos y en cascada. El éxito de este Plan de aplicación requerirá mecanismos integrados e híbridos que puedan aprovechar la ciencia, la inteligencia y la capacidad combinadas de muchos sectores y agentes pertinentes. Las estrategias y actividades clave propuestas abarcan seis esferas fundamentales que apoyan las grandes esferas de desafío, a saber, </w:t>
      </w:r>
      <w:r>
        <w:rPr>
          <w:rFonts w:ascii="Verdana" w:hAnsi="Verdana" w:cs="Arial"/>
          <w:color w:val="000000" w:themeColor="text1"/>
          <w:sz w:val="20"/>
          <w:szCs w:val="20"/>
          <w:lang w:val="es"/>
        </w:rPr>
        <w:t>entre otras</w:t>
      </w:r>
      <w:r>
        <w:rPr>
          <w:rStyle w:val="normaltextrun"/>
          <w:rFonts w:ascii="Verdana" w:hAnsi="Verdana" w:cs="Arial"/>
          <w:color w:val="000000"/>
          <w:sz w:val="20"/>
          <w:szCs w:val="20"/>
          <w:lang w:val="es"/>
        </w:rPr>
        <w:t>:</w:t>
      </w:r>
    </w:p>
    <w:p w14:paraId="2BF11499" w14:textId="0E9E534B" w:rsidR="008B72C9" w:rsidRPr="00D62BCD" w:rsidRDefault="00BC0DBF" w:rsidP="00402DFC">
      <w:pPr>
        <w:pStyle w:val="WMOIndent2"/>
        <w:numPr>
          <w:ilvl w:val="0"/>
          <w:numId w:val="6"/>
        </w:numPr>
        <w:ind w:left="1134" w:hanging="567"/>
        <w:rPr>
          <w:lang w:val="es-ES"/>
        </w:rPr>
      </w:pPr>
      <w:r>
        <w:rPr>
          <w:rStyle w:val="normaltextrun"/>
          <w:rFonts w:cs="Arial"/>
          <w:color w:val="000000"/>
          <w:lang w:val="es"/>
        </w:rPr>
        <w:t>e</w:t>
      </w:r>
      <w:r w:rsidR="008B72C9">
        <w:rPr>
          <w:rStyle w:val="normaltextrun"/>
          <w:rFonts w:cs="Arial"/>
          <w:color w:val="000000"/>
          <w:lang w:val="es"/>
        </w:rPr>
        <w:t xml:space="preserve">laborar un programa de la </w:t>
      </w:r>
      <w:r w:rsidR="008B72C9">
        <w:rPr>
          <w:lang w:val="es"/>
        </w:rPr>
        <w:t>OMS y la OMM sobre el clima, el medioambiente y la salud para apoyar las políticas conjuntas y los mecanismos de coordinación a todos los niveles</w:t>
      </w:r>
      <w:r>
        <w:rPr>
          <w:lang w:val="es"/>
        </w:rPr>
        <w:t>;</w:t>
      </w:r>
    </w:p>
    <w:p w14:paraId="5AB00E1E" w14:textId="707DEA96" w:rsidR="008B72C9" w:rsidRPr="00D62BCD" w:rsidRDefault="00BC0DBF" w:rsidP="00402DFC">
      <w:pPr>
        <w:pStyle w:val="WMOIndent2"/>
        <w:numPr>
          <w:ilvl w:val="0"/>
          <w:numId w:val="6"/>
        </w:numPr>
        <w:ind w:left="1134" w:hanging="567"/>
        <w:rPr>
          <w:lang w:val="es-ES"/>
        </w:rPr>
      </w:pPr>
      <w:r>
        <w:rPr>
          <w:lang w:val="es"/>
        </w:rPr>
        <w:t>d</w:t>
      </w:r>
      <w:r w:rsidR="008B72C9">
        <w:rPr>
          <w:lang w:val="es"/>
        </w:rPr>
        <w:t xml:space="preserve">esarrollar la educación y formación transdisciplinaria sobre el clima y la salud, y fortalecer la capacidad institucional de las unidades de apoyo técnico y los </w:t>
      </w:r>
      <w:r>
        <w:rPr>
          <w:lang w:val="es"/>
        </w:rPr>
        <w:t>coordinadores;</w:t>
      </w:r>
    </w:p>
    <w:p w14:paraId="2F1A7B40" w14:textId="32CAF5F3" w:rsidR="008B72C9" w:rsidRPr="00D62BCD" w:rsidRDefault="00BC0DBF" w:rsidP="00402DFC">
      <w:pPr>
        <w:pStyle w:val="WMOIndent2"/>
        <w:numPr>
          <w:ilvl w:val="0"/>
          <w:numId w:val="6"/>
        </w:numPr>
        <w:ind w:left="1134" w:hanging="567"/>
        <w:rPr>
          <w:lang w:val="es-ES"/>
        </w:rPr>
      </w:pPr>
      <w:r>
        <w:rPr>
          <w:lang w:val="es"/>
        </w:rPr>
        <w:t>m</w:t>
      </w:r>
      <w:r w:rsidR="008B72C9">
        <w:rPr>
          <w:lang w:val="es"/>
        </w:rPr>
        <w:t xml:space="preserve">ejorar las habilidades de comunicación de los actores meteorológicos, climáticos, </w:t>
      </w:r>
      <w:r w:rsidR="00583C53">
        <w:rPr>
          <w:lang w:val="es"/>
        </w:rPr>
        <w:t>medio</w:t>
      </w:r>
      <w:r w:rsidR="008B72C9">
        <w:rPr>
          <w:lang w:val="es"/>
        </w:rPr>
        <w:t>ambientales y de salud y el uso de herramientas y plataformas innovadoras</w:t>
      </w:r>
      <w:r>
        <w:rPr>
          <w:lang w:val="es"/>
        </w:rPr>
        <w:t>;</w:t>
      </w:r>
    </w:p>
    <w:p w14:paraId="25F724BD" w14:textId="1672B0B2" w:rsidR="008B72C9" w:rsidRPr="00D62BCD" w:rsidRDefault="00BC0DBF" w:rsidP="00402DFC">
      <w:pPr>
        <w:pStyle w:val="WMOIndent2"/>
        <w:numPr>
          <w:ilvl w:val="0"/>
          <w:numId w:val="6"/>
        </w:numPr>
        <w:ind w:left="1134" w:hanging="567"/>
        <w:rPr>
          <w:lang w:val="es-ES"/>
        </w:rPr>
      </w:pPr>
      <w:r>
        <w:rPr>
          <w:lang w:val="es"/>
        </w:rPr>
        <w:t>e</w:t>
      </w:r>
      <w:r w:rsidR="008B72C9">
        <w:rPr>
          <w:lang w:val="es"/>
        </w:rPr>
        <w:t>stablecer un proceso sistemático para identificar las brechas y prioridades de investigación</w:t>
      </w:r>
      <w:r>
        <w:rPr>
          <w:lang w:val="es"/>
        </w:rPr>
        <w:t>;</w:t>
      </w:r>
    </w:p>
    <w:p w14:paraId="15491C03" w14:textId="48F14EDE" w:rsidR="008B72C9" w:rsidRPr="00D62BCD" w:rsidRDefault="00BC0DBF" w:rsidP="00402DFC">
      <w:pPr>
        <w:pStyle w:val="WMOIndent2"/>
        <w:numPr>
          <w:ilvl w:val="0"/>
          <w:numId w:val="6"/>
        </w:numPr>
        <w:ind w:left="1134" w:hanging="567"/>
        <w:rPr>
          <w:lang w:val="es-ES"/>
        </w:rPr>
      </w:pPr>
      <w:r>
        <w:rPr>
          <w:lang w:val="es"/>
        </w:rPr>
        <w:t>r</w:t>
      </w:r>
      <w:r w:rsidR="008B72C9">
        <w:rPr>
          <w:lang w:val="es"/>
        </w:rPr>
        <w:t>eforzar la interfaz entre el clima y las ciencias de la salud</w:t>
      </w:r>
      <w:r>
        <w:rPr>
          <w:lang w:val="es"/>
        </w:rPr>
        <w:t>;</w:t>
      </w:r>
    </w:p>
    <w:p w14:paraId="30C45F28" w14:textId="6C6B68F2" w:rsidR="008B72C9" w:rsidRPr="00D62BCD" w:rsidRDefault="00BC0DBF" w:rsidP="00402DFC">
      <w:pPr>
        <w:pStyle w:val="WMOIndent2"/>
        <w:numPr>
          <w:ilvl w:val="0"/>
          <w:numId w:val="6"/>
        </w:numPr>
        <w:ind w:left="1134" w:hanging="567"/>
        <w:rPr>
          <w:lang w:val="es-ES"/>
        </w:rPr>
      </w:pPr>
      <w:r>
        <w:rPr>
          <w:lang w:val="es"/>
        </w:rPr>
        <w:t>m</w:t>
      </w:r>
      <w:r w:rsidR="008B72C9">
        <w:rPr>
          <w:lang w:val="es"/>
        </w:rPr>
        <w:t>ejorar la integración y la interoperabilidad de los datos y concienciar sobre los requisitos y las carencias en materia de inversión</w:t>
      </w:r>
      <w:r>
        <w:rPr>
          <w:lang w:val="es"/>
        </w:rPr>
        <w:t>;</w:t>
      </w:r>
    </w:p>
    <w:p w14:paraId="7883409E" w14:textId="6FA604FF" w:rsidR="008B72C9" w:rsidRPr="00D62BCD" w:rsidRDefault="00BC0DBF" w:rsidP="00402DFC">
      <w:pPr>
        <w:pStyle w:val="WMOIndent2"/>
        <w:numPr>
          <w:ilvl w:val="0"/>
          <w:numId w:val="6"/>
        </w:numPr>
        <w:ind w:left="1134" w:hanging="567"/>
        <w:rPr>
          <w:lang w:val="es-ES"/>
        </w:rPr>
      </w:pPr>
      <w:r>
        <w:rPr>
          <w:lang w:val="es"/>
        </w:rPr>
        <w:t>m</w:t>
      </w:r>
      <w:r w:rsidR="008B72C9">
        <w:rPr>
          <w:lang w:val="es"/>
        </w:rPr>
        <w:t>ejorar los mecanismos de seguimiento y evaluación de los resultados, la eficacia y la rentabilidad de los servicios climáticos</w:t>
      </w:r>
      <w:r>
        <w:rPr>
          <w:lang w:val="es"/>
        </w:rPr>
        <w:t>;</w:t>
      </w:r>
    </w:p>
    <w:p w14:paraId="5E52EB5A" w14:textId="46751247" w:rsidR="008B72C9" w:rsidRPr="00D62BCD" w:rsidRDefault="007A7EEC" w:rsidP="00402DFC">
      <w:pPr>
        <w:pStyle w:val="WMOIndent2"/>
        <w:numPr>
          <w:ilvl w:val="0"/>
          <w:numId w:val="6"/>
        </w:numPr>
        <w:ind w:left="1134" w:hanging="567"/>
        <w:rPr>
          <w:rStyle w:val="normaltextrun"/>
          <w:rFonts w:cs="Arial"/>
          <w:color w:val="000000"/>
          <w:lang w:val="es-ES"/>
        </w:rPr>
      </w:pPr>
      <w:r>
        <w:rPr>
          <w:lang w:val="es"/>
        </w:rPr>
        <w:t xml:space="preserve">evaluar el </w:t>
      </w:r>
      <w:r w:rsidR="00BC0DBF">
        <w:rPr>
          <w:lang w:val="es"/>
        </w:rPr>
        <w:t>a</w:t>
      </w:r>
      <w:r w:rsidR="008B72C9">
        <w:rPr>
          <w:lang w:val="es"/>
        </w:rPr>
        <w:t>lcance de las necesidades, acciones</w:t>
      </w:r>
      <w:r w:rsidR="008B72C9">
        <w:rPr>
          <w:rStyle w:val="normaltextrun"/>
          <w:rFonts w:cs="Arial"/>
          <w:color w:val="000000"/>
          <w:lang w:val="es"/>
        </w:rPr>
        <w:t xml:space="preserve"> y mecanismos clave de las áreas de Gran Desafío</w:t>
      </w:r>
      <w:r w:rsidR="00BC0DBF">
        <w:rPr>
          <w:rStyle w:val="normaltextrun"/>
          <w:rFonts w:cs="Arial"/>
          <w:color w:val="000000"/>
          <w:lang w:val="es"/>
        </w:rPr>
        <w:t>;</w:t>
      </w:r>
    </w:p>
    <w:p w14:paraId="2E1BC293" w14:textId="4A66EAE4" w:rsidR="008B72C9" w:rsidRPr="00D62BCD" w:rsidRDefault="00BC0DBF" w:rsidP="00402DFC">
      <w:pPr>
        <w:pStyle w:val="WMOIndent2"/>
        <w:numPr>
          <w:ilvl w:val="0"/>
          <w:numId w:val="6"/>
        </w:numPr>
        <w:ind w:left="1134" w:hanging="567"/>
        <w:rPr>
          <w:rStyle w:val="normaltextrun"/>
          <w:rFonts w:cs="Arial"/>
          <w:color w:val="000000"/>
          <w:lang w:val="es-ES"/>
        </w:rPr>
      </w:pPr>
      <w:r>
        <w:rPr>
          <w:rStyle w:val="normaltextrun"/>
          <w:rFonts w:cs="Arial"/>
          <w:color w:val="000000"/>
          <w:lang w:val="es"/>
        </w:rPr>
        <w:t>a</w:t>
      </w:r>
      <w:r w:rsidR="008B72C9">
        <w:rPr>
          <w:rStyle w:val="normaltextrun"/>
          <w:rFonts w:cs="Arial"/>
          <w:color w:val="000000"/>
          <w:lang w:val="es"/>
        </w:rPr>
        <w:t xml:space="preserve">segurar los recursos dedicados </w:t>
      </w:r>
      <w:r w:rsidR="008B72C9">
        <w:rPr>
          <w:lang w:val="es"/>
        </w:rPr>
        <w:t>y las</w:t>
      </w:r>
      <w:r w:rsidR="008B72C9">
        <w:rPr>
          <w:rStyle w:val="normaltextrun"/>
          <w:rFonts w:cs="Arial"/>
          <w:color w:val="000000"/>
          <w:lang w:val="es"/>
        </w:rPr>
        <w:t xml:space="preserve"> funciones de apoyo</w:t>
      </w:r>
      <w:r>
        <w:rPr>
          <w:rStyle w:val="normaltextrun"/>
          <w:rFonts w:cs="Arial"/>
          <w:color w:val="000000"/>
          <w:lang w:val="es"/>
        </w:rPr>
        <w:t>.</w:t>
      </w:r>
    </w:p>
    <w:p w14:paraId="7A0443EF" w14:textId="4D52E6CF" w:rsidR="008B72C9" w:rsidRPr="00D62BCD" w:rsidRDefault="00FB34CE" w:rsidP="00D40F6B">
      <w:pPr>
        <w:pStyle w:val="WMOSubTitle1"/>
        <w:rPr>
          <w:lang w:val="es-ES"/>
        </w:rPr>
      </w:pPr>
      <w:r>
        <w:rPr>
          <w:bCs/>
          <w:iCs/>
          <w:lang w:val="es"/>
        </w:rPr>
        <w:lastRenderedPageBreak/>
        <w:t xml:space="preserve">Paso </w:t>
      </w:r>
      <w:r w:rsidR="008B72C9">
        <w:rPr>
          <w:bCs/>
          <w:iCs/>
          <w:lang w:val="es"/>
        </w:rPr>
        <w:t>2</w:t>
      </w:r>
      <w:r>
        <w:rPr>
          <w:bCs/>
          <w:iCs/>
          <w:lang w:val="es"/>
        </w:rPr>
        <w:t xml:space="preserve"> de la vía</w:t>
      </w:r>
      <w:r w:rsidR="008B72C9">
        <w:rPr>
          <w:bCs/>
          <w:iCs/>
          <w:lang w:val="es"/>
        </w:rPr>
        <w:t>: Cambio de paradigma en</w:t>
      </w:r>
      <w:r w:rsidR="00BD484C">
        <w:rPr>
          <w:bCs/>
          <w:iCs/>
          <w:lang w:val="es"/>
        </w:rPr>
        <w:t xml:space="preserve"> los</w:t>
      </w:r>
      <w:r w:rsidR="008B72C9">
        <w:rPr>
          <w:bCs/>
          <w:iCs/>
          <w:lang w:val="es"/>
        </w:rPr>
        <w:t xml:space="preserve"> enfoques y buenas prácticas</w:t>
      </w:r>
    </w:p>
    <w:p w14:paraId="10AF336B" w14:textId="5CC14D6F" w:rsidR="008B72C9" w:rsidRPr="00D62BCD" w:rsidRDefault="008B72C9" w:rsidP="00402DFC">
      <w:pPr>
        <w:pStyle w:val="paragraph"/>
        <w:spacing w:before="240" w:beforeAutospacing="0" w:after="0" w:afterAutospacing="0"/>
        <w:textAlignment w:val="baseline"/>
        <w:rPr>
          <w:rStyle w:val="normaltextrun"/>
          <w:rFonts w:ascii="Verdana" w:hAnsi="Verdana" w:cs="Arial"/>
          <w:color w:val="000000"/>
          <w:sz w:val="20"/>
          <w:szCs w:val="20"/>
          <w:lang w:val="es-ES"/>
        </w:rPr>
      </w:pPr>
      <w:r>
        <w:rPr>
          <w:rFonts w:ascii="Verdana" w:hAnsi="Verdana"/>
          <w:sz w:val="20"/>
          <w:szCs w:val="20"/>
          <w:lang w:val="es"/>
        </w:rPr>
        <w:t>Con el fin</w:t>
      </w:r>
      <w:r>
        <w:rPr>
          <w:lang w:val="es"/>
        </w:rPr>
        <w:t xml:space="preserve"> de</w:t>
      </w:r>
      <w:r>
        <w:rPr>
          <w:rStyle w:val="normaltextrun"/>
          <w:rFonts w:ascii="Verdana" w:hAnsi="Verdana" w:cs="Arial"/>
          <w:color w:val="000000" w:themeColor="text1"/>
          <w:sz w:val="20"/>
          <w:szCs w:val="20"/>
          <w:lang w:val="es"/>
        </w:rPr>
        <w:t xml:space="preserve"> acelerar el </w:t>
      </w:r>
      <w:r>
        <w:rPr>
          <w:rFonts w:ascii="Verdana" w:hAnsi="Verdana"/>
          <w:sz w:val="20"/>
          <w:szCs w:val="20"/>
          <w:lang w:val="es"/>
        </w:rPr>
        <w:t xml:space="preserve">éxito de los actores multisectoriales para generar, proporcionar y aplicar la inteligencia climática, </w:t>
      </w:r>
      <w:r w:rsidR="00BD484C">
        <w:rPr>
          <w:rFonts w:ascii="Verdana" w:hAnsi="Verdana"/>
          <w:sz w:val="20"/>
          <w:szCs w:val="20"/>
          <w:lang w:val="es"/>
        </w:rPr>
        <w:t>meteorológica</w:t>
      </w:r>
      <w:r>
        <w:rPr>
          <w:rFonts w:ascii="Verdana" w:hAnsi="Verdana"/>
          <w:sz w:val="20"/>
          <w:szCs w:val="20"/>
          <w:lang w:val="es"/>
        </w:rPr>
        <w:t xml:space="preserve"> y </w:t>
      </w:r>
      <w:r w:rsidR="00BD484C">
        <w:rPr>
          <w:rFonts w:ascii="Verdana" w:hAnsi="Verdana"/>
          <w:sz w:val="20"/>
          <w:szCs w:val="20"/>
          <w:lang w:val="es"/>
        </w:rPr>
        <w:t>medio</w:t>
      </w:r>
      <w:r>
        <w:rPr>
          <w:rFonts w:ascii="Verdana" w:hAnsi="Verdana"/>
          <w:sz w:val="20"/>
          <w:szCs w:val="20"/>
          <w:lang w:val="es"/>
        </w:rPr>
        <w:t xml:space="preserve">ambiental a las políticas de salud y las decisiones prácticas; es fundamental aclarar y mejorar los entendimientos, principios y enfoques compartidos. </w:t>
      </w:r>
      <w:r>
        <w:rPr>
          <w:rStyle w:val="normaltextrun"/>
          <w:rFonts w:ascii="Verdana" w:hAnsi="Verdana" w:cs="Arial"/>
          <w:color w:val="000000" w:themeColor="text1"/>
          <w:sz w:val="20"/>
          <w:szCs w:val="20"/>
          <w:lang w:val="es"/>
        </w:rPr>
        <w:t xml:space="preserve">Sobre la base de las lecciones aprendidas y las necesidades identificadas, el despliegue de siete buenas prácticas es fundamental para cambiar las formas de trabajar hacia resultados </w:t>
      </w:r>
      <w:r w:rsidR="00236CAF">
        <w:rPr>
          <w:rStyle w:val="normaltextrun"/>
          <w:rFonts w:ascii="Verdana" w:hAnsi="Verdana" w:cs="Arial"/>
          <w:color w:val="000000" w:themeColor="text1"/>
          <w:sz w:val="20"/>
          <w:szCs w:val="20"/>
          <w:lang w:val="es"/>
        </w:rPr>
        <w:t>óptimos</w:t>
      </w:r>
      <w:r>
        <w:rPr>
          <w:rStyle w:val="normaltextrun"/>
          <w:rFonts w:ascii="Verdana" w:hAnsi="Verdana" w:cs="Arial"/>
          <w:color w:val="000000" w:themeColor="text1"/>
          <w:sz w:val="20"/>
          <w:szCs w:val="20"/>
          <w:lang w:val="es"/>
        </w:rPr>
        <w:t>. Estos principios de buenas prácticas se detallan en el Marco Conceptual para los Sistemas Integrados de Información (</w:t>
      </w:r>
      <w:r>
        <w:rPr>
          <w:rFonts w:ascii="Verdana" w:hAnsi="Verdana"/>
          <w:sz w:val="20"/>
          <w:szCs w:val="20"/>
          <w:lang w:val="es"/>
        </w:rPr>
        <w:t>INF. 5.10 (3b)</w:t>
      </w:r>
      <w:r>
        <w:rPr>
          <w:rStyle w:val="normaltextrun"/>
          <w:rFonts w:ascii="Verdana" w:hAnsi="Verdana" w:cs="Arial"/>
          <w:color w:val="000000" w:themeColor="text1"/>
          <w:sz w:val="20"/>
          <w:szCs w:val="20"/>
          <w:lang w:val="es"/>
        </w:rPr>
        <w:t>/Figura 2).</w:t>
      </w:r>
    </w:p>
    <w:p w14:paraId="2C5452A2" w14:textId="77777777" w:rsidR="008B72C9" w:rsidRPr="00D62BCD" w:rsidRDefault="008B72C9" w:rsidP="00D40F6B">
      <w:pPr>
        <w:pStyle w:val="paragraph"/>
        <w:spacing w:before="0" w:beforeAutospacing="0" w:after="0" w:afterAutospacing="0"/>
        <w:ind w:left="1080"/>
        <w:textAlignment w:val="baseline"/>
        <w:rPr>
          <w:rStyle w:val="normaltextrun"/>
          <w:rFonts w:ascii="Verdana" w:hAnsi="Verdana" w:cs="Arial"/>
          <w:color w:val="000000"/>
          <w:sz w:val="20"/>
          <w:szCs w:val="20"/>
          <w:lang w:val="es-ES"/>
        </w:rPr>
      </w:pPr>
    </w:p>
    <w:p w14:paraId="39F2E49F" w14:textId="77777777" w:rsidR="008B72C9" w:rsidRPr="004D0E4B" w:rsidRDefault="008B72C9" w:rsidP="00402DFC">
      <w:pPr>
        <w:pStyle w:val="paragraph"/>
        <w:spacing w:before="0" w:beforeAutospacing="0" w:after="0" w:afterAutospacing="0"/>
        <w:jc w:val="center"/>
        <w:textAlignment w:val="baseline"/>
        <w:rPr>
          <w:rFonts w:ascii="Verdana" w:hAnsi="Verdana" w:cs="Arial"/>
          <w:color w:val="7F7F7F" w:themeColor="text1" w:themeTint="80"/>
          <w:sz w:val="20"/>
          <w:szCs w:val="20"/>
        </w:rPr>
      </w:pPr>
      <w:r>
        <w:rPr>
          <w:rFonts w:ascii="Verdana" w:hAnsi="Verdana" w:cs="Arial"/>
          <w:noProof/>
          <w:color w:val="7F7F7F" w:themeColor="text1" w:themeTint="80"/>
          <w:sz w:val="20"/>
          <w:szCs w:val="20"/>
          <w:lang w:val="es"/>
        </w:rPr>
        <w:drawing>
          <wp:inline distT="0" distB="0" distL="0" distR="0" wp14:anchorId="1F4CF698" wp14:editId="669CE701">
            <wp:extent cx="6120130" cy="4566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graphic conceptual framework.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4566920"/>
                    </a:xfrm>
                    <a:prstGeom prst="rect">
                      <a:avLst/>
                    </a:prstGeom>
                  </pic:spPr>
                </pic:pic>
              </a:graphicData>
            </a:graphic>
          </wp:inline>
        </w:drawing>
      </w:r>
    </w:p>
    <w:p w14:paraId="579AFDB4" w14:textId="0B14D991" w:rsidR="008B72C9" w:rsidRPr="00D62BCD" w:rsidRDefault="008B72C9" w:rsidP="0047336D">
      <w:pPr>
        <w:spacing w:before="240" w:after="240"/>
        <w:ind w:left="1077"/>
        <w:jc w:val="center"/>
        <w:rPr>
          <w:rStyle w:val="normaltextrun"/>
          <w:b/>
          <w:bCs/>
          <w:color w:val="000000"/>
          <w:shd w:val="clear" w:color="auto" w:fill="FFFFFF"/>
          <w:lang w:val="es-ES"/>
          <w14:textFill>
            <w14:solidFill>
              <w14:srgbClr w14:val="000000">
                <w14:lumMod w14:val="50000"/>
                <w14:lumOff w14:val="50000"/>
              </w14:srgbClr>
            </w14:solidFill>
          </w14:textFill>
        </w:rPr>
      </w:pPr>
      <w:r>
        <w:rPr>
          <w:b/>
          <w:bCs/>
          <w:lang w:val="es"/>
        </w:rPr>
        <w:t xml:space="preserve">Figura 2. </w:t>
      </w:r>
      <w:r>
        <w:rPr>
          <w:rStyle w:val="normaltextrun"/>
          <w:b/>
          <w:bCs/>
          <w:color w:val="000000"/>
          <w:shd w:val="clear" w:color="auto" w:fill="FFFFFF"/>
          <w:lang w:val="es"/>
        </w:rPr>
        <w:t xml:space="preserve">Ciencias </w:t>
      </w:r>
      <w:r w:rsidR="007619E1">
        <w:rPr>
          <w:rStyle w:val="normaltextrun"/>
          <w:b/>
          <w:bCs/>
          <w:color w:val="000000"/>
          <w:shd w:val="clear" w:color="auto" w:fill="FFFFFF"/>
          <w:lang w:val="es"/>
        </w:rPr>
        <w:t>i</w:t>
      </w:r>
      <w:r>
        <w:rPr>
          <w:rStyle w:val="normaltextrun"/>
          <w:b/>
          <w:bCs/>
          <w:color w:val="000000"/>
          <w:shd w:val="clear" w:color="auto" w:fill="FFFFFF"/>
          <w:lang w:val="es"/>
        </w:rPr>
        <w:t xml:space="preserve">ntegradas del </w:t>
      </w:r>
      <w:r w:rsidR="007619E1">
        <w:rPr>
          <w:rStyle w:val="normaltextrun"/>
          <w:b/>
          <w:bCs/>
          <w:color w:val="000000"/>
          <w:shd w:val="clear" w:color="auto" w:fill="FFFFFF"/>
          <w:lang w:val="es"/>
        </w:rPr>
        <w:t>c</w:t>
      </w:r>
      <w:r>
        <w:rPr>
          <w:rStyle w:val="normaltextrun"/>
          <w:b/>
          <w:bCs/>
          <w:color w:val="000000"/>
          <w:shd w:val="clear" w:color="auto" w:fill="FFFFFF"/>
          <w:lang w:val="es"/>
        </w:rPr>
        <w:t xml:space="preserve">lima y la </w:t>
      </w:r>
      <w:r w:rsidR="007619E1">
        <w:rPr>
          <w:rStyle w:val="normaltextrun"/>
          <w:b/>
          <w:bCs/>
          <w:color w:val="000000"/>
          <w:shd w:val="clear" w:color="auto" w:fill="FFFFFF"/>
          <w:lang w:val="es"/>
        </w:rPr>
        <w:t>s</w:t>
      </w:r>
      <w:r>
        <w:rPr>
          <w:rStyle w:val="normaltextrun"/>
          <w:b/>
          <w:bCs/>
          <w:color w:val="000000"/>
          <w:shd w:val="clear" w:color="auto" w:fill="FFFFFF"/>
          <w:lang w:val="es"/>
        </w:rPr>
        <w:t xml:space="preserve">alud y </w:t>
      </w:r>
      <w:r>
        <w:rPr>
          <w:rStyle w:val="normaltextrun"/>
          <w:color w:val="000000"/>
          <w:shd w:val="clear" w:color="auto" w:fill="FFFFFF"/>
          <w:lang w:val="es"/>
        </w:rPr>
        <w:br/>
      </w:r>
      <w:r w:rsidR="007619E1">
        <w:rPr>
          <w:rStyle w:val="normaltextrun"/>
          <w:b/>
          <w:bCs/>
          <w:color w:val="000000"/>
          <w:shd w:val="clear" w:color="auto" w:fill="FFFFFF"/>
          <w:lang w:val="es"/>
        </w:rPr>
        <w:t>p</w:t>
      </w:r>
      <w:r>
        <w:rPr>
          <w:rStyle w:val="normaltextrun"/>
          <w:b/>
          <w:bCs/>
          <w:color w:val="000000"/>
          <w:shd w:val="clear" w:color="auto" w:fill="FFFFFF"/>
          <w:lang w:val="es"/>
        </w:rPr>
        <w:t>anorama general del marco de servicios</w:t>
      </w:r>
    </w:p>
    <w:p w14:paraId="7003B8A1" w14:textId="39EB4361" w:rsidR="008B72C9" w:rsidRPr="00D62BCD" w:rsidRDefault="00FB34CE" w:rsidP="00D40F6B">
      <w:pPr>
        <w:pStyle w:val="WMOSubTitle1"/>
        <w:rPr>
          <w:lang w:val="es-ES"/>
        </w:rPr>
      </w:pPr>
      <w:r>
        <w:rPr>
          <w:bCs/>
          <w:iCs/>
          <w:lang w:val="es"/>
        </w:rPr>
        <w:t>Paso</w:t>
      </w:r>
      <w:r w:rsidR="008B72C9">
        <w:rPr>
          <w:bCs/>
          <w:iCs/>
          <w:lang w:val="es"/>
        </w:rPr>
        <w:t xml:space="preserve"> 3</w:t>
      </w:r>
      <w:r>
        <w:rPr>
          <w:bCs/>
          <w:iCs/>
          <w:lang w:val="es"/>
        </w:rPr>
        <w:t xml:space="preserve"> de la vía</w:t>
      </w:r>
      <w:r w:rsidR="008B72C9">
        <w:rPr>
          <w:bCs/>
          <w:iCs/>
          <w:lang w:val="es"/>
        </w:rPr>
        <w:t>: Los resultados representan la transformación en el nexo clima-medioambiente-salud</w:t>
      </w:r>
    </w:p>
    <w:p w14:paraId="59CEFB50" w14:textId="1EE2F29C" w:rsidR="008B72C9" w:rsidRPr="00D62BCD" w:rsidRDefault="008B72C9" w:rsidP="00402DFC">
      <w:pPr>
        <w:pStyle w:val="paragraph"/>
        <w:spacing w:before="240" w:beforeAutospacing="0" w:after="0" w:afterAutospacing="0"/>
        <w:textAlignment w:val="baseline"/>
        <w:rPr>
          <w:rStyle w:val="eop"/>
          <w:rFonts w:ascii="Verdana" w:eastAsia="Arial" w:hAnsi="Verdana"/>
          <w:color w:val="000000" w:themeColor="text1"/>
          <w:sz w:val="20"/>
          <w:szCs w:val="20"/>
          <w:lang w:val="es-ES"/>
        </w:rPr>
      </w:pPr>
      <w:r>
        <w:rPr>
          <w:rStyle w:val="eop"/>
          <w:rFonts w:ascii="Verdana" w:eastAsia="Arial" w:hAnsi="Verdana"/>
          <w:color w:val="000000" w:themeColor="text1"/>
          <w:sz w:val="20"/>
          <w:szCs w:val="20"/>
          <w:lang w:val="es"/>
        </w:rPr>
        <w:t>La ejecución de las actividades y las buenas prácticas darán lugar a resultados a corto plazo que respondan a necesidades críticas</w:t>
      </w:r>
      <w:r>
        <w:rPr>
          <w:rFonts w:ascii="Verdana" w:hAnsi="Verdana" w:cs="Arial"/>
          <w:color w:val="000000" w:themeColor="text1"/>
          <w:sz w:val="20"/>
          <w:szCs w:val="20"/>
          <w:lang w:val="es"/>
        </w:rPr>
        <w:t>, como las siguientes:</w:t>
      </w:r>
    </w:p>
    <w:p w14:paraId="748C0B98" w14:textId="787B20B1" w:rsidR="008B72C9" w:rsidRPr="00D62BCD" w:rsidRDefault="005B6287" w:rsidP="00402DFC">
      <w:pPr>
        <w:pStyle w:val="WMOIndent2"/>
        <w:numPr>
          <w:ilvl w:val="0"/>
          <w:numId w:val="6"/>
        </w:numPr>
        <w:ind w:left="1134" w:hanging="567"/>
        <w:rPr>
          <w:rStyle w:val="normaltextrun"/>
          <w:color w:val="000000"/>
          <w:lang w:val="es-ES"/>
        </w:rPr>
      </w:pPr>
      <w:r>
        <w:rPr>
          <w:rStyle w:val="normaltextrun"/>
          <w:color w:val="000000"/>
          <w:lang w:val="es"/>
        </w:rPr>
        <w:t>m</w:t>
      </w:r>
      <w:r w:rsidR="008B72C9">
        <w:rPr>
          <w:rStyle w:val="normaltextrun"/>
          <w:color w:val="000000"/>
          <w:lang w:val="es"/>
        </w:rPr>
        <w:t>ayor comprensión de los riesgos climáticos para la salud</w:t>
      </w:r>
      <w:r>
        <w:rPr>
          <w:rStyle w:val="normaltextrun"/>
          <w:color w:val="000000"/>
          <w:lang w:val="es"/>
        </w:rPr>
        <w:t>;</w:t>
      </w:r>
    </w:p>
    <w:p w14:paraId="3BA5B6C3" w14:textId="26A22D53" w:rsidR="008B72C9" w:rsidRPr="00D62BCD" w:rsidRDefault="005B6287" w:rsidP="00402DFC">
      <w:pPr>
        <w:pStyle w:val="WMOIndent2"/>
        <w:numPr>
          <w:ilvl w:val="0"/>
          <w:numId w:val="6"/>
        </w:numPr>
        <w:ind w:left="1134" w:hanging="567"/>
        <w:rPr>
          <w:rStyle w:val="normaltextrun"/>
          <w:color w:val="000000"/>
          <w:lang w:val="es-ES"/>
        </w:rPr>
      </w:pPr>
      <w:r>
        <w:rPr>
          <w:rStyle w:val="normaltextrun"/>
          <w:color w:val="000000"/>
          <w:lang w:val="es"/>
        </w:rPr>
        <w:t>f</w:t>
      </w:r>
      <w:r w:rsidR="008B72C9">
        <w:rPr>
          <w:rStyle w:val="normaltextrun"/>
          <w:color w:val="000000"/>
          <w:lang w:val="es"/>
        </w:rPr>
        <w:t>ortalecimiento de los mandatos, facilitando la arquitectura institucional a todos los niveles</w:t>
      </w:r>
      <w:r>
        <w:rPr>
          <w:rStyle w:val="normaltextrun"/>
          <w:color w:val="000000"/>
          <w:lang w:val="es"/>
        </w:rPr>
        <w:t>;</w:t>
      </w:r>
    </w:p>
    <w:p w14:paraId="5F612A15" w14:textId="166D1A5B" w:rsidR="008B72C9" w:rsidRPr="00D62BCD" w:rsidRDefault="005B6287" w:rsidP="00402DFC">
      <w:pPr>
        <w:pStyle w:val="WMOIndent2"/>
        <w:numPr>
          <w:ilvl w:val="0"/>
          <w:numId w:val="6"/>
        </w:numPr>
        <w:ind w:left="1134" w:hanging="567"/>
        <w:rPr>
          <w:rStyle w:val="normaltextrun"/>
          <w:color w:val="000000"/>
          <w:lang w:val="es-ES"/>
        </w:rPr>
      </w:pPr>
      <w:r>
        <w:rPr>
          <w:rStyle w:val="normaltextrun"/>
          <w:color w:val="000000"/>
          <w:lang w:val="es"/>
        </w:rPr>
        <w:lastRenderedPageBreak/>
        <w:t>m</w:t>
      </w:r>
      <w:r w:rsidR="008B72C9">
        <w:rPr>
          <w:rStyle w:val="normaltextrun"/>
          <w:color w:val="000000"/>
          <w:lang w:val="es"/>
        </w:rPr>
        <w:t>ayor interoperabilidad y facilidad de uso de los datos climáticos, meteorológicos, medioambientales y sanitarios</w:t>
      </w:r>
      <w:r>
        <w:rPr>
          <w:rStyle w:val="normaltextrun"/>
          <w:color w:val="000000"/>
          <w:lang w:val="es"/>
        </w:rPr>
        <w:t>;</w:t>
      </w:r>
    </w:p>
    <w:p w14:paraId="2D986044" w14:textId="0CC758C5" w:rsidR="008B72C9" w:rsidRPr="00D62BCD" w:rsidRDefault="005B6287" w:rsidP="00402DFC">
      <w:pPr>
        <w:pStyle w:val="WMOIndent2"/>
        <w:numPr>
          <w:ilvl w:val="0"/>
          <w:numId w:val="6"/>
        </w:numPr>
        <w:ind w:left="1134" w:hanging="567"/>
        <w:rPr>
          <w:rStyle w:val="normaltextrun"/>
          <w:color w:val="000000"/>
          <w:lang w:val="es-ES"/>
        </w:rPr>
      </w:pPr>
      <w:r>
        <w:rPr>
          <w:rStyle w:val="normaltextrun"/>
          <w:color w:val="000000"/>
          <w:lang w:val="es-ES"/>
        </w:rPr>
        <w:t>e</w:t>
      </w:r>
      <w:proofErr w:type="spellStart"/>
      <w:r w:rsidR="008B72C9">
        <w:rPr>
          <w:rStyle w:val="normaltextrun"/>
          <w:color w:val="000000"/>
          <w:lang w:val="es"/>
        </w:rPr>
        <w:t>nfoques</w:t>
      </w:r>
      <w:proofErr w:type="spellEnd"/>
      <w:r w:rsidR="008B72C9">
        <w:rPr>
          <w:rStyle w:val="normaltextrun"/>
          <w:color w:val="000000"/>
          <w:lang w:val="es"/>
        </w:rPr>
        <w:t xml:space="preserve"> y modelos probados para sistemas de datos integrados y tuberías de servicios climáticos</w:t>
      </w:r>
      <w:r w:rsidR="00057A7E">
        <w:rPr>
          <w:rStyle w:val="normaltextrun"/>
          <w:color w:val="000000"/>
          <w:lang w:val="es"/>
        </w:rPr>
        <w:t>;</w:t>
      </w:r>
    </w:p>
    <w:p w14:paraId="49B1D51D" w14:textId="56A52BCC" w:rsidR="008B72C9" w:rsidRPr="00D62BCD" w:rsidRDefault="00057A7E" w:rsidP="00402DFC">
      <w:pPr>
        <w:pStyle w:val="WMOIndent2"/>
        <w:numPr>
          <w:ilvl w:val="0"/>
          <w:numId w:val="6"/>
        </w:numPr>
        <w:ind w:left="1134" w:hanging="567"/>
        <w:rPr>
          <w:rStyle w:val="normaltextrun"/>
          <w:color w:val="000000"/>
          <w:lang w:val="es-ES"/>
        </w:rPr>
      </w:pPr>
      <w:r>
        <w:rPr>
          <w:rStyle w:val="normaltextrun"/>
          <w:color w:val="000000"/>
          <w:lang w:val="es"/>
        </w:rPr>
        <w:t>m</w:t>
      </w:r>
      <w:r w:rsidR="008B72C9">
        <w:rPr>
          <w:rStyle w:val="normaltextrun"/>
          <w:color w:val="000000"/>
          <w:lang w:val="es"/>
        </w:rPr>
        <w:t>ejora del aprendizaje transdisciplinario e intergeneracional y del intercambio de conocimientos</w:t>
      </w:r>
      <w:r>
        <w:rPr>
          <w:rStyle w:val="normaltextrun"/>
          <w:color w:val="000000"/>
          <w:lang w:val="es"/>
        </w:rPr>
        <w:t>;</w:t>
      </w:r>
    </w:p>
    <w:p w14:paraId="46498D28" w14:textId="198E0DB9" w:rsidR="008B72C9" w:rsidRPr="00D62BCD" w:rsidRDefault="00057A7E" w:rsidP="00402DFC">
      <w:pPr>
        <w:pStyle w:val="WMOIndent2"/>
        <w:numPr>
          <w:ilvl w:val="0"/>
          <w:numId w:val="6"/>
        </w:numPr>
        <w:ind w:left="1134" w:hanging="567"/>
        <w:rPr>
          <w:rStyle w:val="normaltextrun"/>
          <w:color w:val="000000"/>
          <w:lang w:val="es-ES"/>
        </w:rPr>
      </w:pPr>
      <w:r>
        <w:rPr>
          <w:rStyle w:val="normaltextrun"/>
          <w:color w:val="000000"/>
          <w:lang w:val="es"/>
        </w:rPr>
        <w:t>h</w:t>
      </w:r>
      <w:r w:rsidR="008B72C9">
        <w:rPr>
          <w:rStyle w:val="normaltextrun"/>
          <w:color w:val="000000"/>
          <w:lang w:val="es"/>
        </w:rPr>
        <w:t>abilidades y herramientas de comunicación de impacto para el codesarrollo, el cambio de comportamiento y las políticas</w:t>
      </w:r>
      <w:r>
        <w:rPr>
          <w:rStyle w:val="normaltextrun"/>
          <w:color w:val="000000"/>
          <w:lang w:val="es"/>
        </w:rPr>
        <w:t>;</w:t>
      </w:r>
    </w:p>
    <w:p w14:paraId="0EB90649" w14:textId="79B13929" w:rsidR="008B72C9" w:rsidRPr="00D62BCD" w:rsidRDefault="00057A7E" w:rsidP="00402DFC">
      <w:pPr>
        <w:pStyle w:val="WMOIndent2"/>
        <w:numPr>
          <w:ilvl w:val="0"/>
          <w:numId w:val="6"/>
        </w:numPr>
        <w:ind w:left="1134" w:hanging="567"/>
        <w:rPr>
          <w:rStyle w:val="normaltextrun"/>
          <w:color w:val="000000"/>
          <w:lang w:val="es-ES"/>
        </w:rPr>
      </w:pPr>
      <w:r>
        <w:rPr>
          <w:rStyle w:val="normaltextrun"/>
          <w:color w:val="000000"/>
          <w:lang w:val="es"/>
        </w:rPr>
        <w:t>c</w:t>
      </w:r>
      <w:r w:rsidR="008B72C9">
        <w:rPr>
          <w:rStyle w:val="normaltextrun"/>
          <w:color w:val="000000"/>
          <w:lang w:val="es"/>
        </w:rPr>
        <w:t>omprensión sistémica de las necesidades y prioridades de investigación, datos y conocimiento</w:t>
      </w:r>
      <w:r>
        <w:rPr>
          <w:rStyle w:val="normaltextrun"/>
          <w:color w:val="000000"/>
          <w:lang w:val="es"/>
        </w:rPr>
        <w:t>;</w:t>
      </w:r>
    </w:p>
    <w:p w14:paraId="6B32CE52" w14:textId="12FDBD3C" w:rsidR="008B72C9" w:rsidRPr="00D62BCD" w:rsidRDefault="00057A7E" w:rsidP="00402DFC">
      <w:pPr>
        <w:pStyle w:val="WMOIndent2"/>
        <w:numPr>
          <w:ilvl w:val="0"/>
          <w:numId w:val="6"/>
        </w:numPr>
        <w:ind w:left="1134" w:hanging="567"/>
        <w:rPr>
          <w:rStyle w:val="normaltextrun"/>
          <w:color w:val="000000"/>
          <w:lang w:val="es-ES"/>
        </w:rPr>
      </w:pPr>
      <w:r>
        <w:rPr>
          <w:rStyle w:val="normaltextrun"/>
          <w:color w:val="000000"/>
          <w:lang w:val="es"/>
        </w:rPr>
        <w:t>s</w:t>
      </w:r>
      <w:r w:rsidR="008B72C9">
        <w:rPr>
          <w:rStyle w:val="normaltextrun"/>
          <w:color w:val="000000"/>
          <w:lang w:val="es"/>
        </w:rPr>
        <w:t>eguimiento y evaluación rigurosos para un mejor análisis, rendición de cuentas y aprendizaje</w:t>
      </w:r>
      <w:r>
        <w:rPr>
          <w:rStyle w:val="normaltextrun"/>
          <w:color w:val="000000"/>
          <w:lang w:val="es"/>
        </w:rPr>
        <w:t>;</w:t>
      </w:r>
    </w:p>
    <w:p w14:paraId="17221BA6" w14:textId="6D99033A" w:rsidR="008B72C9" w:rsidRPr="00D62BCD" w:rsidRDefault="00057A7E" w:rsidP="00402DFC">
      <w:pPr>
        <w:pStyle w:val="WMOIndent2"/>
        <w:numPr>
          <w:ilvl w:val="0"/>
          <w:numId w:val="6"/>
        </w:numPr>
        <w:ind w:left="1134" w:hanging="567"/>
        <w:rPr>
          <w:rStyle w:val="normaltextrun"/>
          <w:color w:val="000000"/>
          <w:lang w:val="es-ES"/>
        </w:rPr>
      </w:pPr>
      <w:r>
        <w:rPr>
          <w:rStyle w:val="normaltextrun"/>
          <w:color w:val="000000"/>
          <w:lang w:val="es"/>
        </w:rPr>
        <w:t>a</w:t>
      </w:r>
      <w:r w:rsidR="008B72C9">
        <w:rPr>
          <w:rStyle w:val="normaltextrun"/>
          <w:color w:val="000000"/>
          <w:lang w:val="es"/>
        </w:rPr>
        <w:t>sociaciones más sostenidas entre los agentes del clima y la salud a todos los niveles y las comunidades de práctica</w:t>
      </w:r>
      <w:r>
        <w:rPr>
          <w:rStyle w:val="normaltextrun"/>
          <w:color w:val="000000"/>
          <w:lang w:val="es"/>
        </w:rPr>
        <w:t>;</w:t>
      </w:r>
    </w:p>
    <w:p w14:paraId="128B6C86" w14:textId="66D90DCE" w:rsidR="008B72C9" w:rsidRPr="00D62BCD" w:rsidRDefault="00057A7E" w:rsidP="00402DFC">
      <w:pPr>
        <w:pStyle w:val="WMOIndent2"/>
        <w:numPr>
          <w:ilvl w:val="0"/>
          <w:numId w:val="6"/>
        </w:numPr>
        <w:ind w:left="1134" w:hanging="567"/>
        <w:rPr>
          <w:rStyle w:val="normaltextrun"/>
          <w:color w:val="000000"/>
          <w:lang w:val="es-ES"/>
        </w:rPr>
      </w:pPr>
      <w:r>
        <w:rPr>
          <w:rStyle w:val="normaltextrun"/>
          <w:color w:val="000000"/>
          <w:lang w:val="es"/>
        </w:rPr>
        <w:t>a</w:t>
      </w:r>
      <w:r w:rsidR="008B72C9">
        <w:rPr>
          <w:rStyle w:val="normaltextrun"/>
          <w:color w:val="000000"/>
          <w:lang w:val="es"/>
        </w:rPr>
        <w:t>cceso equitativo a las pruebas científicas</w:t>
      </w:r>
      <w:r>
        <w:rPr>
          <w:rStyle w:val="normaltextrun"/>
          <w:color w:val="000000"/>
          <w:lang w:val="es"/>
        </w:rPr>
        <w:t>;</w:t>
      </w:r>
    </w:p>
    <w:p w14:paraId="09CF1385" w14:textId="2BD24F33" w:rsidR="008B72C9" w:rsidRPr="00D62BCD" w:rsidRDefault="00057A7E" w:rsidP="00402DFC">
      <w:pPr>
        <w:pStyle w:val="WMOIndent2"/>
        <w:numPr>
          <w:ilvl w:val="0"/>
          <w:numId w:val="6"/>
        </w:numPr>
        <w:ind w:left="1134" w:hanging="567"/>
        <w:rPr>
          <w:rStyle w:val="eop"/>
          <w:color w:val="000000"/>
          <w:lang w:val="es-ES"/>
        </w:rPr>
      </w:pPr>
      <w:r>
        <w:rPr>
          <w:rStyle w:val="normaltextrun"/>
          <w:color w:val="000000"/>
          <w:lang w:val="es"/>
        </w:rPr>
        <w:t>d</w:t>
      </w:r>
      <w:r w:rsidR="008B72C9">
        <w:rPr>
          <w:rStyle w:val="normaltextrun"/>
          <w:color w:val="000000"/>
          <w:lang w:val="es"/>
        </w:rPr>
        <w:t>isponibilidad, acceso y utilización equitativos de los datos climáticos</w:t>
      </w:r>
      <w:r>
        <w:rPr>
          <w:rStyle w:val="normaltextrun"/>
          <w:color w:val="000000"/>
          <w:lang w:val="es"/>
        </w:rPr>
        <w:t>;</w:t>
      </w:r>
    </w:p>
    <w:p w14:paraId="682C89B0" w14:textId="4454DB2D" w:rsidR="008B72C9" w:rsidRPr="00D62BCD" w:rsidRDefault="008B72C9" w:rsidP="00D40F6B">
      <w:pPr>
        <w:pStyle w:val="WMOSubTitle1"/>
        <w:rPr>
          <w:lang w:val="es-ES"/>
        </w:rPr>
      </w:pPr>
      <w:r>
        <w:rPr>
          <w:bCs/>
          <w:iCs/>
          <w:lang w:val="es"/>
        </w:rPr>
        <w:t>Paso 4</w:t>
      </w:r>
      <w:r w:rsidR="00FB34CE">
        <w:rPr>
          <w:bCs/>
          <w:iCs/>
          <w:lang w:val="es"/>
        </w:rPr>
        <w:t xml:space="preserve"> de la vía</w:t>
      </w:r>
      <w:r>
        <w:rPr>
          <w:bCs/>
          <w:iCs/>
          <w:lang w:val="es"/>
        </w:rPr>
        <w:t>: Impactos sistémicos a largo plazo para las poblaciones vulnerables al clima</w:t>
      </w:r>
    </w:p>
    <w:p w14:paraId="0FAB23DF" w14:textId="510F98C7" w:rsidR="008B72C9" w:rsidRPr="003437D6" w:rsidRDefault="008B72C9" w:rsidP="00402DFC">
      <w:pPr>
        <w:pStyle w:val="paragraph"/>
        <w:spacing w:before="240" w:beforeAutospacing="0" w:after="0" w:afterAutospacing="0"/>
        <w:textAlignment w:val="baseline"/>
        <w:rPr>
          <w:rFonts w:ascii="Verdana" w:hAnsi="Verdana" w:cs="Arial"/>
          <w:color w:val="000000" w:themeColor="text1"/>
          <w:sz w:val="20"/>
          <w:szCs w:val="20"/>
          <w:lang w:val="es-ES"/>
        </w:rPr>
      </w:pPr>
      <w:r>
        <w:rPr>
          <w:rFonts w:ascii="Verdana" w:hAnsi="Verdana" w:cs="Arial"/>
          <w:color w:val="000000" w:themeColor="text1"/>
          <w:sz w:val="20"/>
          <w:szCs w:val="20"/>
          <w:lang w:val="es"/>
        </w:rPr>
        <w:t xml:space="preserve">A lo largo de 10 años, a través de la </w:t>
      </w:r>
      <w:r w:rsidR="003437D6">
        <w:rPr>
          <w:rFonts w:ascii="Verdana" w:hAnsi="Verdana" w:cs="Arial"/>
          <w:color w:val="000000" w:themeColor="text1"/>
          <w:sz w:val="20"/>
          <w:szCs w:val="20"/>
          <w:lang w:val="es"/>
        </w:rPr>
        <w:t>ejecución</w:t>
      </w:r>
      <w:r>
        <w:rPr>
          <w:rFonts w:ascii="Verdana" w:hAnsi="Verdana" w:cs="Arial"/>
          <w:color w:val="000000" w:themeColor="text1"/>
          <w:sz w:val="20"/>
          <w:szCs w:val="20"/>
          <w:lang w:val="es"/>
        </w:rPr>
        <w:t xml:space="preserve"> de este plan, se reforzará una interfaz científico-normativa propicia para el clima, el medioambiente y la ciencia y los servicios de salud para proporcionar beneficios sostenibles y a largo plazo, que vayan más allá de la interfaz climátic</w:t>
      </w:r>
      <w:r w:rsidR="00D96C0D">
        <w:rPr>
          <w:rFonts w:ascii="Verdana" w:hAnsi="Verdana" w:cs="Arial"/>
          <w:color w:val="000000" w:themeColor="text1"/>
          <w:sz w:val="20"/>
          <w:szCs w:val="20"/>
          <w:lang w:val="es"/>
        </w:rPr>
        <w:t>a</w:t>
      </w:r>
      <w:r>
        <w:rPr>
          <w:rFonts w:ascii="Verdana" w:hAnsi="Verdana" w:cs="Arial"/>
          <w:color w:val="000000" w:themeColor="text1"/>
          <w:sz w:val="20"/>
          <w:szCs w:val="20"/>
          <w:lang w:val="es"/>
        </w:rPr>
        <w:t xml:space="preserve">, </w:t>
      </w:r>
      <w:r w:rsidR="00D96C0D">
        <w:rPr>
          <w:rFonts w:ascii="Verdana" w:hAnsi="Verdana" w:cs="Arial"/>
          <w:color w:val="000000" w:themeColor="text1"/>
          <w:sz w:val="20"/>
          <w:szCs w:val="20"/>
          <w:lang w:val="es"/>
        </w:rPr>
        <w:t>medio</w:t>
      </w:r>
      <w:r>
        <w:rPr>
          <w:rFonts w:ascii="Verdana" w:hAnsi="Verdana" w:cs="Arial"/>
          <w:color w:val="000000" w:themeColor="text1"/>
          <w:sz w:val="20"/>
          <w:szCs w:val="20"/>
          <w:lang w:val="es"/>
        </w:rPr>
        <w:t xml:space="preserve">ambiental y de salud. </w:t>
      </w:r>
      <w:r w:rsidR="00292F3A">
        <w:rPr>
          <w:rFonts w:ascii="Verdana" w:hAnsi="Verdana" w:cs="Arial"/>
          <w:color w:val="000000" w:themeColor="text1"/>
          <w:sz w:val="20"/>
          <w:szCs w:val="20"/>
          <w:lang w:val="es"/>
        </w:rPr>
        <w:t>Incluye</w:t>
      </w:r>
      <w:r>
        <w:rPr>
          <w:rFonts w:ascii="Verdana" w:hAnsi="Verdana" w:cs="Arial"/>
          <w:color w:val="000000" w:themeColor="text1"/>
          <w:sz w:val="20"/>
          <w:szCs w:val="20"/>
          <w:lang w:val="es"/>
        </w:rPr>
        <w:t>, entre otros:</w:t>
      </w:r>
    </w:p>
    <w:p w14:paraId="338BC9F3" w14:textId="20CB43D6" w:rsidR="008B72C9" w:rsidRPr="00D62BCD" w:rsidRDefault="00292F3A" w:rsidP="00402DFC">
      <w:pPr>
        <w:pStyle w:val="WMOIndent2"/>
        <w:numPr>
          <w:ilvl w:val="0"/>
          <w:numId w:val="6"/>
        </w:numPr>
        <w:ind w:left="1134" w:hanging="567"/>
        <w:rPr>
          <w:rStyle w:val="normaltextrun"/>
          <w:color w:val="000000"/>
          <w:lang w:val="es-ES"/>
        </w:rPr>
      </w:pPr>
      <w:r>
        <w:rPr>
          <w:rStyle w:val="normaltextrun"/>
          <w:color w:val="000000"/>
          <w:lang w:val="es"/>
        </w:rPr>
        <w:t>m</w:t>
      </w:r>
      <w:r w:rsidR="008B72C9">
        <w:rPr>
          <w:rStyle w:val="normaltextrun"/>
          <w:color w:val="000000"/>
          <w:lang w:val="es"/>
        </w:rPr>
        <w:t>ejora de la capacidad y la resiliencia de los sistemas de salud frente al clima, los fenómenos meteorológicos extremos y los episodios peligrosos de calidad del aire</w:t>
      </w:r>
      <w:r w:rsidR="00B67227">
        <w:rPr>
          <w:rStyle w:val="normaltextrun"/>
          <w:color w:val="000000"/>
          <w:lang w:val="es"/>
        </w:rPr>
        <w:t>;</w:t>
      </w:r>
    </w:p>
    <w:p w14:paraId="14CF4200" w14:textId="0B0D3521" w:rsidR="008B72C9" w:rsidRPr="00D62BCD" w:rsidRDefault="00292F3A" w:rsidP="00133F9D">
      <w:pPr>
        <w:pStyle w:val="WMOIndent2"/>
        <w:numPr>
          <w:ilvl w:val="0"/>
          <w:numId w:val="6"/>
        </w:numPr>
        <w:ind w:left="1134" w:right="-170" w:hanging="567"/>
        <w:rPr>
          <w:rStyle w:val="normaltextrun"/>
          <w:color w:val="000000"/>
          <w:lang w:val="es-ES"/>
        </w:rPr>
      </w:pPr>
      <w:r>
        <w:rPr>
          <w:rStyle w:val="normaltextrun"/>
          <w:color w:val="000000"/>
          <w:lang w:val="es"/>
        </w:rPr>
        <w:t>l</w:t>
      </w:r>
      <w:r w:rsidR="008B72C9">
        <w:rPr>
          <w:rStyle w:val="normaltextrun"/>
          <w:color w:val="000000"/>
          <w:lang w:val="es"/>
        </w:rPr>
        <w:t>as trayectorias y cohortes profesionales transdisciplinarias están equipadas con los conocimientos y las herramientas necesari</w:t>
      </w:r>
      <w:r w:rsidR="00FC531A">
        <w:rPr>
          <w:rStyle w:val="normaltextrun"/>
          <w:color w:val="000000"/>
          <w:lang w:val="es"/>
        </w:rPr>
        <w:t>a</w:t>
      </w:r>
      <w:r w:rsidR="008B72C9">
        <w:rPr>
          <w:rStyle w:val="normaltextrun"/>
          <w:color w:val="000000"/>
          <w:lang w:val="es"/>
        </w:rPr>
        <w:t>s para apoyar los esfuerzos de adaptación y mitigación de la salud</w:t>
      </w:r>
      <w:r w:rsidR="00B67227">
        <w:rPr>
          <w:rStyle w:val="normaltextrun"/>
          <w:color w:val="000000"/>
          <w:lang w:val="es"/>
        </w:rPr>
        <w:t>;</w:t>
      </w:r>
    </w:p>
    <w:p w14:paraId="6E23C1DB" w14:textId="378AF299" w:rsidR="008B72C9" w:rsidRPr="00D62BCD" w:rsidRDefault="00292F3A" w:rsidP="00402DFC">
      <w:pPr>
        <w:pStyle w:val="WMOIndent2"/>
        <w:numPr>
          <w:ilvl w:val="0"/>
          <w:numId w:val="6"/>
        </w:numPr>
        <w:ind w:left="1134" w:hanging="567"/>
        <w:rPr>
          <w:rStyle w:val="normaltextrun"/>
          <w:color w:val="000000"/>
          <w:lang w:val="es-ES"/>
        </w:rPr>
      </w:pPr>
      <w:r>
        <w:rPr>
          <w:rStyle w:val="normaltextrun"/>
          <w:color w:val="000000"/>
          <w:lang w:val="es"/>
        </w:rPr>
        <w:t>a</w:t>
      </w:r>
      <w:r w:rsidR="008B72C9">
        <w:rPr>
          <w:rStyle w:val="normaltextrun"/>
          <w:color w:val="000000"/>
          <w:lang w:val="es"/>
        </w:rPr>
        <w:t>horros de costes mensurables de medidas de anticipación basadas en pruebas, que justifiquen las inversiones iniciales</w:t>
      </w:r>
      <w:r w:rsidR="00710D41">
        <w:rPr>
          <w:rStyle w:val="normaltextrun"/>
          <w:color w:val="000000"/>
          <w:lang w:val="es"/>
        </w:rPr>
        <w:t>;</w:t>
      </w:r>
    </w:p>
    <w:p w14:paraId="6CD0CFD0" w14:textId="4F5EE912" w:rsidR="008B72C9" w:rsidRPr="00D62BCD" w:rsidRDefault="00292F3A" w:rsidP="00402DFC">
      <w:pPr>
        <w:pStyle w:val="WMOIndent2"/>
        <w:numPr>
          <w:ilvl w:val="0"/>
          <w:numId w:val="6"/>
        </w:numPr>
        <w:ind w:left="1134" w:hanging="567"/>
        <w:rPr>
          <w:rStyle w:val="normaltextrun"/>
          <w:color w:val="000000"/>
          <w:lang w:val="es-ES"/>
        </w:rPr>
      </w:pPr>
      <w:r>
        <w:rPr>
          <w:rStyle w:val="normaltextrun"/>
          <w:color w:val="000000"/>
          <w:lang w:val="es"/>
        </w:rPr>
        <w:t>r</w:t>
      </w:r>
      <w:r w:rsidR="008B72C9">
        <w:rPr>
          <w:rStyle w:val="normaltextrun"/>
          <w:color w:val="000000"/>
          <w:lang w:val="es"/>
        </w:rPr>
        <w:t>educción del impacto del clima, el tiempo y la mala calidad del aire en los resultados de salud, los sistemas de salud y las sociedades en general</w:t>
      </w:r>
      <w:r w:rsidR="00052FB4">
        <w:rPr>
          <w:rStyle w:val="normaltextrun"/>
          <w:color w:val="000000"/>
          <w:lang w:val="es"/>
        </w:rPr>
        <w:t>;</w:t>
      </w:r>
    </w:p>
    <w:p w14:paraId="21C15613" w14:textId="43CC5CFD" w:rsidR="008B72C9" w:rsidRPr="00D62BCD" w:rsidRDefault="00292F3A" w:rsidP="00402DFC">
      <w:pPr>
        <w:pStyle w:val="WMOIndent2"/>
        <w:numPr>
          <w:ilvl w:val="0"/>
          <w:numId w:val="6"/>
        </w:numPr>
        <w:ind w:left="1134" w:hanging="567"/>
        <w:rPr>
          <w:rStyle w:val="normaltextrun"/>
          <w:color w:val="000000"/>
          <w:lang w:val="es-ES"/>
        </w:rPr>
      </w:pPr>
      <w:r>
        <w:rPr>
          <w:rStyle w:val="normaltextrun"/>
          <w:color w:val="000000"/>
          <w:lang w:val="es"/>
        </w:rPr>
        <w:t>u</w:t>
      </w:r>
      <w:r w:rsidR="008B72C9">
        <w:rPr>
          <w:rStyle w:val="normaltextrun"/>
          <w:color w:val="000000"/>
          <w:lang w:val="es"/>
        </w:rPr>
        <w:t xml:space="preserve">na mejor protección de las poblaciones vulnerables </w:t>
      </w:r>
      <w:r w:rsidR="00821D4B" w:rsidRPr="00821D4B">
        <w:rPr>
          <w:rStyle w:val="normaltextrun"/>
          <w:color w:val="000000"/>
          <w:lang w:val="es"/>
        </w:rPr>
        <w:t xml:space="preserve">reduce los </w:t>
      </w:r>
      <w:r w:rsidR="00167CEA">
        <w:rPr>
          <w:rStyle w:val="normaltextrun"/>
          <w:color w:val="000000"/>
          <w:lang w:val="es"/>
        </w:rPr>
        <w:t xml:space="preserve">efectos </w:t>
      </w:r>
      <w:r w:rsidR="00821D4B" w:rsidRPr="00821D4B">
        <w:rPr>
          <w:rStyle w:val="normaltextrun"/>
          <w:color w:val="000000"/>
          <w:lang w:val="es"/>
        </w:rPr>
        <w:t>negativos</w:t>
      </w:r>
      <w:r w:rsidR="00167CEA">
        <w:rPr>
          <w:rStyle w:val="normaltextrun"/>
          <w:color w:val="000000"/>
          <w:lang w:val="es"/>
        </w:rPr>
        <w:t xml:space="preserve"> en la salud</w:t>
      </w:r>
      <w:r w:rsidR="00052FB4">
        <w:rPr>
          <w:rStyle w:val="normaltextrun"/>
          <w:color w:val="000000"/>
          <w:lang w:val="es"/>
        </w:rPr>
        <w:t>;</w:t>
      </w:r>
    </w:p>
    <w:p w14:paraId="110FE5F4" w14:textId="772D5DC3" w:rsidR="008B72C9" w:rsidRPr="00D62BCD" w:rsidRDefault="00292F3A" w:rsidP="00402DFC">
      <w:pPr>
        <w:pStyle w:val="WMOIndent2"/>
        <w:numPr>
          <w:ilvl w:val="0"/>
          <w:numId w:val="6"/>
        </w:numPr>
        <w:ind w:left="1134" w:hanging="567"/>
        <w:rPr>
          <w:rStyle w:val="normaltextrun"/>
          <w:color w:val="000000"/>
          <w:lang w:val="es-ES"/>
        </w:rPr>
      </w:pPr>
      <w:r>
        <w:rPr>
          <w:rStyle w:val="normaltextrun"/>
          <w:color w:val="000000"/>
          <w:lang w:val="es"/>
        </w:rPr>
        <w:t>a</w:t>
      </w:r>
      <w:r w:rsidR="008B72C9">
        <w:rPr>
          <w:rStyle w:val="normaltextrun"/>
          <w:color w:val="000000"/>
          <w:lang w:val="es"/>
        </w:rPr>
        <w:t>cceso universal a los servicios climáticos para proteger la salud</w:t>
      </w:r>
      <w:r w:rsidR="00052FB4">
        <w:rPr>
          <w:rStyle w:val="normaltextrun"/>
          <w:color w:val="000000"/>
          <w:lang w:val="es"/>
        </w:rPr>
        <w:t>;</w:t>
      </w:r>
    </w:p>
    <w:p w14:paraId="29F58D52" w14:textId="13EAE0D5" w:rsidR="008B72C9" w:rsidRPr="00D62BCD" w:rsidRDefault="00292F3A" w:rsidP="00402DFC">
      <w:pPr>
        <w:pStyle w:val="WMOIndent2"/>
        <w:numPr>
          <w:ilvl w:val="0"/>
          <w:numId w:val="6"/>
        </w:numPr>
        <w:ind w:left="1134" w:hanging="567"/>
        <w:rPr>
          <w:rStyle w:val="normaltextrun"/>
          <w:color w:val="000000"/>
          <w:lang w:val="es-ES"/>
        </w:rPr>
      </w:pPr>
      <w:r>
        <w:rPr>
          <w:rStyle w:val="normaltextrun"/>
          <w:color w:val="000000"/>
          <w:lang w:val="es"/>
        </w:rPr>
        <w:t>i</w:t>
      </w:r>
      <w:r w:rsidR="008B72C9">
        <w:rPr>
          <w:rStyle w:val="normaltextrun"/>
          <w:color w:val="000000"/>
          <w:lang w:val="es"/>
        </w:rPr>
        <w:t xml:space="preserve">ntegración del clima y los servicios de salud en todos los sectores y </w:t>
      </w:r>
      <w:r w:rsidR="00167CEA">
        <w:rPr>
          <w:rStyle w:val="normaltextrun"/>
          <w:color w:val="000000"/>
          <w:lang w:val="es"/>
        </w:rPr>
        <w:t>actores</w:t>
      </w:r>
      <w:r w:rsidR="008B72C9">
        <w:rPr>
          <w:rStyle w:val="normaltextrun"/>
          <w:color w:val="000000"/>
          <w:lang w:val="es"/>
        </w:rPr>
        <w:t xml:space="preserve"> pertinentes</w:t>
      </w:r>
      <w:r w:rsidR="00052FB4">
        <w:rPr>
          <w:rStyle w:val="normaltextrun"/>
          <w:color w:val="000000"/>
          <w:lang w:val="es"/>
        </w:rPr>
        <w:t>;</w:t>
      </w:r>
    </w:p>
    <w:p w14:paraId="4C3B47CC" w14:textId="1A53C42F" w:rsidR="008B72C9" w:rsidRPr="00D62BCD" w:rsidRDefault="00292F3A" w:rsidP="00402DFC">
      <w:pPr>
        <w:pStyle w:val="WMOIndent2"/>
        <w:numPr>
          <w:ilvl w:val="0"/>
          <w:numId w:val="6"/>
        </w:numPr>
        <w:ind w:left="1134" w:hanging="567"/>
        <w:rPr>
          <w:rStyle w:val="normaltextrun"/>
          <w:color w:val="000000"/>
          <w:lang w:val="es-ES"/>
        </w:rPr>
      </w:pPr>
      <w:r>
        <w:rPr>
          <w:rStyle w:val="normaltextrun"/>
          <w:color w:val="000000"/>
          <w:lang w:val="es"/>
        </w:rPr>
        <w:t>i</w:t>
      </w:r>
      <w:r w:rsidR="008B72C9">
        <w:rPr>
          <w:rStyle w:val="normaltextrun"/>
          <w:color w:val="000000"/>
          <w:lang w:val="es"/>
        </w:rPr>
        <w:t xml:space="preserve">mportantes beneficios colaterales para la salud y </w:t>
      </w:r>
      <w:r w:rsidR="00167CEA">
        <w:rPr>
          <w:rStyle w:val="normaltextrun"/>
          <w:color w:val="000000"/>
          <w:lang w:val="es"/>
        </w:rPr>
        <w:t xml:space="preserve">los </w:t>
      </w:r>
      <w:r w:rsidR="008B72C9">
        <w:rPr>
          <w:rStyle w:val="normaltextrun"/>
          <w:color w:val="000000"/>
          <w:lang w:val="es"/>
        </w:rPr>
        <w:t>sectores conexos</w:t>
      </w:r>
      <w:r w:rsidR="00052FB4">
        <w:rPr>
          <w:rStyle w:val="normaltextrun"/>
          <w:color w:val="000000"/>
          <w:lang w:val="es"/>
        </w:rPr>
        <w:t>;</w:t>
      </w:r>
    </w:p>
    <w:p w14:paraId="193E421E" w14:textId="7E7FA457" w:rsidR="008B72C9" w:rsidRPr="00D62BCD" w:rsidRDefault="00292F3A" w:rsidP="00402DFC">
      <w:pPr>
        <w:pStyle w:val="WMOIndent2"/>
        <w:numPr>
          <w:ilvl w:val="0"/>
          <w:numId w:val="6"/>
        </w:numPr>
        <w:ind w:left="1134" w:hanging="567"/>
        <w:rPr>
          <w:rStyle w:val="normaltextrun"/>
          <w:color w:val="000000"/>
          <w:lang w:val="es-ES"/>
        </w:rPr>
      </w:pPr>
      <w:r>
        <w:rPr>
          <w:rStyle w:val="normaltextrun"/>
          <w:color w:val="000000"/>
          <w:lang w:val="es"/>
        </w:rPr>
        <w:lastRenderedPageBreak/>
        <w:t>l</w:t>
      </w:r>
      <w:r w:rsidR="008B72C9">
        <w:rPr>
          <w:rStyle w:val="normaltextrun"/>
          <w:color w:val="000000"/>
          <w:lang w:val="es"/>
        </w:rPr>
        <w:t>as buenas prácticas en los enfoques del sector de la salud influyen en un uso más equitativo, ético y de calidad de los servicios climáticos, meteorológicos y medioambientales en otros sectores</w:t>
      </w:r>
      <w:r w:rsidR="00052FB4">
        <w:rPr>
          <w:rStyle w:val="normaltextrun"/>
          <w:color w:val="000000"/>
          <w:lang w:val="es"/>
        </w:rPr>
        <w:t>;</w:t>
      </w:r>
      <w:r w:rsidR="00080978">
        <w:rPr>
          <w:rStyle w:val="normaltextrun"/>
          <w:color w:val="000000"/>
          <w:lang w:val="es"/>
        </w:rPr>
        <w:t xml:space="preserve"> </w:t>
      </w:r>
    </w:p>
    <w:p w14:paraId="047B26AF" w14:textId="4751DBB9" w:rsidR="008B72C9" w:rsidRPr="00D62BCD" w:rsidRDefault="00292F3A" w:rsidP="00402DFC">
      <w:pPr>
        <w:pStyle w:val="WMOIndent2"/>
        <w:numPr>
          <w:ilvl w:val="0"/>
          <w:numId w:val="6"/>
        </w:numPr>
        <w:ind w:left="1134" w:hanging="567"/>
        <w:rPr>
          <w:rFonts w:cs="Arial"/>
          <w:color w:val="000000" w:themeColor="text1"/>
          <w:lang w:val="es-ES"/>
        </w:rPr>
      </w:pPr>
      <w:r>
        <w:rPr>
          <w:lang w:val="es"/>
        </w:rPr>
        <w:t>a</w:t>
      </w:r>
      <w:r w:rsidR="008B72C9">
        <w:rPr>
          <w:lang w:val="es"/>
        </w:rPr>
        <w:t xml:space="preserve">umento </w:t>
      </w:r>
      <w:r w:rsidR="008B72C9">
        <w:rPr>
          <w:rStyle w:val="normaltextrun"/>
          <w:color w:val="000000"/>
          <w:lang w:val="es"/>
        </w:rPr>
        <w:t>de la capacidad de adaptación</w:t>
      </w:r>
      <w:r w:rsidR="008B72C9">
        <w:rPr>
          <w:rFonts w:cs="Arial"/>
          <w:color w:val="000000" w:themeColor="text1"/>
          <w:lang w:val="es"/>
        </w:rPr>
        <w:t xml:space="preserve"> de los sistemas de salud </w:t>
      </w:r>
      <w:r w:rsidR="00224112">
        <w:rPr>
          <w:rFonts w:cs="Arial"/>
          <w:color w:val="000000" w:themeColor="text1"/>
          <w:lang w:val="es"/>
        </w:rPr>
        <w:t>mediante</w:t>
      </w:r>
      <w:r w:rsidR="008B72C9">
        <w:rPr>
          <w:rFonts w:cs="Arial"/>
          <w:color w:val="000000" w:themeColor="text1"/>
          <w:lang w:val="es"/>
        </w:rPr>
        <w:t xml:space="preserve"> sistemas integrados de información sobre el clima</w:t>
      </w:r>
      <w:r w:rsidR="00052FB4">
        <w:rPr>
          <w:rFonts w:cs="Arial"/>
          <w:color w:val="000000" w:themeColor="text1"/>
          <w:lang w:val="es"/>
        </w:rPr>
        <w:t>;</w:t>
      </w:r>
    </w:p>
    <w:p w14:paraId="0387BA61" w14:textId="77777777" w:rsidR="00AA6584" w:rsidRPr="004D0E4B" w:rsidRDefault="00AA6584" w:rsidP="00D40F6B">
      <w:pPr>
        <w:pStyle w:val="Heading3"/>
        <w:numPr>
          <w:ilvl w:val="0"/>
          <w:numId w:val="11"/>
        </w:numPr>
        <w:ind w:left="1134" w:hanging="1134"/>
        <w:rPr>
          <w:b w:val="0"/>
          <w:color w:val="000000"/>
          <w:shd w:val="clear" w:color="auto" w:fill="FFFFFF"/>
        </w:rPr>
      </w:pPr>
      <w:r>
        <w:rPr>
          <w:lang w:val="es"/>
        </w:rPr>
        <w:t>PROPUESTA DE VALOR</w:t>
      </w:r>
    </w:p>
    <w:p w14:paraId="0905D490" w14:textId="4D4FF605" w:rsidR="008B72C9" w:rsidRPr="00D62BCD" w:rsidRDefault="008B72C9" w:rsidP="00587684">
      <w:pPr>
        <w:pStyle w:val="paragraph"/>
        <w:spacing w:before="240" w:beforeAutospacing="0" w:after="0" w:afterAutospacing="0"/>
        <w:ind w:right="-170"/>
        <w:textAlignment w:val="baseline"/>
        <w:rPr>
          <w:rFonts w:ascii="Verdana" w:hAnsi="Verdana" w:cs="Segoe UI"/>
          <w:sz w:val="20"/>
          <w:szCs w:val="20"/>
          <w:lang w:val="es-ES"/>
        </w:rPr>
      </w:pPr>
      <w:r>
        <w:rPr>
          <w:rStyle w:val="normaltextrun"/>
          <w:rFonts w:ascii="Verdana" w:hAnsi="Verdana" w:cs="Arial"/>
          <w:sz w:val="20"/>
          <w:szCs w:val="20"/>
          <w:lang w:val="es"/>
        </w:rPr>
        <w:t>La utilidad de los servicios climáticos en la salud pública es indiscutible, tanto económica como socialmente. Los servicios climáticos son indispensables para la preparación ante emergencias, la alerta temprana y las intervenciones programáticas, como medio para proteger la salud de</w:t>
      </w:r>
      <w:r w:rsidR="00211A83">
        <w:rPr>
          <w:rStyle w:val="normaltextrun"/>
          <w:rFonts w:ascii="Verdana" w:hAnsi="Verdana" w:cs="Arial"/>
          <w:sz w:val="20"/>
          <w:szCs w:val="20"/>
          <w:lang w:val="es"/>
        </w:rPr>
        <w:t xml:space="preserve"> las personas</w:t>
      </w:r>
      <w:r>
        <w:rPr>
          <w:rStyle w:val="normaltextrun"/>
          <w:rFonts w:ascii="Verdana" w:hAnsi="Verdana" w:cs="Arial"/>
          <w:sz w:val="20"/>
          <w:szCs w:val="20"/>
          <w:lang w:val="es"/>
        </w:rPr>
        <w:t xml:space="preserve">. Los servicios climáticos son una parte integral de la reducción del riesgo de desastres, destinados a minimizar el impacto de los peligros climáticos en la salud pública y la sociedad en general. Los sistemas de alerta temprana para olas de calor, implementados a través de planes de acción </w:t>
      </w:r>
      <w:r w:rsidR="00442386">
        <w:rPr>
          <w:rStyle w:val="normaltextrun"/>
          <w:rFonts w:ascii="Verdana" w:hAnsi="Verdana" w:cs="Arial"/>
          <w:sz w:val="20"/>
          <w:szCs w:val="20"/>
          <w:lang w:val="es"/>
        </w:rPr>
        <w:t>contra los efectos de</w:t>
      </w:r>
      <w:r w:rsidR="00830C18">
        <w:rPr>
          <w:rStyle w:val="normaltextrun"/>
          <w:rFonts w:ascii="Verdana" w:hAnsi="Verdana" w:cs="Arial"/>
          <w:sz w:val="20"/>
          <w:szCs w:val="20"/>
          <w:lang w:val="es"/>
        </w:rPr>
        <w:t>l calor en la salud</w:t>
      </w:r>
      <w:r>
        <w:rPr>
          <w:rStyle w:val="normaltextrun"/>
          <w:rFonts w:ascii="Verdana" w:hAnsi="Verdana" w:cs="Arial"/>
          <w:sz w:val="20"/>
          <w:szCs w:val="20"/>
          <w:lang w:val="es"/>
        </w:rPr>
        <w:t>, pueden reducir las víctimas del calor extremo. También se han puesto en funcionamiento sistemas de alerta temprana para vigilar y pronosticar las crecidas, las sequías, los incendios forestales y las enfermedades infecciosas. Además, la explotación de los servicios climáticos por parte de otros usuarios finales de diferentes sectores presenta enormes beneficios para la salud pública. Por ejemplo, los servicios climáticos se han utilizado para mejorar la solidez de la seguridad alimentaria y la gestión de la calidad del aire en las ciudades.</w:t>
      </w:r>
    </w:p>
    <w:p w14:paraId="3FB84A11" w14:textId="7BE13F2A" w:rsidR="008B72C9" w:rsidRPr="00D62BCD" w:rsidRDefault="00DA3137" w:rsidP="00587684">
      <w:pPr>
        <w:pStyle w:val="WMOBodyText"/>
        <w:ind w:right="-170"/>
        <w:rPr>
          <w:lang w:val="es-ES"/>
        </w:rPr>
      </w:pPr>
      <w:r w:rsidRPr="00DA3137">
        <w:rPr>
          <w:lang w:val="es"/>
        </w:rPr>
        <w:t xml:space="preserve">La ampliación del uso de los servicios climáticos </w:t>
      </w:r>
      <w:r w:rsidR="004421D8">
        <w:rPr>
          <w:lang w:val="es"/>
        </w:rPr>
        <w:t>en materia</w:t>
      </w:r>
      <w:r w:rsidRPr="00DA3137">
        <w:rPr>
          <w:lang w:val="es"/>
        </w:rPr>
        <w:t xml:space="preserve"> de salud pública </w:t>
      </w:r>
      <w:r w:rsidR="004421D8">
        <w:rPr>
          <w:lang w:val="es"/>
        </w:rPr>
        <w:t>posee</w:t>
      </w:r>
      <w:r w:rsidRPr="00DA3137">
        <w:rPr>
          <w:lang w:val="es"/>
        </w:rPr>
        <w:t xml:space="preserve"> un enorme potencial</w:t>
      </w:r>
      <w:r w:rsidR="008B72C9">
        <w:rPr>
          <w:lang w:val="es"/>
        </w:rPr>
        <w:t xml:space="preserve">. Los grupos vulnerables de la sociedad suelen estar más expuestos a los efectos adversos de los peligros climáticos sobre la salud y se beneficiarían enormemente de tener acceso a las alertas de los sistemas de alerta temprana. Sin embargo, en la actualidad, el acceso equitativo a los datos climáticos no está garantizado y amenaza con aumentar las desigualdades, tanto entre los países como dentro de ellos. </w:t>
      </w:r>
      <w:r w:rsidR="00DD5474">
        <w:rPr>
          <w:lang w:val="es"/>
        </w:rPr>
        <w:t>Desgraciadamente</w:t>
      </w:r>
      <w:r w:rsidR="008B72C9">
        <w:rPr>
          <w:lang w:val="es"/>
        </w:rPr>
        <w:t xml:space="preserve">, los grupos </w:t>
      </w:r>
      <w:r w:rsidR="0004407F">
        <w:rPr>
          <w:lang w:val="es"/>
        </w:rPr>
        <w:t>de la sociedad que son más</w:t>
      </w:r>
      <w:r w:rsidR="008B72C9">
        <w:rPr>
          <w:lang w:val="es"/>
        </w:rPr>
        <w:t xml:space="preserve"> vulnerables al clima a menudo </w:t>
      </w:r>
      <w:r w:rsidR="004F143C">
        <w:rPr>
          <w:lang w:val="es"/>
        </w:rPr>
        <w:t>reciben</w:t>
      </w:r>
      <w:r w:rsidR="008831CD">
        <w:rPr>
          <w:lang w:val="es"/>
        </w:rPr>
        <w:t xml:space="preserve"> la información más escasa</w:t>
      </w:r>
      <w:r w:rsidR="008B72C9">
        <w:rPr>
          <w:lang w:val="es"/>
        </w:rPr>
        <w:t xml:space="preserve"> </w:t>
      </w:r>
      <w:r w:rsidR="008831CD">
        <w:rPr>
          <w:lang w:val="es"/>
        </w:rPr>
        <w:t xml:space="preserve">con respecto a </w:t>
      </w:r>
      <w:r w:rsidR="008B72C9">
        <w:rPr>
          <w:lang w:val="es"/>
        </w:rPr>
        <w:t xml:space="preserve">datos climáticos de estaciones terrestres </w:t>
      </w:r>
      <w:r w:rsidR="008831CD">
        <w:rPr>
          <w:lang w:val="es"/>
        </w:rPr>
        <w:t>que les</w:t>
      </w:r>
      <w:r w:rsidR="008B72C9">
        <w:rPr>
          <w:lang w:val="es"/>
        </w:rPr>
        <w:t xml:space="preserve"> </w:t>
      </w:r>
      <w:r w:rsidR="008831CD">
        <w:rPr>
          <w:lang w:val="es"/>
        </w:rPr>
        <w:t>permitiría</w:t>
      </w:r>
      <w:r w:rsidR="008B72C9">
        <w:rPr>
          <w:lang w:val="es"/>
        </w:rPr>
        <w:t xml:space="preserve"> la toma de decisiones informadas </w:t>
      </w:r>
      <w:r w:rsidR="008831CD">
        <w:rPr>
          <w:lang w:val="es"/>
        </w:rPr>
        <w:t>con respecto a</w:t>
      </w:r>
      <w:r w:rsidR="008B72C9">
        <w:rPr>
          <w:lang w:val="es"/>
        </w:rPr>
        <w:t xml:space="preserve">l clima. Esta falta de disponibilidad y acceso a los datos climáticos es un factor que contribuye a la </w:t>
      </w:r>
      <w:r w:rsidR="00031A71">
        <w:rPr>
          <w:lang w:val="es"/>
        </w:rPr>
        <w:t xml:space="preserve">futura </w:t>
      </w:r>
      <w:r w:rsidR="008B72C9">
        <w:rPr>
          <w:lang w:val="es"/>
        </w:rPr>
        <w:t xml:space="preserve">vulnerabilidad </w:t>
      </w:r>
      <w:r w:rsidR="00031A71">
        <w:rPr>
          <w:lang w:val="es"/>
        </w:rPr>
        <w:t>frente a</w:t>
      </w:r>
      <w:r w:rsidR="008B72C9">
        <w:rPr>
          <w:lang w:val="es"/>
        </w:rPr>
        <w:t xml:space="preserve"> los riesgos climáticos y puede exacerbar la desigualdad en </w:t>
      </w:r>
      <w:r w:rsidR="00031A71">
        <w:rPr>
          <w:lang w:val="es"/>
        </w:rPr>
        <w:t xml:space="preserve">el ámbito de </w:t>
      </w:r>
      <w:r w:rsidR="008B72C9">
        <w:rPr>
          <w:lang w:val="es"/>
        </w:rPr>
        <w:t>la salud.</w:t>
      </w:r>
    </w:p>
    <w:p w14:paraId="1BFE3908" w14:textId="0BA07ABC" w:rsidR="008B72C9" w:rsidRPr="00D62BCD" w:rsidRDefault="008B72C9" w:rsidP="00587684">
      <w:pPr>
        <w:pStyle w:val="WMOBodyText"/>
        <w:ind w:right="-170"/>
        <w:rPr>
          <w:rFonts w:cs="Segoe UI"/>
          <w:lang w:val="es-ES"/>
        </w:rPr>
      </w:pPr>
      <w:r>
        <w:rPr>
          <w:lang w:val="es"/>
        </w:rPr>
        <w:t xml:space="preserve">Los servicios climáticos son una parte integral de las políticas públicas, tanto a nivel nacional como internacional. Proyectar los impactos del cambio climático en el futuro es esencial para la planificación a largo plazo y la formulación de políticas </w:t>
      </w:r>
      <w:r w:rsidR="00EB2A8D">
        <w:rPr>
          <w:lang w:val="es"/>
        </w:rPr>
        <w:t>contrastadas</w:t>
      </w:r>
      <w:r>
        <w:rPr>
          <w:lang w:val="es"/>
        </w:rPr>
        <w:t xml:space="preserve">. Sin pronósticos científicamente fundamentados sobre posibles </w:t>
      </w:r>
      <w:r w:rsidR="00A816E7">
        <w:rPr>
          <w:lang w:val="es"/>
        </w:rPr>
        <w:t>escenarios</w:t>
      </w:r>
      <w:r>
        <w:rPr>
          <w:lang w:val="es"/>
        </w:rPr>
        <w:t xml:space="preserve">, la formulación de políticas se vería privada de su fundamento y </w:t>
      </w:r>
      <w:r w:rsidR="00F75E47" w:rsidRPr="00F75E47">
        <w:rPr>
          <w:lang w:val="es"/>
        </w:rPr>
        <w:t>resultaría inadecuada para desarrollar estrategias racionales</w:t>
      </w:r>
      <w:r>
        <w:rPr>
          <w:rStyle w:val="normaltextrun"/>
          <w:rFonts w:cs="Arial"/>
          <w:lang w:val="es"/>
        </w:rPr>
        <w:t>.</w:t>
      </w:r>
    </w:p>
    <w:p w14:paraId="02DEACFF" w14:textId="3DD531CD" w:rsidR="008B72C9" w:rsidRPr="00D62BCD" w:rsidRDefault="008B72C9" w:rsidP="00402DFC">
      <w:pPr>
        <w:pStyle w:val="WMOBodyText"/>
        <w:rPr>
          <w:rStyle w:val="normaltextrun"/>
          <w:color w:val="000000"/>
          <w:shd w:val="clear" w:color="auto" w:fill="FFFFFF"/>
          <w:lang w:val="es-ES"/>
        </w:rPr>
      </w:pPr>
      <w:r>
        <w:rPr>
          <w:rStyle w:val="normaltextrun"/>
          <w:rFonts w:cs="Arial"/>
          <w:lang w:val="es"/>
        </w:rPr>
        <w:t xml:space="preserve">Por lo tanto, abordar las barreras a la disponibilidad, el acceso y el uso de datos climáticos y meteorológicos por parte del sector de la salud </w:t>
      </w:r>
      <w:r w:rsidR="00D874E6">
        <w:rPr>
          <w:rStyle w:val="normaltextrun"/>
          <w:rFonts w:cs="Arial"/>
          <w:lang w:val="es"/>
        </w:rPr>
        <w:t>promete</w:t>
      </w:r>
      <w:r>
        <w:rPr>
          <w:rStyle w:val="normaltextrun"/>
          <w:rFonts w:cs="Arial"/>
          <w:lang w:val="es"/>
        </w:rPr>
        <w:t xml:space="preserve"> mejorar la resiliencia climática. El objetivo es poner los servicios climáticos a disposición de los usuarios finales, tanto de los países </w:t>
      </w:r>
      <w:r w:rsidR="00E57106">
        <w:rPr>
          <w:rStyle w:val="normaltextrun"/>
          <w:rFonts w:cs="Arial"/>
          <w:lang w:val="es"/>
        </w:rPr>
        <w:t>de</w:t>
      </w:r>
      <w:r>
        <w:rPr>
          <w:rStyle w:val="normaltextrun"/>
          <w:rFonts w:cs="Arial"/>
          <w:lang w:val="es"/>
        </w:rPr>
        <w:t xml:space="preserve"> ingresos bajos como de los de ingresos altos, de forma amplia y gratuita. Ese acceso universal a los servicios climáticos será particularmente beneficioso para las comunidades con menos recursos y tendrá consecuencias de gran alcance para la salud pública. Los beneficios promoverán la prevención, la preparación </w:t>
      </w:r>
      <w:r w:rsidR="00142BEC">
        <w:rPr>
          <w:rStyle w:val="normaltextrun"/>
          <w:rFonts w:cs="Arial"/>
          <w:lang w:val="es"/>
        </w:rPr>
        <w:t>en caso de</w:t>
      </w:r>
      <w:r>
        <w:rPr>
          <w:rStyle w:val="normaltextrun"/>
          <w:rFonts w:cs="Arial"/>
          <w:lang w:val="es"/>
        </w:rPr>
        <w:t xml:space="preserve"> emergencias y las políticas públicas con beneficios tangibles en materia de salud. </w:t>
      </w:r>
      <w:r w:rsidR="00400503" w:rsidRPr="00400503">
        <w:rPr>
          <w:rStyle w:val="normaltextrun"/>
          <w:rFonts w:cs="Arial"/>
          <w:lang w:val="es"/>
        </w:rPr>
        <w:t xml:space="preserve">Facilitar el acceso a los servicios climáticos </w:t>
      </w:r>
      <w:r w:rsidR="00400503">
        <w:rPr>
          <w:rStyle w:val="normaltextrun"/>
          <w:rFonts w:cs="Arial"/>
          <w:lang w:val="es"/>
        </w:rPr>
        <w:t>para</w:t>
      </w:r>
      <w:r w:rsidR="00400503" w:rsidRPr="00400503">
        <w:rPr>
          <w:rStyle w:val="normaltextrun"/>
          <w:rFonts w:cs="Arial"/>
          <w:lang w:val="es"/>
        </w:rPr>
        <w:t xml:space="preserve"> la comunidad </w:t>
      </w:r>
      <w:r w:rsidR="00400503">
        <w:rPr>
          <w:rStyle w:val="normaltextrun"/>
          <w:rFonts w:cs="Arial"/>
          <w:lang w:val="es"/>
        </w:rPr>
        <w:t>del ámbito de la salud</w:t>
      </w:r>
      <w:r w:rsidR="00400503" w:rsidRPr="00400503">
        <w:rPr>
          <w:rStyle w:val="normaltextrun"/>
          <w:rFonts w:cs="Arial"/>
          <w:lang w:val="es"/>
        </w:rPr>
        <w:t xml:space="preserve"> pública generará un enorme ahorro de costes a largo plazo que justificará cualquier inversión inicial.</w:t>
      </w:r>
    </w:p>
    <w:p w14:paraId="339F51E2" w14:textId="77777777" w:rsidR="003D0A2B" w:rsidRPr="00D62BCD" w:rsidRDefault="003D0A2B" w:rsidP="00D40F6B">
      <w:pPr>
        <w:pStyle w:val="Heading3"/>
        <w:numPr>
          <w:ilvl w:val="0"/>
          <w:numId w:val="11"/>
        </w:numPr>
        <w:ind w:left="1134" w:hanging="1134"/>
        <w:rPr>
          <w:lang w:val="es-ES"/>
        </w:rPr>
      </w:pPr>
      <w:r>
        <w:rPr>
          <w:lang w:val="es"/>
        </w:rPr>
        <w:lastRenderedPageBreak/>
        <w:t>PANORAMA GENERAL DEL PLAN DE EJECUCIÓN</w:t>
      </w:r>
    </w:p>
    <w:p w14:paraId="02151B22" w14:textId="6C02B09B" w:rsidR="008B72C9" w:rsidRPr="00D62BCD" w:rsidRDefault="008B72C9" w:rsidP="00AD56C9">
      <w:pPr>
        <w:pStyle w:val="WMOBodyText"/>
        <w:ind w:right="-170"/>
        <w:rPr>
          <w:rStyle w:val="normaltextrun"/>
          <w:color w:val="000000"/>
          <w:shd w:val="clear" w:color="auto" w:fill="FFFFFF"/>
          <w:lang w:val="es-ES"/>
        </w:rPr>
      </w:pPr>
      <w:r>
        <w:rPr>
          <w:rStyle w:val="normaltextrun"/>
          <w:rFonts w:cs="Segoe UI"/>
          <w:lang w:val="es"/>
        </w:rPr>
        <w:t xml:space="preserve">Este plan decenal está organizado de acuerdo con tres dimensiones y utiliza un enfoque de nexo para permitir la flexibilidad y la adaptación de los enfoques y las actividades según sea relevante para los contextos locales y regionales. </w:t>
      </w:r>
      <w:r>
        <w:rPr>
          <w:rStyle w:val="eop"/>
          <w:rFonts w:cs="Segoe UI"/>
          <w:lang w:val="es"/>
        </w:rPr>
        <w:t xml:space="preserve">Seis </w:t>
      </w:r>
      <w:r>
        <w:rPr>
          <w:rStyle w:val="normaltextrun"/>
          <w:color w:val="000000"/>
          <w:shd w:val="clear" w:color="auto" w:fill="FFFFFF"/>
          <w:lang w:val="es"/>
        </w:rPr>
        <w:t xml:space="preserve">áreas de apoyo fundacional proponen acciones y mecanismos para liderar el cambio transformacional en </w:t>
      </w:r>
      <w:r w:rsidR="00E9271C">
        <w:rPr>
          <w:rStyle w:val="normaltextrun"/>
          <w:color w:val="000000"/>
          <w:shd w:val="clear" w:color="auto" w:fill="FFFFFF"/>
          <w:lang w:val="es"/>
        </w:rPr>
        <w:t>materia del</w:t>
      </w:r>
      <w:r>
        <w:rPr>
          <w:rStyle w:val="normaltextrun"/>
          <w:color w:val="000000"/>
          <w:shd w:val="clear" w:color="auto" w:fill="FFFFFF"/>
          <w:lang w:val="es"/>
        </w:rPr>
        <w:t xml:space="preserve"> clima, el </w:t>
      </w:r>
      <w:r w:rsidR="00E9271C">
        <w:rPr>
          <w:rStyle w:val="normaltextrun"/>
          <w:color w:val="000000"/>
          <w:shd w:val="clear" w:color="auto" w:fill="FFFFFF"/>
          <w:lang w:val="es"/>
        </w:rPr>
        <w:t>tiempo</w:t>
      </w:r>
      <w:r>
        <w:rPr>
          <w:rStyle w:val="normaltextrun"/>
          <w:color w:val="000000"/>
          <w:shd w:val="clear" w:color="auto" w:fill="FFFFFF"/>
          <w:lang w:val="es"/>
        </w:rPr>
        <w:t xml:space="preserve">, el medioambiente y la ciencia de la salud, los servicios y las políticas. Entre ellas cabe citar las siguientes: </w:t>
      </w:r>
      <w:r w:rsidR="00E9271C">
        <w:rPr>
          <w:rStyle w:val="normaltextrun"/>
          <w:color w:val="000000"/>
          <w:shd w:val="clear" w:color="auto" w:fill="FFFFFF"/>
          <w:lang w:val="es"/>
        </w:rPr>
        <w:t>p</w:t>
      </w:r>
      <w:r>
        <w:rPr>
          <w:rStyle w:val="normaltextrun"/>
          <w:color w:val="000000"/>
          <w:shd w:val="clear" w:color="auto" w:fill="FFFFFF"/>
          <w:lang w:val="es"/>
        </w:rPr>
        <w:t xml:space="preserve">olítica y </w:t>
      </w:r>
      <w:r w:rsidR="00E9271C">
        <w:rPr>
          <w:rStyle w:val="normaltextrun"/>
          <w:color w:val="000000"/>
          <w:shd w:val="clear" w:color="auto" w:fill="FFFFFF"/>
          <w:lang w:val="es"/>
        </w:rPr>
        <w:t>c</w:t>
      </w:r>
      <w:r>
        <w:rPr>
          <w:rStyle w:val="normaltextrun"/>
          <w:color w:val="000000"/>
          <w:shd w:val="clear" w:color="auto" w:fill="FFFFFF"/>
          <w:lang w:val="es"/>
        </w:rPr>
        <w:t xml:space="preserve">oordinación; </w:t>
      </w:r>
      <w:r w:rsidR="00E9271C">
        <w:rPr>
          <w:rStyle w:val="normaltextrun"/>
          <w:color w:val="000000"/>
          <w:shd w:val="clear" w:color="auto" w:fill="FFFFFF"/>
          <w:lang w:val="es"/>
        </w:rPr>
        <w:t>d</w:t>
      </w:r>
      <w:r>
        <w:rPr>
          <w:rStyle w:val="normaltextrun"/>
          <w:color w:val="000000"/>
          <w:shd w:val="clear" w:color="auto" w:fill="FFFFFF"/>
          <w:lang w:val="es"/>
        </w:rPr>
        <w:t xml:space="preserve">esarrollo de </w:t>
      </w:r>
      <w:r w:rsidR="00E9271C">
        <w:rPr>
          <w:rStyle w:val="normaltextrun"/>
          <w:color w:val="000000"/>
          <w:shd w:val="clear" w:color="auto" w:fill="FFFFFF"/>
          <w:lang w:val="es"/>
        </w:rPr>
        <w:t>r</w:t>
      </w:r>
      <w:r>
        <w:rPr>
          <w:rStyle w:val="normaltextrun"/>
          <w:color w:val="000000"/>
          <w:shd w:val="clear" w:color="auto" w:fill="FFFFFF"/>
          <w:lang w:val="es"/>
        </w:rPr>
        <w:t xml:space="preserve">ecursos </w:t>
      </w:r>
      <w:r w:rsidR="00E9271C">
        <w:rPr>
          <w:rStyle w:val="normaltextrun"/>
          <w:color w:val="000000"/>
          <w:shd w:val="clear" w:color="auto" w:fill="FFFFFF"/>
          <w:lang w:val="es"/>
        </w:rPr>
        <w:t>h</w:t>
      </w:r>
      <w:r>
        <w:rPr>
          <w:rStyle w:val="normaltextrun"/>
          <w:color w:val="000000"/>
          <w:shd w:val="clear" w:color="auto" w:fill="FFFFFF"/>
          <w:lang w:val="es"/>
        </w:rPr>
        <w:t xml:space="preserve">umanos; </w:t>
      </w:r>
      <w:r w:rsidR="00E9271C">
        <w:rPr>
          <w:rStyle w:val="normaltextrun"/>
          <w:color w:val="000000"/>
          <w:shd w:val="clear" w:color="auto" w:fill="FFFFFF"/>
          <w:lang w:val="es"/>
        </w:rPr>
        <w:t>c</w:t>
      </w:r>
      <w:r>
        <w:rPr>
          <w:rStyle w:val="normaltextrun"/>
          <w:color w:val="000000"/>
          <w:shd w:val="clear" w:color="auto" w:fill="FFFFFF"/>
          <w:lang w:val="es"/>
        </w:rPr>
        <w:t xml:space="preserve">omunicaciones; </w:t>
      </w:r>
      <w:r w:rsidR="00E9271C">
        <w:rPr>
          <w:rStyle w:val="normaltextrun"/>
          <w:color w:val="000000"/>
          <w:shd w:val="clear" w:color="auto" w:fill="FFFFFF"/>
          <w:lang w:val="es"/>
        </w:rPr>
        <w:t>i</w:t>
      </w:r>
      <w:r>
        <w:rPr>
          <w:rStyle w:val="normaltextrun"/>
          <w:color w:val="000000"/>
          <w:shd w:val="clear" w:color="auto" w:fill="FFFFFF"/>
          <w:lang w:val="es"/>
        </w:rPr>
        <w:t xml:space="preserve">nvestigación; </w:t>
      </w:r>
      <w:r w:rsidR="00E9271C">
        <w:rPr>
          <w:rStyle w:val="normaltextrun"/>
          <w:color w:val="000000"/>
          <w:shd w:val="clear" w:color="auto" w:fill="FFFFFF"/>
          <w:lang w:val="es"/>
        </w:rPr>
        <w:t>s</w:t>
      </w:r>
      <w:r>
        <w:rPr>
          <w:rStyle w:val="normaltextrun"/>
          <w:color w:val="000000"/>
          <w:shd w:val="clear" w:color="auto" w:fill="FFFFFF"/>
          <w:lang w:val="es"/>
        </w:rPr>
        <w:t xml:space="preserve">ervicios </w:t>
      </w:r>
      <w:r w:rsidR="00E9271C">
        <w:rPr>
          <w:rStyle w:val="normaltextrun"/>
          <w:color w:val="000000"/>
          <w:shd w:val="clear" w:color="auto" w:fill="FFFFFF"/>
          <w:lang w:val="es"/>
        </w:rPr>
        <w:t>o</w:t>
      </w:r>
      <w:r>
        <w:rPr>
          <w:rStyle w:val="normaltextrun"/>
          <w:color w:val="000000"/>
          <w:shd w:val="clear" w:color="auto" w:fill="FFFFFF"/>
          <w:lang w:val="es"/>
        </w:rPr>
        <w:t xml:space="preserve">perativos; y </w:t>
      </w:r>
      <w:r w:rsidR="00E9271C">
        <w:rPr>
          <w:rStyle w:val="normaltextrun"/>
          <w:color w:val="000000"/>
          <w:shd w:val="clear" w:color="auto" w:fill="FFFFFF"/>
          <w:lang w:val="es"/>
        </w:rPr>
        <w:t>m</w:t>
      </w:r>
      <w:r>
        <w:rPr>
          <w:rStyle w:val="normaltextrun"/>
          <w:color w:val="000000"/>
          <w:shd w:val="clear" w:color="auto" w:fill="FFFFFF"/>
          <w:lang w:val="es"/>
        </w:rPr>
        <w:t xml:space="preserve">onitoreo, </w:t>
      </w:r>
      <w:r w:rsidR="00E9271C">
        <w:rPr>
          <w:rStyle w:val="normaltextrun"/>
          <w:color w:val="000000"/>
          <w:shd w:val="clear" w:color="auto" w:fill="FFFFFF"/>
          <w:lang w:val="es"/>
        </w:rPr>
        <w:t>e</w:t>
      </w:r>
      <w:r>
        <w:rPr>
          <w:rStyle w:val="normaltextrun"/>
          <w:color w:val="000000"/>
          <w:shd w:val="clear" w:color="auto" w:fill="FFFFFF"/>
          <w:lang w:val="es"/>
        </w:rPr>
        <w:t xml:space="preserve">valuación y </w:t>
      </w:r>
      <w:r w:rsidR="00E9271C">
        <w:rPr>
          <w:rStyle w:val="normaltextrun"/>
          <w:color w:val="000000"/>
          <w:shd w:val="clear" w:color="auto" w:fill="FFFFFF"/>
          <w:lang w:val="es"/>
        </w:rPr>
        <w:t>a</w:t>
      </w:r>
      <w:r>
        <w:rPr>
          <w:rStyle w:val="normaltextrun"/>
          <w:color w:val="000000"/>
          <w:shd w:val="clear" w:color="auto" w:fill="FFFFFF"/>
          <w:lang w:val="es"/>
        </w:rPr>
        <w:t>prendizaje.</w:t>
      </w:r>
    </w:p>
    <w:p w14:paraId="7EBE8B2A" w14:textId="77777777" w:rsidR="00AA6584" w:rsidRPr="00D62BCD" w:rsidRDefault="00AA6584" w:rsidP="00AA6584">
      <w:pPr>
        <w:pStyle w:val="WMOBodyText"/>
        <w:rPr>
          <w:lang w:val="es-ES"/>
        </w:rPr>
      </w:pPr>
    </w:p>
    <w:p w14:paraId="6EEDC3B7" w14:textId="77777777" w:rsidR="008B72C9" w:rsidRPr="004D0E4B" w:rsidRDefault="008B72C9" w:rsidP="00402DFC">
      <w:pPr>
        <w:jc w:val="center"/>
        <w:rPr>
          <w:rStyle w:val="eop"/>
          <w:color w:val="000000"/>
          <w:shd w:val="clear" w:color="auto" w:fill="FFFFFF"/>
        </w:rPr>
      </w:pPr>
      <w:r>
        <w:rPr>
          <w:noProof/>
          <w:lang w:val="es"/>
        </w:rPr>
        <w:drawing>
          <wp:inline distT="0" distB="0" distL="0" distR="0" wp14:anchorId="2C56FDA3" wp14:editId="204D1BC0">
            <wp:extent cx="5972810" cy="3478974"/>
            <wp:effectExtent l="0" t="0" r="0" b="7620"/>
            <wp:docPr id="1134526067" name="Picture 11345260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26067" name="Picture 1134526067" descr="Diagram&#10;&#10;Description automatically generated"/>
                    <pic:cNvPicPr/>
                  </pic:nvPicPr>
                  <pic:blipFill rotWithShape="1">
                    <a:blip r:embed="rId14">
                      <a:extLst>
                        <a:ext uri="{28A0092B-C50C-407E-A947-70E740481C1C}">
                          <a14:useLocalDpi xmlns:a14="http://schemas.microsoft.com/office/drawing/2010/main" val="0"/>
                        </a:ext>
                      </a:extLst>
                    </a:blip>
                    <a:srcRect t="11247" r="2309" b="5482"/>
                    <a:stretch/>
                  </pic:blipFill>
                  <pic:spPr bwMode="auto">
                    <a:xfrm>
                      <a:off x="0" y="0"/>
                      <a:ext cx="5981995" cy="3484324"/>
                    </a:xfrm>
                    <a:prstGeom prst="rect">
                      <a:avLst/>
                    </a:prstGeom>
                    <a:ln>
                      <a:noFill/>
                    </a:ln>
                    <a:extLst>
                      <a:ext uri="{53640926-AAD7-44D8-BBD7-CCE9431645EC}">
                        <a14:shadowObscured xmlns:a14="http://schemas.microsoft.com/office/drawing/2010/main"/>
                      </a:ext>
                    </a:extLst>
                  </pic:spPr>
                </pic:pic>
              </a:graphicData>
            </a:graphic>
          </wp:inline>
        </w:drawing>
      </w:r>
    </w:p>
    <w:p w14:paraId="327A452F" w14:textId="06E4A357" w:rsidR="008B72C9" w:rsidRPr="00D62BCD" w:rsidRDefault="008B72C9" w:rsidP="00CA735E">
      <w:pPr>
        <w:spacing w:before="240" w:after="240"/>
        <w:jc w:val="center"/>
        <w:rPr>
          <w:b/>
          <w:bCs/>
          <w:lang w:val="es-ES"/>
        </w:rPr>
      </w:pPr>
      <w:r>
        <w:rPr>
          <w:b/>
          <w:bCs/>
          <w:lang w:val="es"/>
        </w:rPr>
        <w:t xml:space="preserve">Figura 3. Tres dimensiones del </w:t>
      </w:r>
      <w:r w:rsidR="007B54A7">
        <w:rPr>
          <w:b/>
          <w:bCs/>
          <w:lang w:val="es"/>
        </w:rPr>
        <w:t>P</w:t>
      </w:r>
      <w:r>
        <w:rPr>
          <w:b/>
          <w:bCs/>
          <w:lang w:val="es"/>
        </w:rPr>
        <w:t xml:space="preserve">lan de </w:t>
      </w:r>
      <w:r w:rsidR="007B54A7">
        <w:rPr>
          <w:b/>
          <w:bCs/>
          <w:lang w:val="es"/>
        </w:rPr>
        <w:t>E</w:t>
      </w:r>
      <w:r w:rsidR="00E9271C">
        <w:rPr>
          <w:b/>
          <w:bCs/>
          <w:lang w:val="es"/>
        </w:rPr>
        <w:t>jecución</w:t>
      </w:r>
    </w:p>
    <w:p w14:paraId="17BCDFBD" w14:textId="4FD7536E" w:rsidR="008B72C9" w:rsidRPr="00D62BCD" w:rsidRDefault="00E74CED" w:rsidP="00CA735E">
      <w:pPr>
        <w:pStyle w:val="WMOBodyText"/>
        <w:ind w:right="-170"/>
        <w:rPr>
          <w:lang w:val="es-ES"/>
        </w:rPr>
      </w:pPr>
      <w:r>
        <w:rPr>
          <w:lang w:val="es"/>
        </w:rPr>
        <w:t xml:space="preserve">Se centra la atención </w:t>
      </w:r>
      <w:r w:rsidR="008B72C9">
        <w:rPr>
          <w:lang w:val="es"/>
        </w:rPr>
        <w:t xml:space="preserve">en cuatro grandes desafíos en respuesta a las múltiples vulnerabilidades de las poblaciones urbanas, la sensibilidad de las enfermedades infecciosas al clima, los riesgos para la seguridad alimentaria y la nutrición, y las necesidades de adaptación y mitigación del clima en el propio sector de la salud. Estos grandes desafíos cubren muchos, pero no todos, los problemas de salud afectados por el cambio climático y medioambiental. </w:t>
      </w:r>
      <w:r w:rsidR="00B722F7" w:rsidRPr="00B722F7">
        <w:rPr>
          <w:lang w:val="es"/>
        </w:rPr>
        <w:t xml:space="preserve">Este </w:t>
      </w:r>
      <w:r w:rsidR="00B722F7">
        <w:rPr>
          <w:lang w:val="es"/>
        </w:rPr>
        <w:t>P</w:t>
      </w:r>
      <w:r w:rsidR="00B722F7" w:rsidRPr="00B722F7">
        <w:rPr>
          <w:lang w:val="es"/>
        </w:rPr>
        <w:t xml:space="preserve">lan de </w:t>
      </w:r>
      <w:r w:rsidR="00B722F7">
        <w:rPr>
          <w:lang w:val="es"/>
        </w:rPr>
        <w:t>Ejecución</w:t>
      </w:r>
      <w:r w:rsidR="00B722F7" w:rsidRPr="00B722F7">
        <w:rPr>
          <w:lang w:val="es"/>
        </w:rPr>
        <w:t xml:space="preserve"> prevé acciones tanto descendentes como ascendentes que adoptan diferentes enfoques a nivel local, nacional, regional y mundial.</w:t>
      </w:r>
      <w:r w:rsidR="008B72C9">
        <w:rPr>
          <w:lang w:val="es"/>
        </w:rPr>
        <w:t xml:space="preserve"> Otras prioridades relacionadas con el clima, el medioambiente y la salud pueden abordarse a través de planes específicos basados en el lugar a nivel nacional o regional. Del mismo modo, las acciones relacionadas con las áreas de apoyo fundacional también pueden variar de una región a otra según las necesidades. </w:t>
      </w:r>
      <w:r w:rsidR="002F53B9" w:rsidRPr="002F53B9">
        <w:rPr>
          <w:lang w:val="es"/>
        </w:rPr>
        <w:t>Se pretende que los mecanismos nuevos y existentes se conecten en red para optimizar los recursos y mejorar la capacidad y la acción a todos los niveles.</w:t>
      </w:r>
    </w:p>
    <w:p w14:paraId="43E009F6" w14:textId="7ED84FDA" w:rsidR="008B72C9" w:rsidRPr="00D62BCD" w:rsidRDefault="00C0644F" w:rsidP="00402DFC">
      <w:pPr>
        <w:pStyle w:val="WMOBodyText"/>
        <w:rPr>
          <w:lang w:val="es-ES"/>
        </w:rPr>
      </w:pPr>
      <w:r w:rsidRPr="00C0644F">
        <w:rPr>
          <w:lang w:val="es"/>
        </w:rPr>
        <w:t>Tres fases de aplicación de tres años cada una sucederán a un primer año en 2023</w:t>
      </w:r>
      <w:r w:rsidR="008B72C9">
        <w:rPr>
          <w:lang w:val="es"/>
        </w:rPr>
        <w:t xml:space="preserve">. Este </w:t>
      </w:r>
      <w:r>
        <w:rPr>
          <w:lang w:val="es"/>
        </w:rPr>
        <w:t>Plan de Ejecución</w:t>
      </w:r>
      <w:r w:rsidR="008B72C9">
        <w:rPr>
          <w:lang w:val="es"/>
        </w:rPr>
        <w:t xml:space="preserve"> se divide además en </w:t>
      </w:r>
      <w:r>
        <w:rPr>
          <w:lang w:val="es"/>
        </w:rPr>
        <w:t xml:space="preserve">la </w:t>
      </w:r>
      <w:r w:rsidR="008B72C9">
        <w:rPr>
          <w:lang w:val="es"/>
        </w:rPr>
        <w:t xml:space="preserve">fase 1 (años 2–4), </w:t>
      </w:r>
      <w:r>
        <w:rPr>
          <w:lang w:val="es"/>
        </w:rPr>
        <w:t xml:space="preserve">la </w:t>
      </w:r>
      <w:r w:rsidR="008B72C9">
        <w:rPr>
          <w:lang w:val="es"/>
        </w:rPr>
        <w:t xml:space="preserve">fase 2 (años 5–7) y </w:t>
      </w:r>
      <w:r>
        <w:rPr>
          <w:lang w:val="es"/>
        </w:rPr>
        <w:t xml:space="preserve">la </w:t>
      </w:r>
      <w:r w:rsidR="008B72C9">
        <w:rPr>
          <w:lang w:val="es"/>
        </w:rPr>
        <w:t xml:space="preserve">fase 3 (años 8–10). Durante las fases subsiguientes se llevarán a cabo otras actividades. La clave del éxito del </w:t>
      </w:r>
      <w:r>
        <w:rPr>
          <w:lang w:val="es"/>
        </w:rPr>
        <w:t>P</w:t>
      </w:r>
      <w:r w:rsidR="008B72C9">
        <w:rPr>
          <w:lang w:val="es"/>
        </w:rPr>
        <w:t xml:space="preserve">lan será la supervisión, la evaluación y el aprendizaje; el aprovechamiento de las </w:t>
      </w:r>
      <w:r w:rsidR="008B72C9">
        <w:rPr>
          <w:lang w:val="es"/>
        </w:rPr>
        <w:lastRenderedPageBreak/>
        <w:t>asociaciones institucionales existentes y nuevas</w:t>
      </w:r>
      <w:r w:rsidR="008B72C9">
        <w:rPr>
          <w:rStyle w:val="normaltextrun"/>
          <w:color w:val="000000"/>
          <w:shd w:val="clear" w:color="auto" w:fill="FFFFFF"/>
          <w:lang w:val="es"/>
        </w:rPr>
        <w:t>; así como la movilización conjunta de recursos extrapresupuestarios.</w:t>
      </w:r>
    </w:p>
    <w:p w14:paraId="449E1D27" w14:textId="16F4B217" w:rsidR="00924105" w:rsidRPr="00D62BCD" w:rsidRDefault="008B72C9" w:rsidP="00D52008">
      <w:pPr>
        <w:spacing w:before="240" w:after="240"/>
        <w:jc w:val="left"/>
        <w:rPr>
          <w:rStyle w:val="normaltextrun"/>
          <w:color w:val="000000"/>
          <w:sz w:val="18"/>
          <w:szCs w:val="18"/>
          <w:shd w:val="clear" w:color="auto" w:fill="FFFFFF"/>
          <w:lang w:val="es-ES"/>
        </w:rPr>
      </w:pPr>
      <w:r>
        <w:rPr>
          <w:rStyle w:val="normaltextrun"/>
          <w:i/>
          <w:iCs/>
          <w:color w:val="000000"/>
          <w:sz w:val="18"/>
          <w:szCs w:val="18"/>
          <w:shd w:val="clear" w:color="auto" w:fill="FFFFFF"/>
          <w:lang w:val="es"/>
        </w:rPr>
        <w:t>Nota:</w:t>
      </w:r>
      <w:r>
        <w:rPr>
          <w:rStyle w:val="normaltextrun"/>
          <w:color w:val="000000"/>
          <w:sz w:val="18"/>
          <w:szCs w:val="18"/>
          <w:shd w:val="clear" w:color="auto" w:fill="FFFFFF"/>
          <w:lang w:val="es"/>
        </w:rPr>
        <w:t xml:space="preserve"> Las actividades y mecanismos descritos en este documento no están en todos los casos directamente alineados. Más de un mecanismo puede ser responsable de la implementación y</w:t>
      </w:r>
      <w:r w:rsidR="00C718F0">
        <w:rPr>
          <w:rStyle w:val="normaltextrun"/>
          <w:color w:val="000000"/>
          <w:sz w:val="18"/>
          <w:szCs w:val="18"/>
          <w:shd w:val="clear" w:color="auto" w:fill="FFFFFF"/>
          <w:lang w:val="es"/>
        </w:rPr>
        <w:t>,</w:t>
      </w:r>
      <w:r>
        <w:rPr>
          <w:rStyle w:val="normaltextrun"/>
          <w:color w:val="000000"/>
          <w:sz w:val="18"/>
          <w:szCs w:val="18"/>
          <w:shd w:val="clear" w:color="auto" w:fill="FFFFFF"/>
          <w:lang w:val="es"/>
        </w:rPr>
        <w:t xml:space="preserve"> en otros casos</w:t>
      </w:r>
      <w:r w:rsidR="00C718F0">
        <w:rPr>
          <w:rStyle w:val="normaltextrun"/>
          <w:color w:val="000000"/>
          <w:sz w:val="18"/>
          <w:szCs w:val="18"/>
          <w:shd w:val="clear" w:color="auto" w:fill="FFFFFF"/>
          <w:lang w:val="es"/>
        </w:rPr>
        <w:t>,</w:t>
      </w:r>
      <w:r>
        <w:rPr>
          <w:rStyle w:val="normaltextrun"/>
          <w:color w:val="000000"/>
          <w:sz w:val="18"/>
          <w:szCs w:val="18"/>
          <w:shd w:val="clear" w:color="auto" w:fill="FFFFFF"/>
          <w:lang w:val="es"/>
        </w:rPr>
        <w:t xml:space="preserve"> la acción puede ser crear el mecanismo. En la versión definitiva se proporcionarán todos los detalles de cada actividad y </w:t>
      </w:r>
      <w:r w:rsidR="001C3BEA">
        <w:rPr>
          <w:rStyle w:val="normaltextrun"/>
          <w:color w:val="000000"/>
          <w:sz w:val="18"/>
          <w:szCs w:val="18"/>
          <w:shd w:val="clear" w:color="auto" w:fill="FFFFFF"/>
          <w:lang w:val="es"/>
        </w:rPr>
        <w:t>los cometidos propuestos</w:t>
      </w:r>
      <w:r>
        <w:rPr>
          <w:rStyle w:val="normaltextrun"/>
          <w:color w:val="000000"/>
          <w:sz w:val="18"/>
          <w:szCs w:val="18"/>
          <w:shd w:val="clear" w:color="auto" w:fill="FFFFFF"/>
          <w:lang w:val="es"/>
        </w:rPr>
        <w:t xml:space="preserve"> para los mecanismos.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Look w:val="04A0" w:firstRow="1" w:lastRow="0" w:firstColumn="1" w:lastColumn="0" w:noHBand="0" w:noVBand="1"/>
      </w:tblPr>
      <w:tblGrid>
        <w:gridCol w:w="5261"/>
        <w:gridCol w:w="4368"/>
      </w:tblGrid>
      <w:tr w:rsidR="008B72C9" w:rsidRPr="008060B7" w14:paraId="6FA8FE60" w14:textId="77777777" w:rsidTr="003A2C28">
        <w:tc>
          <w:tcPr>
            <w:tcW w:w="0" w:type="auto"/>
            <w:gridSpan w:val="2"/>
            <w:shd w:val="clear" w:color="auto" w:fill="365F91" w:themeFill="accent1" w:themeFillShade="BF"/>
            <w:vAlign w:val="center"/>
          </w:tcPr>
          <w:p w14:paraId="74B21A54" w14:textId="539E72B1" w:rsidR="008B72C9" w:rsidRPr="00D62BCD" w:rsidRDefault="008B72C9" w:rsidP="00D52008">
            <w:pPr>
              <w:keepNext/>
              <w:keepLines/>
              <w:spacing w:line="276" w:lineRule="auto"/>
              <w:ind w:left="360"/>
              <w:jc w:val="center"/>
              <w:rPr>
                <w:b/>
                <w:bCs/>
                <w:color w:val="FFFFFF" w:themeColor="background1"/>
                <w:lang w:val="es-ES"/>
              </w:rPr>
            </w:pPr>
            <w:r>
              <w:rPr>
                <w:b/>
                <w:bCs/>
                <w:color w:val="FFFFFF" w:themeColor="background1"/>
                <w:lang w:val="es"/>
              </w:rPr>
              <w:t>POLÍTICA Y COORDINACIÓN</w:t>
            </w:r>
          </w:p>
        </w:tc>
      </w:tr>
      <w:tr w:rsidR="008B72C9" w:rsidRPr="00352B1C" w14:paraId="760CB475" w14:textId="77777777" w:rsidTr="003A2C28">
        <w:tc>
          <w:tcPr>
            <w:tcW w:w="0" w:type="auto"/>
            <w:gridSpan w:val="2"/>
            <w:shd w:val="clear" w:color="auto" w:fill="DBE5F1" w:themeFill="accent1" w:themeFillTint="33"/>
            <w:vAlign w:val="center"/>
          </w:tcPr>
          <w:p w14:paraId="4133A9FA" w14:textId="64F84F3B" w:rsidR="008B72C9" w:rsidRPr="00D62BCD" w:rsidRDefault="001C3BEA" w:rsidP="00D52008">
            <w:pPr>
              <w:pStyle w:val="paragraph"/>
              <w:keepNext/>
              <w:keepLines/>
              <w:spacing w:before="0" w:beforeAutospacing="0" w:after="0" w:afterAutospacing="0" w:line="276" w:lineRule="auto"/>
              <w:textAlignment w:val="baseline"/>
              <w:rPr>
                <w:rFonts w:ascii="Verdana" w:hAnsi="Verdana" w:cs="Arial"/>
                <w:b/>
                <w:bCs/>
                <w:color w:val="000000" w:themeColor="text1"/>
                <w:sz w:val="20"/>
                <w:szCs w:val="20"/>
                <w:lang w:val="es-ES"/>
              </w:rPr>
            </w:pPr>
            <w:r w:rsidRPr="001C3BEA">
              <w:rPr>
                <w:rFonts w:ascii="Verdana" w:hAnsi="Verdana"/>
                <w:b/>
                <w:bCs/>
                <w:color w:val="000000" w:themeColor="text1"/>
                <w:sz w:val="20"/>
                <w:szCs w:val="20"/>
                <w:lang w:val="es"/>
              </w:rPr>
              <w:t>Objetivo</w:t>
            </w:r>
            <w:r w:rsidR="008B72C9" w:rsidRPr="001C3BEA">
              <w:rPr>
                <w:rFonts w:ascii="Verdana" w:hAnsi="Verdana"/>
                <w:b/>
                <w:bCs/>
                <w:color w:val="000000" w:themeColor="text1"/>
                <w:sz w:val="20"/>
                <w:szCs w:val="20"/>
                <w:lang w:val="es"/>
              </w:rPr>
              <w:t>:</w:t>
            </w:r>
            <w:r w:rsidR="008B72C9">
              <w:rPr>
                <w:rFonts w:ascii="Verdana" w:hAnsi="Verdana" w:cs="Arial"/>
                <w:b/>
                <w:bCs/>
                <w:color w:val="000000" w:themeColor="text1"/>
                <w:sz w:val="20"/>
                <w:szCs w:val="20"/>
                <w:lang w:val="es"/>
              </w:rPr>
              <w:t xml:space="preserve"> </w:t>
            </w:r>
            <w:r w:rsidR="008B72C9">
              <w:rPr>
                <w:rFonts w:ascii="Verdana" w:hAnsi="Verdana" w:cs="Arial"/>
                <w:color w:val="000000" w:themeColor="text1"/>
                <w:sz w:val="20"/>
                <w:szCs w:val="20"/>
                <w:lang w:val="es"/>
              </w:rPr>
              <w:t>Apoyar una colaboración efectiva y sostenida entre las comunidades relacionadas con el clima y la salud y otras partes interesadas pertinentes mediante políticas conjuntas y mecanismos de coordinación</w:t>
            </w:r>
            <w:r w:rsidR="007B72B8">
              <w:rPr>
                <w:rFonts w:ascii="Verdana" w:hAnsi="Verdana" w:cs="Arial"/>
                <w:color w:val="000000" w:themeColor="text1"/>
                <w:sz w:val="20"/>
                <w:szCs w:val="20"/>
                <w:lang w:val="es"/>
              </w:rPr>
              <w:t>.</w:t>
            </w:r>
          </w:p>
        </w:tc>
      </w:tr>
      <w:tr w:rsidR="008B72C9" w:rsidRPr="00352B1C" w14:paraId="599D5577" w14:textId="77777777" w:rsidTr="003A2C28">
        <w:tc>
          <w:tcPr>
            <w:tcW w:w="0" w:type="auto"/>
            <w:gridSpan w:val="2"/>
            <w:shd w:val="clear" w:color="auto" w:fill="B8CCE4" w:themeFill="accent1" w:themeFillTint="66"/>
            <w:vAlign w:val="center"/>
          </w:tcPr>
          <w:p w14:paraId="6073E822" w14:textId="253E03E0" w:rsidR="008B72C9" w:rsidRPr="00D62BCD" w:rsidRDefault="008B72C9" w:rsidP="00DB21DE">
            <w:pPr>
              <w:pStyle w:val="paragraph"/>
              <w:spacing w:before="0" w:beforeAutospacing="0" w:after="0" w:afterAutospacing="0" w:line="276" w:lineRule="auto"/>
              <w:textAlignment w:val="baseline"/>
              <w:rPr>
                <w:rFonts w:ascii="Verdana" w:hAnsi="Verdana" w:cs="Arial"/>
                <w:b/>
                <w:bCs/>
                <w:color w:val="000000" w:themeColor="text1"/>
                <w:sz w:val="20"/>
                <w:szCs w:val="20"/>
                <w:lang w:val="es-ES"/>
              </w:rPr>
            </w:pPr>
            <w:r>
              <w:rPr>
                <w:rFonts w:ascii="Verdana" w:hAnsi="Verdana"/>
                <w:b/>
                <w:bCs/>
                <w:color w:val="000000" w:themeColor="text1"/>
                <w:sz w:val="20"/>
                <w:szCs w:val="20"/>
                <w:lang w:val="es"/>
              </w:rPr>
              <w:t xml:space="preserve">Declaración de </w:t>
            </w:r>
            <w:r w:rsidR="00F3772A">
              <w:rPr>
                <w:rFonts w:ascii="Verdana" w:hAnsi="Verdana"/>
                <w:b/>
                <w:bCs/>
                <w:color w:val="000000" w:themeColor="text1"/>
                <w:sz w:val="20"/>
                <w:szCs w:val="20"/>
                <w:lang w:val="es"/>
              </w:rPr>
              <w:t>s</w:t>
            </w:r>
            <w:r>
              <w:rPr>
                <w:rFonts w:ascii="Verdana" w:hAnsi="Verdana"/>
                <w:b/>
                <w:bCs/>
                <w:color w:val="000000" w:themeColor="text1"/>
                <w:sz w:val="20"/>
                <w:szCs w:val="20"/>
                <w:lang w:val="es"/>
              </w:rPr>
              <w:t>olución:</w:t>
            </w:r>
            <w:r>
              <w:rPr>
                <w:rFonts w:ascii="Verdana" w:hAnsi="Verdana"/>
                <w:color w:val="000000" w:themeColor="text1"/>
                <w:sz w:val="20"/>
                <w:szCs w:val="20"/>
                <w:lang w:val="es"/>
              </w:rPr>
              <w:t xml:space="preserve"> Las políticas y los mecanismos de coordinación son la base de entornos propicios para una gobernanza eficaz capaz de desarrollar y alinear políticas y enfoques pertinentes, promover la colaboración y la coordinación, y generar compromisos sostenidos con soluciones que promuevan y protejan la salud humana. Se proponen planes estratégicos globales, mecanismos de coordinación y apoyo técnico para guiar y apoyar a los actores para desarrollar estructuras y estrategias similares</w:t>
            </w:r>
            <w:r>
              <w:rPr>
                <w:color w:val="000000" w:themeColor="text1"/>
                <w:lang w:val="es"/>
              </w:rPr>
              <w:t xml:space="preserve"> </w:t>
            </w:r>
            <w:r>
              <w:rPr>
                <w:rFonts w:ascii="Verdana" w:hAnsi="Verdana"/>
                <w:color w:val="000000" w:themeColor="text1"/>
                <w:sz w:val="20"/>
                <w:szCs w:val="20"/>
                <w:lang w:val="es"/>
              </w:rPr>
              <w:t>a nivel nacional y regional. Estos enfoques conjuntos también pueden ayudar a estrechar la interfaz de la política científica para fortalecer la toma de decisiones basada en pruebas.</w:t>
            </w:r>
          </w:p>
        </w:tc>
      </w:tr>
      <w:tr w:rsidR="00D700AF" w:rsidRPr="004D0E4B" w14:paraId="5E9AB05D" w14:textId="77777777" w:rsidTr="003A2C28">
        <w:tc>
          <w:tcPr>
            <w:tcW w:w="0" w:type="auto"/>
            <w:shd w:val="clear" w:color="auto" w:fill="4F81BD" w:themeFill="accent1"/>
            <w:vAlign w:val="center"/>
          </w:tcPr>
          <w:p w14:paraId="03E48C67" w14:textId="77777777" w:rsidR="008B72C9" w:rsidRPr="004D0E4B" w:rsidRDefault="008B72C9" w:rsidP="00DB21DE">
            <w:pPr>
              <w:spacing w:line="276" w:lineRule="auto"/>
              <w:ind w:left="360"/>
              <w:jc w:val="center"/>
              <w:rPr>
                <w:b/>
                <w:bCs/>
                <w:color w:val="FFFFFF" w:themeColor="background1"/>
              </w:rPr>
            </w:pPr>
            <w:r>
              <w:rPr>
                <w:b/>
                <w:bCs/>
                <w:color w:val="FFFFFF" w:themeColor="background1"/>
                <w:lang w:val="es"/>
              </w:rPr>
              <w:t xml:space="preserve">ACTIVIDADES PROPUESTAS </w:t>
            </w:r>
          </w:p>
        </w:tc>
        <w:tc>
          <w:tcPr>
            <w:tcW w:w="0" w:type="auto"/>
            <w:shd w:val="clear" w:color="auto" w:fill="4F81BD" w:themeFill="accent1"/>
            <w:vAlign w:val="center"/>
          </w:tcPr>
          <w:p w14:paraId="71EAFA8C" w14:textId="77777777" w:rsidR="008B72C9" w:rsidRPr="004D0E4B" w:rsidRDefault="00211B6C" w:rsidP="00DB21DE">
            <w:pPr>
              <w:spacing w:line="276" w:lineRule="auto"/>
              <w:ind w:left="360"/>
              <w:jc w:val="center"/>
              <w:rPr>
                <w:b/>
                <w:bCs/>
                <w:color w:val="FFFFFF" w:themeColor="background1"/>
              </w:rPr>
            </w:pPr>
            <w:r>
              <w:rPr>
                <w:b/>
                <w:bCs/>
                <w:color w:val="FFFFFF" w:themeColor="background1"/>
                <w:lang w:val="es"/>
              </w:rPr>
              <w:t>POSIBLES MECANISMOS DE APOYO</w:t>
            </w:r>
          </w:p>
        </w:tc>
      </w:tr>
      <w:tr w:rsidR="00D700AF" w:rsidRPr="00352B1C" w14:paraId="746BBF66" w14:textId="77777777" w:rsidTr="003A2C28">
        <w:tc>
          <w:tcPr>
            <w:tcW w:w="0" w:type="auto"/>
            <w:shd w:val="clear" w:color="auto" w:fill="auto"/>
          </w:tcPr>
          <w:p w14:paraId="6F6CC203" w14:textId="3D85568E" w:rsidR="008B72C9" w:rsidRPr="00D62BCD" w:rsidDel="003B2FA4" w:rsidRDefault="008B72C9" w:rsidP="00CB43BD">
            <w:pPr>
              <w:pStyle w:val="ListParagraph"/>
              <w:numPr>
                <w:ilvl w:val="0"/>
                <w:numId w:val="13"/>
              </w:numPr>
              <w:ind w:left="594" w:hanging="567"/>
              <w:rPr>
                <w:rStyle w:val="normaltextrun"/>
                <w:rFonts w:ascii="Verdana" w:hAnsi="Verdana" w:cs="Arial"/>
                <w:color w:val="000000" w:themeColor="text1"/>
                <w:sz w:val="20"/>
                <w:szCs w:val="20"/>
                <w:lang w:val="es-ES"/>
              </w:rPr>
            </w:pPr>
            <w:r>
              <w:rPr>
                <w:rStyle w:val="normaltextrun"/>
                <w:rFonts w:ascii="Verdana" w:hAnsi="Verdana" w:cs="Arial"/>
                <w:b/>
                <w:bCs/>
                <w:color w:val="000000" w:themeColor="text1"/>
                <w:sz w:val="20"/>
                <w:szCs w:val="20"/>
                <w:lang w:val="es"/>
              </w:rPr>
              <w:t xml:space="preserve">Plan de </w:t>
            </w:r>
            <w:r w:rsidR="00A735DD">
              <w:rPr>
                <w:rStyle w:val="normaltextrun"/>
                <w:rFonts w:ascii="Verdana" w:hAnsi="Verdana" w:cs="Arial"/>
                <w:b/>
                <w:bCs/>
                <w:color w:val="000000" w:themeColor="text1"/>
                <w:sz w:val="20"/>
                <w:szCs w:val="20"/>
                <w:lang w:val="es"/>
              </w:rPr>
              <w:t>Ejecución</w:t>
            </w:r>
            <w:r>
              <w:rPr>
                <w:rStyle w:val="normaltextrun"/>
                <w:rFonts w:ascii="Verdana" w:hAnsi="Verdana" w:cs="Arial"/>
                <w:color w:val="000000" w:themeColor="text1"/>
                <w:sz w:val="20"/>
                <w:szCs w:val="20"/>
                <w:lang w:val="es"/>
              </w:rPr>
              <w:t xml:space="preserve"> para avanzar en la ciencia y los servicios integrados del clima y la salud 2023–2033, planes de trabajo trienales (Nota: </w:t>
            </w:r>
            <w:r w:rsidR="00A735DD">
              <w:rPr>
                <w:rStyle w:val="normaltextrun"/>
                <w:rFonts w:ascii="Verdana" w:hAnsi="Verdana"/>
                <w:color w:val="000000" w:themeColor="text1"/>
                <w:sz w:val="20"/>
                <w:szCs w:val="20"/>
                <w:lang w:val="es"/>
              </w:rPr>
              <w:t>e</w:t>
            </w:r>
            <w:r>
              <w:rPr>
                <w:rStyle w:val="normaltextrun"/>
                <w:rFonts w:ascii="Verdana" w:hAnsi="Verdana"/>
                <w:sz w:val="20"/>
                <w:szCs w:val="20"/>
                <w:lang w:val="es"/>
              </w:rPr>
              <w:t>ste plan)</w:t>
            </w:r>
          </w:p>
        </w:tc>
        <w:tc>
          <w:tcPr>
            <w:tcW w:w="0" w:type="auto"/>
            <w:shd w:val="clear" w:color="auto" w:fill="auto"/>
          </w:tcPr>
          <w:p w14:paraId="3A5BF250" w14:textId="09698ADA" w:rsidR="008B72C9" w:rsidRPr="00D62BCD" w:rsidRDefault="00836866" w:rsidP="00E13763">
            <w:pPr>
              <w:spacing w:line="276" w:lineRule="auto"/>
              <w:jc w:val="left"/>
              <w:textAlignment w:val="baseline"/>
              <w:rPr>
                <w:rStyle w:val="normaltextrun"/>
                <w:color w:val="000000" w:themeColor="text1"/>
                <w:lang w:val="es-ES"/>
              </w:rPr>
            </w:pPr>
            <w:r>
              <w:rPr>
                <w:color w:val="000000" w:themeColor="text1"/>
                <w:lang w:val="es"/>
              </w:rPr>
              <w:t>D</w:t>
            </w:r>
            <w:r w:rsidR="00214612">
              <w:rPr>
                <w:color w:val="000000" w:themeColor="text1"/>
                <w:lang w:val="es"/>
              </w:rPr>
              <w:t>iálogo</w:t>
            </w:r>
            <w:r w:rsidR="007714A6">
              <w:rPr>
                <w:color w:val="000000" w:themeColor="text1"/>
                <w:lang w:val="es"/>
              </w:rPr>
              <w:t xml:space="preserve"> con</w:t>
            </w:r>
            <w:r w:rsidR="00214612">
              <w:rPr>
                <w:color w:val="000000" w:themeColor="text1"/>
                <w:lang w:val="es"/>
              </w:rPr>
              <w:t xml:space="preserve"> los</w:t>
            </w:r>
            <w:r w:rsidR="007714A6">
              <w:rPr>
                <w:color w:val="000000" w:themeColor="text1"/>
                <w:lang w:val="es"/>
              </w:rPr>
              <w:t xml:space="preserve"> Miembros y </w:t>
            </w:r>
            <w:r w:rsidR="00306C37">
              <w:rPr>
                <w:color w:val="000000" w:themeColor="text1"/>
                <w:lang w:val="es"/>
              </w:rPr>
              <w:t>asociados</w:t>
            </w:r>
          </w:p>
        </w:tc>
      </w:tr>
      <w:tr w:rsidR="00D700AF" w:rsidRPr="00352B1C" w14:paraId="69649522" w14:textId="77777777" w:rsidTr="003A2C28">
        <w:tc>
          <w:tcPr>
            <w:tcW w:w="0" w:type="auto"/>
            <w:shd w:val="clear" w:color="auto" w:fill="auto"/>
          </w:tcPr>
          <w:p w14:paraId="649AB22D" w14:textId="4B58D1A3" w:rsidR="008B72C9" w:rsidRPr="00D62BCD" w:rsidRDefault="008B72C9" w:rsidP="0049766F">
            <w:pPr>
              <w:pStyle w:val="ListParagraph"/>
              <w:numPr>
                <w:ilvl w:val="0"/>
                <w:numId w:val="13"/>
              </w:numPr>
              <w:ind w:left="594" w:hanging="567"/>
              <w:rPr>
                <w:rStyle w:val="normaltextrun"/>
                <w:rFonts w:ascii="Verdana" w:hAnsi="Verdana" w:cs="Arial"/>
                <w:b/>
                <w:bCs/>
                <w:color w:val="000000" w:themeColor="text1"/>
                <w:sz w:val="20"/>
                <w:szCs w:val="20"/>
                <w:lang w:val="es-ES"/>
              </w:rPr>
            </w:pPr>
            <w:r>
              <w:rPr>
                <w:rFonts w:ascii="Verdana" w:hAnsi="Verdana"/>
                <w:b/>
                <w:bCs/>
                <w:color w:val="000000" w:themeColor="text1"/>
                <w:sz w:val="20"/>
                <w:szCs w:val="20"/>
                <w:lang w:val="es"/>
              </w:rPr>
              <w:t xml:space="preserve">Estrategias, unidades y programas de salud nacionales y regionales (integrados en los </w:t>
            </w:r>
            <w:r w:rsidR="00491858" w:rsidRPr="00491858">
              <w:rPr>
                <w:rFonts w:ascii="Verdana" w:hAnsi="Verdana"/>
                <w:b/>
                <w:bCs/>
                <w:color w:val="000000" w:themeColor="text1"/>
                <w:sz w:val="20"/>
                <w:szCs w:val="20"/>
                <w:lang w:val="es"/>
              </w:rPr>
              <w:t>SMHN</w:t>
            </w:r>
            <w:r>
              <w:rPr>
                <w:rFonts w:ascii="Verdana" w:hAnsi="Verdana"/>
                <w:b/>
                <w:bCs/>
                <w:color w:val="000000" w:themeColor="text1"/>
                <w:sz w:val="20"/>
                <w:szCs w:val="20"/>
                <w:lang w:val="es"/>
              </w:rPr>
              <w:t>/</w:t>
            </w:r>
            <w:r w:rsidR="00B52562">
              <w:rPr>
                <w:rFonts w:ascii="Verdana" w:hAnsi="Verdana"/>
                <w:b/>
                <w:bCs/>
                <w:color w:val="000000" w:themeColor="text1"/>
                <w:sz w:val="20"/>
                <w:szCs w:val="20"/>
                <w:lang w:val="es"/>
              </w:rPr>
              <w:t>CCR</w:t>
            </w:r>
            <w:r>
              <w:rPr>
                <w:rFonts w:ascii="Verdana" w:hAnsi="Verdana"/>
                <w:b/>
                <w:bCs/>
                <w:color w:val="000000" w:themeColor="text1"/>
                <w:sz w:val="20"/>
                <w:szCs w:val="20"/>
                <w:lang w:val="es"/>
              </w:rPr>
              <w:t>)</w:t>
            </w:r>
            <w:r>
              <w:rPr>
                <w:rFonts w:ascii="Verdana" w:hAnsi="Verdana"/>
                <w:color w:val="000000" w:themeColor="text1"/>
                <w:sz w:val="20"/>
                <w:szCs w:val="20"/>
                <w:lang w:val="es"/>
              </w:rPr>
              <w:t xml:space="preserve"> con mandatos, planes de trabajo y mecanismos de coordinación fortalecidos que alinean las acciones para apoyar las prioridades nacionales para abordar los problemas climáticos, de salud, de emergencia y </w:t>
            </w:r>
            <w:r w:rsidR="00F95156">
              <w:rPr>
                <w:rFonts w:ascii="Verdana" w:hAnsi="Verdana"/>
                <w:color w:val="000000" w:themeColor="text1"/>
                <w:sz w:val="20"/>
                <w:szCs w:val="20"/>
                <w:lang w:val="es"/>
              </w:rPr>
              <w:t>medio</w:t>
            </w:r>
            <w:r>
              <w:rPr>
                <w:rFonts w:ascii="Verdana" w:hAnsi="Verdana"/>
                <w:color w:val="000000" w:themeColor="text1"/>
                <w:sz w:val="20"/>
                <w:szCs w:val="20"/>
                <w:lang w:val="es"/>
              </w:rPr>
              <w:t>ambientales.</w:t>
            </w:r>
          </w:p>
        </w:tc>
        <w:tc>
          <w:tcPr>
            <w:tcW w:w="0" w:type="auto"/>
            <w:shd w:val="clear" w:color="auto" w:fill="auto"/>
          </w:tcPr>
          <w:p w14:paraId="1745BCB1" w14:textId="5E8E9CDF" w:rsidR="008B72C9" w:rsidRPr="00D62BCD" w:rsidRDefault="008B72C9" w:rsidP="00E13763">
            <w:pPr>
              <w:spacing w:line="276" w:lineRule="auto"/>
              <w:jc w:val="left"/>
              <w:textAlignment w:val="baseline"/>
              <w:rPr>
                <w:b/>
                <w:bCs/>
                <w:color w:val="000000" w:themeColor="text1"/>
                <w:lang w:val="es-ES"/>
              </w:rPr>
            </w:pPr>
            <w:r>
              <w:rPr>
                <w:color w:val="000000" w:themeColor="text1"/>
                <w:lang w:val="es"/>
              </w:rPr>
              <w:t>Aprovechamiento y fortalecimiento de la capacidad de ejecución de los SMHN / CCR y otros asociados en la ejecución dirigidos por la OMM</w:t>
            </w:r>
          </w:p>
        </w:tc>
      </w:tr>
      <w:tr w:rsidR="00D700AF" w:rsidRPr="00352B1C" w14:paraId="2FCF860F" w14:textId="77777777" w:rsidTr="003A2C28">
        <w:tc>
          <w:tcPr>
            <w:tcW w:w="0" w:type="auto"/>
            <w:shd w:val="clear" w:color="auto" w:fill="auto"/>
          </w:tcPr>
          <w:p w14:paraId="4D614CB5" w14:textId="05A57A06" w:rsidR="008B72C9" w:rsidRPr="00D62BCD" w:rsidRDefault="008B72C9" w:rsidP="00DB21DE">
            <w:pPr>
              <w:pStyle w:val="ListParagraph"/>
              <w:numPr>
                <w:ilvl w:val="0"/>
                <w:numId w:val="13"/>
              </w:numPr>
              <w:ind w:left="594" w:hanging="567"/>
              <w:rPr>
                <w:rFonts w:ascii="Verdana" w:eastAsiaTheme="minorEastAsia" w:hAnsi="Verdana"/>
                <w:b/>
                <w:bCs/>
                <w:color w:val="000000" w:themeColor="text1"/>
                <w:sz w:val="20"/>
                <w:szCs w:val="20"/>
                <w:lang w:val="es-ES"/>
              </w:rPr>
            </w:pPr>
            <w:r>
              <w:rPr>
                <w:rFonts w:ascii="Verdana" w:hAnsi="Verdana" w:cs="Arial"/>
                <w:b/>
                <w:bCs/>
                <w:color w:val="000000" w:themeColor="text1"/>
                <w:sz w:val="20"/>
                <w:szCs w:val="20"/>
                <w:lang w:val="es"/>
              </w:rPr>
              <w:t>Estrategias nacionales y regionales conjuntas para la integración de la salud y la ciencia y los servicios climáticos</w:t>
            </w:r>
          </w:p>
        </w:tc>
        <w:tc>
          <w:tcPr>
            <w:tcW w:w="0" w:type="auto"/>
            <w:shd w:val="clear" w:color="auto" w:fill="auto"/>
          </w:tcPr>
          <w:p w14:paraId="28C88A0E" w14:textId="77777777" w:rsidR="008B72C9" w:rsidRPr="00D62BCD" w:rsidRDefault="008B72C9" w:rsidP="00864645">
            <w:pPr>
              <w:spacing w:line="276" w:lineRule="auto"/>
              <w:jc w:val="left"/>
              <w:rPr>
                <w:b/>
                <w:bCs/>
                <w:color w:val="000000" w:themeColor="text1"/>
                <w:lang w:val="es-ES"/>
              </w:rPr>
            </w:pPr>
            <w:r>
              <w:rPr>
                <w:b/>
                <w:bCs/>
                <w:color w:val="000000" w:themeColor="text1"/>
                <w:lang w:val="es"/>
              </w:rPr>
              <w:t>Mecanismos nacionales de coordinación</w:t>
            </w:r>
          </w:p>
          <w:p w14:paraId="30650DCF" w14:textId="04CEC14D" w:rsidR="008B72C9" w:rsidRPr="00D62BCD" w:rsidRDefault="008B72C9" w:rsidP="00864645">
            <w:pPr>
              <w:spacing w:line="276" w:lineRule="auto"/>
              <w:jc w:val="left"/>
              <w:rPr>
                <w:b/>
                <w:bCs/>
                <w:color w:val="000000" w:themeColor="text1"/>
                <w:lang w:val="es-ES"/>
              </w:rPr>
            </w:pPr>
            <w:r>
              <w:rPr>
                <w:color w:val="000000" w:themeColor="text1"/>
                <w:lang w:val="es"/>
              </w:rPr>
              <w:t xml:space="preserve">Aprovechar y fortalecer los mecanismos y la capacidad existentes de los </w:t>
            </w:r>
            <w:r w:rsidR="00FA57EF">
              <w:rPr>
                <w:color w:val="000000" w:themeColor="text1"/>
                <w:lang w:val="es"/>
              </w:rPr>
              <w:t>SMHN</w:t>
            </w:r>
            <w:r>
              <w:rPr>
                <w:color w:val="000000" w:themeColor="text1"/>
                <w:lang w:val="es"/>
              </w:rPr>
              <w:t>/RCC/</w:t>
            </w:r>
            <w:r w:rsidR="00FA57EF">
              <w:rPr>
                <w:color w:val="000000" w:themeColor="text1"/>
                <w:lang w:val="es"/>
              </w:rPr>
              <w:t>Minis</w:t>
            </w:r>
            <w:r w:rsidR="0095773C">
              <w:rPr>
                <w:color w:val="000000" w:themeColor="text1"/>
                <w:lang w:val="es"/>
              </w:rPr>
              <w:t xml:space="preserve">terio de </w:t>
            </w:r>
            <w:r w:rsidR="00D700AF">
              <w:rPr>
                <w:color w:val="000000" w:themeColor="text1"/>
                <w:lang w:val="es"/>
              </w:rPr>
              <w:t>sanidad</w:t>
            </w:r>
            <w:r w:rsidR="0095773C">
              <w:rPr>
                <w:color w:val="000000" w:themeColor="text1"/>
                <w:lang w:val="es"/>
              </w:rPr>
              <w:t xml:space="preserve"> </w:t>
            </w:r>
            <w:r>
              <w:rPr>
                <w:color w:val="000000" w:themeColor="text1"/>
                <w:lang w:val="es"/>
              </w:rPr>
              <w:t xml:space="preserve">y los </w:t>
            </w:r>
            <w:r w:rsidR="0095773C">
              <w:rPr>
                <w:color w:val="000000" w:themeColor="text1"/>
                <w:lang w:val="es"/>
              </w:rPr>
              <w:t>asociados</w:t>
            </w:r>
            <w:r>
              <w:rPr>
                <w:color w:val="000000" w:themeColor="text1"/>
                <w:lang w:val="es"/>
              </w:rPr>
              <w:t xml:space="preserve"> para </w:t>
            </w:r>
            <w:r w:rsidR="00D700AF">
              <w:rPr>
                <w:color w:val="000000" w:themeColor="text1"/>
                <w:lang w:val="es"/>
              </w:rPr>
              <w:t>reforzar</w:t>
            </w:r>
            <w:r>
              <w:rPr>
                <w:color w:val="000000" w:themeColor="text1"/>
                <w:lang w:val="es"/>
              </w:rPr>
              <w:t xml:space="preserve"> las interfaces de la política científica y desarrollar las ciencias aplicadas</w:t>
            </w:r>
          </w:p>
        </w:tc>
      </w:tr>
      <w:tr w:rsidR="00D700AF" w:rsidRPr="00352B1C" w14:paraId="24B5D322" w14:textId="77777777" w:rsidTr="003A2C28">
        <w:tc>
          <w:tcPr>
            <w:tcW w:w="0" w:type="auto"/>
            <w:shd w:val="clear" w:color="auto" w:fill="auto"/>
          </w:tcPr>
          <w:p w14:paraId="4756A858" w14:textId="4F9A76D0" w:rsidR="008B72C9" w:rsidRPr="00D62BCD" w:rsidRDefault="008B72C9" w:rsidP="00864645">
            <w:pPr>
              <w:pStyle w:val="ListParagraph"/>
              <w:numPr>
                <w:ilvl w:val="0"/>
                <w:numId w:val="13"/>
              </w:numPr>
              <w:ind w:left="594" w:hanging="567"/>
              <w:rPr>
                <w:rFonts w:ascii="Verdana" w:hAnsi="Verdana" w:cs="Arial"/>
                <w:b/>
                <w:bCs/>
                <w:color w:val="000000" w:themeColor="text1"/>
                <w:sz w:val="20"/>
                <w:szCs w:val="20"/>
                <w:lang w:val="es-ES"/>
              </w:rPr>
            </w:pPr>
            <w:r>
              <w:rPr>
                <w:rFonts w:ascii="Verdana" w:hAnsi="Verdana" w:cs="Arial"/>
                <w:b/>
                <w:bCs/>
                <w:color w:val="000000" w:themeColor="text1"/>
                <w:sz w:val="20"/>
                <w:szCs w:val="20"/>
                <w:lang w:val="es"/>
              </w:rPr>
              <w:lastRenderedPageBreak/>
              <w:t xml:space="preserve">Plan de </w:t>
            </w:r>
            <w:r w:rsidR="00455B85">
              <w:rPr>
                <w:rFonts w:ascii="Verdana" w:hAnsi="Verdana" w:cs="Arial"/>
                <w:b/>
                <w:bCs/>
                <w:color w:val="000000" w:themeColor="text1"/>
                <w:sz w:val="20"/>
                <w:szCs w:val="20"/>
                <w:lang w:val="es"/>
              </w:rPr>
              <w:t>la C</w:t>
            </w:r>
            <w:r>
              <w:rPr>
                <w:rFonts w:ascii="Verdana" w:hAnsi="Verdana" w:cs="Arial"/>
                <w:b/>
                <w:bCs/>
                <w:color w:val="000000" w:themeColor="text1"/>
                <w:sz w:val="20"/>
                <w:szCs w:val="20"/>
                <w:lang w:val="es"/>
              </w:rPr>
              <w:t xml:space="preserve">iencia, </w:t>
            </w:r>
            <w:r w:rsidR="00455B85">
              <w:rPr>
                <w:rFonts w:ascii="Verdana" w:hAnsi="Verdana" w:cs="Arial"/>
                <w:b/>
                <w:bCs/>
                <w:color w:val="000000" w:themeColor="text1"/>
                <w:sz w:val="20"/>
                <w:szCs w:val="20"/>
                <w:lang w:val="es"/>
              </w:rPr>
              <w:t>T</w:t>
            </w:r>
            <w:r>
              <w:rPr>
                <w:rFonts w:ascii="Verdana" w:hAnsi="Verdana" w:cs="Arial"/>
                <w:b/>
                <w:bCs/>
                <w:color w:val="000000" w:themeColor="text1"/>
                <w:sz w:val="20"/>
                <w:szCs w:val="20"/>
                <w:lang w:val="es"/>
              </w:rPr>
              <w:t xml:space="preserve">ecnología e </w:t>
            </w:r>
            <w:r w:rsidR="00455B85">
              <w:rPr>
                <w:rFonts w:ascii="Verdana" w:hAnsi="Verdana" w:cs="Arial"/>
                <w:b/>
                <w:bCs/>
                <w:color w:val="000000" w:themeColor="text1"/>
                <w:sz w:val="20"/>
                <w:szCs w:val="20"/>
                <w:lang w:val="es"/>
              </w:rPr>
              <w:t>I</w:t>
            </w:r>
            <w:r>
              <w:rPr>
                <w:rFonts w:ascii="Verdana" w:hAnsi="Verdana" w:cs="Arial"/>
                <w:b/>
                <w:bCs/>
                <w:color w:val="000000" w:themeColor="text1"/>
                <w:sz w:val="20"/>
                <w:szCs w:val="20"/>
                <w:lang w:val="es"/>
              </w:rPr>
              <w:t xml:space="preserve">nvestigación sobre la </w:t>
            </w:r>
            <w:r w:rsidR="00455B85">
              <w:rPr>
                <w:rFonts w:ascii="Verdana" w:hAnsi="Verdana" w:cs="Arial"/>
                <w:b/>
                <w:bCs/>
                <w:color w:val="000000" w:themeColor="text1"/>
                <w:sz w:val="20"/>
                <w:szCs w:val="20"/>
                <w:lang w:val="es"/>
              </w:rPr>
              <w:t>S</w:t>
            </w:r>
            <w:r>
              <w:rPr>
                <w:rFonts w:ascii="Verdana" w:hAnsi="Verdana" w:cs="Arial"/>
                <w:b/>
                <w:bCs/>
                <w:color w:val="000000" w:themeColor="text1"/>
                <w:sz w:val="20"/>
                <w:szCs w:val="20"/>
                <w:lang w:val="es"/>
              </w:rPr>
              <w:t xml:space="preserve">alud y el </w:t>
            </w:r>
            <w:r w:rsidR="00455B85">
              <w:rPr>
                <w:rFonts w:ascii="Verdana" w:hAnsi="Verdana" w:cs="Arial"/>
                <w:b/>
                <w:bCs/>
                <w:color w:val="000000" w:themeColor="text1"/>
                <w:sz w:val="20"/>
                <w:szCs w:val="20"/>
                <w:lang w:val="es"/>
              </w:rPr>
              <w:t>C</w:t>
            </w:r>
            <w:r>
              <w:rPr>
                <w:rFonts w:ascii="Verdana" w:hAnsi="Verdana" w:cs="Arial"/>
                <w:b/>
                <w:bCs/>
                <w:color w:val="000000" w:themeColor="text1"/>
                <w:sz w:val="20"/>
                <w:szCs w:val="20"/>
                <w:lang w:val="es"/>
              </w:rPr>
              <w:t xml:space="preserve">lima (dirigido por la OMS) </w:t>
            </w:r>
          </w:p>
        </w:tc>
        <w:tc>
          <w:tcPr>
            <w:tcW w:w="0" w:type="auto"/>
            <w:shd w:val="clear" w:color="auto" w:fill="auto"/>
          </w:tcPr>
          <w:p w14:paraId="628508F7" w14:textId="0780A581" w:rsidR="008B72C9" w:rsidRPr="00D62BCD" w:rsidRDefault="00BC0298" w:rsidP="00293A4C">
            <w:pPr>
              <w:spacing w:line="276" w:lineRule="auto"/>
              <w:jc w:val="left"/>
              <w:rPr>
                <w:color w:val="000000" w:themeColor="text1"/>
                <w:lang w:val="es-ES"/>
              </w:rPr>
            </w:pPr>
            <w:r>
              <w:rPr>
                <w:color w:val="000000" w:themeColor="text1"/>
                <w:lang w:val="es"/>
              </w:rPr>
              <w:t>Diálogo</w:t>
            </w:r>
            <w:r w:rsidR="007714A6">
              <w:rPr>
                <w:color w:val="000000" w:themeColor="text1"/>
                <w:lang w:val="es"/>
              </w:rPr>
              <w:t xml:space="preserve"> con Miembros y </w:t>
            </w:r>
            <w:r>
              <w:rPr>
                <w:color w:val="000000" w:themeColor="text1"/>
                <w:lang w:val="es"/>
              </w:rPr>
              <w:t>asociado</w:t>
            </w:r>
            <w:r w:rsidR="003C37BD">
              <w:rPr>
                <w:color w:val="000000" w:themeColor="text1"/>
                <w:lang w:val="es"/>
              </w:rPr>
              <w:t>s</w:t>
            </w:r>
          </w:p>
        </w:tc>
      </w:tr>
      <w:tr w:rsidR="008B72C9" w:rsidRPr="00352B1C" w14:paraId="152054B8" w14:textId="77777777" w:rsidTr="003A2C28">
        <w:tc>
          <w:tcPr>
            <w:tcW w:w="0" w:type="auto"/>
            <w:gridSpan w:val="2"/>
            <w:shd w:val="clear" w:color="auto" w:fill="365F91" w:themeFill="accent1" w:themeFillShade="BF"/>
            <w:vAlign w:val="center"/>
          </w:tcPr>
          <w:p w14:paraId="6E718C4D" w14:textId="77777777" w:rsidR="008B72C9" w:rsidRPr="00D62BCD" w:rsidRDefault="008B72C9" w:rsidP="00DB21DE">
            <w:pPr>
              <w:pStyle w:val="ListParagraph"/>
              <w:spacing w:line="276" w:lineRule="auto"/>
              <w:jc w:val="center"/>
              <w:rPr>
                <w:rFonts w:ascii="Verdana" w:hAnsi="Verdana" w:cs="Arial"/>
                <w:b/>
                <w:bCs/>
                <w:color w:val="FFFFFF" w:themeColor="background1"/>
                <w:sz w:val="20"/>
                <w:szCs w:val="20"/>
                <w:lang w:val="es-ES"/>
              </w:rPr>
            </w:pPr>
            <w:r>
              <w:rPr>
                <w:rFonts w:ascii="Verdana" w:hAnsi="Verdana" w:cs="Arial"/>
                <w:b/>
                <w:bCs/>
                <w:color w:val="FFFFFF" w:themeColor="background1"/>
                <w:sz w:val="20"/>
                <w:szCs w:val="20"/>
                <w:lang w:val="es"/>
              </w:rPr>
              <w:t>DESARROLLO DE RECURSOS HUMANOS E INSTITUCIONALES</w:t>
            </w:r>
          </w:p>
        </w:tc>
      </w:tr>
      <w:tr w:rsidR="008B72C9" w:rsidRPr="00352B1C" w14:paraId="16365E6D" w14:textId="77777777" w:rsidTr="003A2C28">
        <w:tc>
          <w:tcPr>
            <w:tcW w:w="0" w:type="auto"/>
            <w:gridSpan w:val="2"/>
            <w:shd w:val="clear" w:color="auto" w:fill="DBE5F1" w:themeFill="accent1" w:themeFillTint="33"/>
            <w:vAlign w:val="center"/>
          </w:tcPr>
          <w:p w14:paraId="145EDC4E" w14:textId="11F71BD6" w:rsidR="008B72C9" w:rsidRPr="00D62BCD" w:rsidRDefault="00CD5D5A" w:rsidP="00DB21DE">
            <w:pPr>
              <w:spacing w:line="276" w:lineRule="auto"/>
              <w:jc w:val="left"/>
              <w:rPr>
                <w:rFonts w:eastAsiaTheme="minorHAnsi"/>
                <w:color w:val="000000" w:themeColor="text1"/>
                <w:lang w:val="es-ES"/>
              </w:rPr>
            </w:pPr>
            <w:r>
              <w:rPr>
                <w:b/>
                <w:bCs/>
                <w:color w:val="000000" w:themeColor="text1"/>
                <w:lang w:val="es"/>
              </w:rPr>
              <w:t>Objetivo</w:t>
            </w:r>
            <w:r w:rsidR="008B72C9">
              <w:rPr>
                <w:b/>
                <w:bCs/>
                <w:color w:val="000000" w:themeColor="text1"/>
                <w:lang w:val="es"/>
              </w:rPr>
              <w:t xml:space="preserve">: </w:t>
            </w:r>
            <w:r w:rsidR="008B72C9">
              <w:rPr>
                <w:color w:val="000000" w:themeColor="text1"/>
                <w:lang w:val="es"/>
              </w:rPr>
              <w:t xml:space="preserve">Asegurar que se disponga de aptitudes y capacidades humanas, institucionales y comunitarias adecuadas para mejorar el desarrollo, el uso óptimo y la sostenibilidad de las ciencias y </w:t>
            </w:r>
            <w:r>
              <w:rPr>
                <w:color w:val="000000" w:themeColor="text1"/>
                <w:lang w:val="es"/>
              </w:rPr>
              <w:t xml:space="preserve">los </w:t>
            </w:r>
            <w:r w:rsidR="008B72C9">
              <w:rPr>
                <w:color w:val="000000" w:themeColor="text1"/>
                <w:lang w:val="es"/>
              </w:rPr>
              <w:t xml:space="preserve">servicios climáticos, meteorológicos y </w:t>
            </w:r>
            <w:r>
              <w:rPr>
                <w:color w:val="000000" w:themeColor="text1"/>
                <w:lang w:val="es"/>
              </w:rPr>
              <w:t>medio</w:t>
            </w:r>
            <w:r w:rsidR="008B72C9">
              <w:rPr>
                <w:color w:val="000000" w:themeColor="text1"/>
                <w:lang w:val="es"/>
              </w:rPr>
              <w:t xml:space="preserve">ambientales en el sector de la salud. </w:t>
            </w:r>
          </w:p>
        </w:tc>
      </w:tr>
      <w:tr w:rsidR="008B72C9" w:rsidRPr="00352B1C" w14:paraId="7B386FDD" w14:textId="77777777" w:rsidTr="003A2C28">
        <w:tc>
          <w:tcPr>
            <w:tcW w:w="0" w:type="auto"/>
            <w:gridSpan w:val="2"/>
            <w:shd w:val="clear" w:color="auto" w:fill="B8CCE4" w:themeFill="accent1" w:themeFillTint="66"/>
            <w:vAlign w:val="center"/>
          </w:tcPr>
          <w:p w14:paraId="3ED13704" w14:textId="24F33804" w:rsidR="008B72C9" w:rsidRPr="00D62BCD" w:rsidRDefault="008B72C9" w:rsidP="00293A4C">
            <w:pPr>
              <w:spacing w:line="276" w:lineRule="auto"/>
              <w:jc w:val="left"/>
              <w:rPr>
                <w:b/>
                <w:bCs/>
                <w:color w:val="000000" w:themeColor="text1"/>
                <w:sz w:val="19"/>
                <w:szCs w:val="19"/>
                <w:lang w:val="es-ES"/>
              </w:rPr>
            </w:pPr>
            <w:r>
              <w:rPr>
                <w:b/>
                <w:bCs/>
                <w:sz w:val="19"/>
                <w:szCs w:val="19"/>
                <w:lang w:val="es"/>
              </w:rPr>
              <w:t xml:space="preserve">Declaración de </w:t>
            </w:r>
            <w:r w:rsidR="00CD5D5A">
              <w:rPr>
                <w:b/>
                <w:bCs/>
                <w:sz w:val="19"/>
                <w:szCs w:val="19"/>
                <w:lang w:val="es"/>
              </w:rPr>
              <w:t>s</w:t>
            </w:r>
            <w:r>
              <w:rPr>
                <w:b/>
                <w:bCs/>
                <w:sz w:val="19"/>
                <w:szCs w:val="19"/>
                <w:lang w:val="es"/>
              </w:rPr>
              <w:t>olución</w:t>
            </w:r>
            <w:r>
              <w:rPr>
                <w:sz w:val="19"/>
                <w:szCs w:val="19"/>
                <w:lang w:val="es"/>
              </w:rPr>
              <w:t xml:space="preserve">: La </w:t>
            </w:r>
            <w:r w:rsidR="0026515E">
              <w:rPr>
                <w:sz w:val="19"/>
                <w:szCs w:val="19"/>
                <w:lang w:val="es"/>
              </w:rPr>
              <w:t>expansión</w:t>
            </w:r>
            <w:r>
              <w:rPr>
                <w:sz w:val="19"/>
                <w:szCs w:val="19"/>
                <w:lang w:val="es"/>
              </w:rPr>
              <w:t xml:space="preserve"> de la ciencia y los servicios climáticos para la salud requiere una fuerte capacidad </w:t>
            </w:r>
            <w:r w:rsidR="00D15714">
              <w:rPr>
                <w:sz w:val="19"/>
                <w:szCs w:val="19"/>
                <w:lang w:val="es"/>
              </w:rPr>
              <w:t>infraestructural</w:t>
            </w:r>
            <w:r>
              <w:rPr>
                <w:sz w:val="19"/>
                <w:szCs w:val="19"/>
                <w:lang w:val="es"/>
              </w:rPr>
              <w:t xml:space="preserve">, institucional y de recursos humanos </w:t>
            </w:r>
            <w:r w:rsidR="00D15714">
              <w:rPr>
                <w:sz w:val="19"/>
                <w:szCs w:val="19"/>
                <w:lang w:val="es"/>
              </w:rPr>
              <w:t>a</w:t>
            </w:r>
            <w:r>
              <w:rPr>
                <w:sz w:val="19"/>
                <w:szCs w:val="19"/>
                <w:lang w:val="es"/>
              </w:rPr>
              <w:t xml:space="preserve"> múltiples niveles. Desarrollar el aprendizaje transdisciplinario y las trayectorias profesionales dentro del nexo entre el clima, el medioambiente y la salud puede garantizar que los jóvenes profesionales de hoy en día </w:t>
            </w:r>
            <w:r w:rsidR="00E5231D">
              <w:rPr>
                <w:sz w:val="19"/>
                <w:szCs w:val="19"/>
                <w:lang w:val="es"/>
              </w:rPr>
              <w:t>se formen</w:t>
            </w:r>
            <w:r>
              <w:rPr>
                <w:sz w:val="19"/>
                <w:szCs w:val="19"/>
                <w:lang w:val="es"/>
              </w:rPr>
              <w:t xml:space="preserve"> en las habilidades y </w:t>
            </w:r>
            <w:r w:rsidR="00E5231D">
              <w:rPr>
                <w:sz w:val="19"/>
                <w:szCs w:val="19"/>
                <w:lang w:val="es"/>
              </w:rPr>
              <w:t xml:space="preserve">los </w:t>
            </w:r>
            <w:r>
              <w:rPr>
                <w:sz w:val="19"/>
                <w:szCs w:val="19"/>
                <w:lang w:val="es"/>
              </w:rPr>
              <w:t xml:space="preserve">conceptos apropiados </w:t>
            </w:r>
            <w:r w:rsidR="00E5231D">
              <w:rPr>
                <w:sz w:val="19"/>
                <w:szCs w:val="19"/>
                <w:lang w:val="es"/>
              </w:rPr>
              <w:t>tanto del ámbito</w:t>
            </w:r>
            <w:r>
              <w:rPr>
                <w:sz w:val="19"/>
                <w:szCs w:val="19"/>
                <w:lang w:val="es"/>
              </w:rPr>
              <w:t xml:space="preserve"> del clima</w:t>
            </w:r>
            <w:r w:rsidR="00E5231D">
              <w:rPr>
                <w:sz w:val="19"/>
                <w:szCs w:val="19"/>
                <w:lang w:val="es"/>
              </w:rPr>
              <w:t xml:space="preserve"> como de la </w:t>
            </w:r>
            <w:r>
              <w:rPr>
                <w:sz w:val="19"/>
                <w:szCs w:val="19"/>
                <w:lang w:val="es"/>
              </w:rPr>
              <w:t xml:space="preserve">salud y </w:t>
            </w:r>
            <w:r w:rsidR="00CF7DAC" w:rsidRPr="00CF7DAC">
              <w:rPr>
                <w:sz w:val="19"/>
                <w:szCs w:val="19"/>
                <w:lang w:val="es"/>
              </w:rPr>
              <w:t>que desarrollen una carrera profesional fructífera</w:t>
            </w:r>
            <w:r>
              <w:rPr>
                <w:sz w:val="19"/>
                <w:szCs w:val="19"/>
                <w:lang w:val="es"/>
              </w:rPr>
              <w:t xml:space="preserve">. </w:t>
            </w:r>
            <w:r w:rsidR="00BF7CA2" w:rsidRPr="00BF7CA2">
              <w:rPr>
                <w:sz w:val="19"/>
                <w:szCs w:val="19"/>
                <w:lang w:val="es"/>
              </w:rPr>
              <w:t xml:space="preserve">Los profesionales transdisciplinarios y cualificados con funciones definidas son fundamentales para abordar el complejo nexo de los retos sanitarios que plantea el cambio climático. </w:t>
            </w:r>
            <w:r w:rsidR="009E113C" w:rsidRPr="009E113C">
              <w:rPr>
                <w:sz w:val="19"/>
                <w:szCs w:val="19"/>
                <w:lang w:val="es"/>
              </w:rPr>
              <w:t>Este personal emergente será capaz de hablar un lenguaje común y de comprender los impactos en ambas partes, salvando las diferencias clave entre las comunidades del clima y de la salud</w:t>
            </w:r>
            <w:r>
              <w:rPr>
                <w:sz w:val="19"/>
                <w:szCs w:val="19"/>
                <w:lang w:val="es"/>
              </w:rPr>
              <w:t xml:space="preserve">. Las descripciones de los puestos de trabajo son un instrumento importante para definir nuevas funciones y responsabilidades. El apoyo técnico, el aprendizaje y la creación de comunidad en este cuadro de profesionales (becarios, </w:t>
            </w:r>
            <w:r w:rsidR="008539EC">
              <w:rPr>
                <w:sz w:val="19"/>
                <w:szCs w:val="19"/>
                <w:lang w:val="es"/>
              </w:rPr>
              <w:t>profesionales en calidad de adscritos</w:t>
            </w:r>
            <w:r>
              <w:rPr>
                <w:sz w:val="19"/>
                <w:szCs w:val="19"/>
                <w:lang w:val="es"/>
              </w:rPr>
              <w:t xml:space="preserve">, </w:t>
            </w:r>
            <w:r w:rsidR="002B3F2D">
              <w:rPr>
                <w:sz w:val="19"/>
                <w:szCs w:val="19"/>
                <w:lang w:val="es"/>
              </w:rPr>
              <w:t>coordinadores</w:t>
            </w:r>
            <w:r>
              <w:rPr>
                <w:sz w:val="19"/>
                <w:szCs w:val="19"/>
                <w:lang w:val="es"/>
              </w:rPr>
              <w:t>) pueden ayudar a desarrollar la próxima generación de expertos que estén mejor preparados para resolver problemas relacionados con los desafíos ambientales, así como la adaptación al clima y la mitigación en el sector de la salud.</w:t>
            </w:r>
          </w:p>
        </w:tc>
      </w:tr>
      <w:tr w:rsidR="00D700AF" w:rsidRPr="004D0E4B" w14:paraId="05886F33" w14:textId="77777777" w:rsidTr="003A2C28">
        <w:tc>
          <w:tcPr>
            <w:tcW w:w="0" w:type="auto"/>
            <w:shd w:val="clear" w:color="auto" w:fill="4F81BD" w:themeFill="accent1"/>
            <w:vAlign w:val="center"/>
          </w:tcPr>
          <w:p w14:paraId="3F286234" w14:textId="77777777" w:rsidR="008B72C9" w:rsidRPr="004D0E4B" w:rsidRDefault="008B72C9" w:rsidP="00DB21DE">
            <w:pPr>
              <w:spacing w:line="276" w:lineRule="auto"/>
              <w:ind w:left="360"/>
              <w:jc w:val="center"/>
              <w:rPr>
                <w:b/>
                <w:bCs/>
                <w:color w:val="FFFFFF" w:themeColor="background1"/>
              </w:rPr>
            </w:pPr>
            <w:r>
              <w:rPr>
                <w:b/>
                <w:bCs/>
                <w:color w:val="FFFFFF" w:themeColor="background1"/>
                <w:lang w:val="es"/>
              </w:rPr>
              <w:t xml:space="preserve">ACTIVIDADES PROPUESTAS </w:t>
            </w:r>
          </w:p>
        </w:tc>
        <w:tc>
          <w:tcPr>
            <w:tcW w:w="0" w:type="auto"/>
            <w:shd w:val="clear" w:color="auto" w:fill="4F81BD" w:themeFill="accent1"/>
            <w:vAlign w:val="center"/>
          </w:tcPr>
          <w:p w14:paraId="0B4C348B" w14:textId="77777777" w:rsidR="008B72C9" w:rsidRPr="004D0E4B" w:rsidRDefault="00211B6C" w:rsidP="00DB21DE">
            <w:pPr>
              <w:spacing w:line="276" w:lineRule="auto"/>
              <w:ind w:left="360"/>
              <w:jc w:val="center"/>
              <w:rPr>
                <w:b/>
                <w:bCs/>
                <w:color w:val="FFFFFF" w:themeColor="background1"/>
              </w:rPr>
            </w:pPr>
            <w:r>
              <w:rPr>
                <w:b/>
                <w:bCs/>
                <w:color w:val="FFFFFF" w:themeColor="background1"/>
                <w:lang w:val="es"/>
              </w:rPr>
              <w:t>POSIBLES MECANISMOS DE APOYO</w:t>
            </w:r>
          </w:p>
        </w:tc>
      </w:tr>
      <w:tr w:rsidR="00D700AF" w:rsidRPr="00352B1C" w14:paraId="3E3E582F" w14:textId="77777777" w:rsidTr="003A2C28">
        <w:tc>
          <w:tcPr>
            <w:tcW w:w="0" w:type="auto"/>
            <w:shd w:val="clear" w:color="auto" w:fill="auto"/>
          </w:tcPr>
          <w:p w14:paraId="5E1E9B91" w14:textId="6A996B22" w:rsidR="008B72C9" w:rsidRPr="00D62BCD" w:rsidRDefault="008B72C9" w:rsidP="003A2C28">
            <w:pPr>
              <w:pStyle w:val="ListParagraph"/>
              <w:numPr>
                <w:ilvl w:val="0"/>
                <w:numId w:val="14"/>
              </w:numPr>
              <w:spacing w:before="60" w:after="60" w:line="240" w:lineRule="auto"/>
              <w:ind w:left="594" w:hanging="567"/>
              <w:contextualSpacing w:val="0"/>
              <w:rPr>
                <w:rFonts w:ascii="Verdana" w:hAnsi="Verdana" w:cs="Arial"/>
                <w:b/>
                <w:bCs/>
                <w:color w:val="000000" w:themeColor="text1"/>
                <w:sz w:val="20"/>
                <w:szCs w:val="20"/>
                <w:lang w:val="es-ES"/>
              </w:rPr>
            </w:pPr>
            <w:r>
              <w:rPr>
                <w:rFonts w:ascii="Verdana" w:eastAsia="Arial" w:hAnsi="Verdana" w:cs="Arial"/>
                <w:color w:val="000000" w:themeColor="text1"/>
                <w:sz w:val="20"/>
                <w:szCs w:val="20"/>
                <w:lang w:val="es"/>
              </w:rPr>
              <w:t xml:space="preserve">Desarrollar el enfoque, la solicitud, la validación y el proceso de revisión para los Centros identificados, siguiendo el </w:t>
            </w:r>
            <w:r w:rsidR="00A050DE">
              <w:rPr>
                <w:rFonts w:ascii="Verdana" w:eastAsia="Arial" w:hAnsi="Verdana" w:cs="Arial"/>
                <w:color w:val="000000" w:themeColor="text1"/>
                <w:sz w:val="20"/>
                <w:szCs w:val="20"/>
                <w:lang w:val="es"/>
              </w:rPr>
              <w:t>m</w:t>
            </w:r>
            <w:r>
              <w:rPr>
                <w:rFonts w:ascii="Verdana" w:eastAsia="Arial" w:hAnsi="Verdana" w:cs="Arial"/>
                <w:color w:val="000000" w:themeColor="text1"/>
                <w:sz w:val="20"/>
                <w:szCs w:val="20"/>
                <w:lang w:val="es"/>
              </w:rPr>
              <w:t xml:space="preserve">odelo de </w:t>
            </w:r>
            <w:r w:rsidR="00A050DE">
              <w:rPr>
                <w:rFonts w:ascii="Verdana" w:eastAsia="Arial" w:hAnsi="Verdana" w:cs="Arial"/>
                <w:color w:val="000000" w:themeColor="text1"/>
                <w:sz w:val="20"/>
                <w:szCs w:val="20"/>
                <w:lang w:val="es"/>
              </w:rPr>
              <w:t>los c</w:t>
            </w:r>
            <w:r>
              <w:rPr>
                <w:rFonts w:ascii="Verdana" w:eastAsia="Arial" w:hAnsi="Verdana" w:cs="Arial"/>
                <w:color w:val="000000" w:themeColor="text1"/>
                <w:sz w:val="20"/>
                <w:szCs w:val="20"/>
                <w:lang w:val="es"/>
              </w:rPr>
              <w:t>entro</w:t>
            </w:r>
            <w:r w:rsidR="00870816">
              <w:rPr>
                <w:rFonts w:ascii="Verdana" w:eastAsia="Arial" w:hAnsi="Verdana" w:cs="Arial"/>
                <w:color w:val="000000" w:themeColor="text1"/>
                <w:sz w:val="20"/>
                <w:szCs w:val="20"/>
                <w:lang w:val="es"/>
              </w:rPr>
              <w:t>s</w:t>
            </w:r>
            <w:r>
              <w:rPr>
                <w:rFonts w:ascii="Verdana" w:eastAsia="Arial" w:hAnsi="Verdana" w:cs="Arial"/>
                <w:color w:val="000000" w:themeColor="text1"/>
                <w:sz w:val="20"/>
                <w:szCs w:val="20"/>
                <w:lang w:val="es"/>
              </w:rPr>
              <w:t xml:space="preserve"> </w:t>
            </w:r>
            <w:r w:rsidR="00A050DE">
              <w:rPr>
                <w:rFonts w:ascii="Verdana" w:eastAsia="Arial" w:hAnsi="Verdana" w:cs="Arial"/>
                <w:color w:val="000000" w:themeColor="text1"/>
                <w:sz w:val="20"/>
                <w:szCs w:val="20"/>
                <w:lang w:val="es"/>
              </w:rPr>
              <w:t>c</w:t>
            </w:r>
            <w:r>
              <w:rPr>
                <w:rFonts w:ascii="Verdana" w:eastAsia="Arial" w:hAnsi="Verdana" w:cs="Arial"/>
                <w:color w:val="000000" w:themeColor="text1"/>
                <w:sz w:val="20"/>
                <w:szCs w:val="20"/>
                <w:lang w:val="es"/>
              </w:rPr>
              <w:t>olaborador</w:t>
            </w:r>
            <w:r w:rsidR="00A050DE">
              <w:rPr>
                <w:rFonts w:ascii="Verdana" w:eastAsia="Arial" w:hAnsi="Verdana" w:cs="Arial"/>
                <w:color w:val="000000" w:themeColor="text1"/>
                <w:sz w:val="20"/>
                <w:szCs w:val="20"/>
                <w:lang w:val="es"/>
              </w:rPr>
              <w:t>es</w:t>
            </w:r>
            <w:r>
              <w:rPr>
                <w:rFonts w:ascii="Verdana" w:eastAsia="Arial" w:hAnsi="Verdana" w:cs="Arial"/>
                <w:color w:val="000000" w:themeColor="text1"/>
                <w:sz w:val="20"/>
                <w:szCs w:val="20"/>
                <w:lang w:val="es"/>
              </w:rPr>
              <w:t xml:space="preserve"> de la OMS</w:t>
            </w:r>
          </w:p>
        </w:tc>
        <w:tc>
          <w:tcPr>
            <w:tcW w:w="0" w:type="auto"/>
            <w:shd w:val="clear" w:color="auto" w:fill="auto"/>
          </w:tcPr>
          <w:p w14:paraId="5742F1AD" w14:textId="77777777" w:rsidR="008B72C9" w:rsidRPr="00D62BCD" w:rsidRDefault="008B72C9" w:rsidP="003A2C28">
            <w:pPr>
              <w:spacing w:before="60" w:after="60"/>
              <w:jc w:val="left"/>
              <w:rPr>
                <w:color w:val="000000" w:themeColor="text1"/>
                <w:lang w:val="es-ES"/>
              </w:rPr>
            </w:pPr>
            <w:r>
              <w:rPr>
                <w:color w:val="000000" w:themeColor="text1"/>
                <w:lang w:val="es"/>
              </w:rPr>
              <w:t xml:space="preserve"> </w:t>
            </w:r>
            <w:r>
              <w:rPr>
                <w:b/>
                <w:bCs/>
                <w:color w:val="000000" w:themeColor="text1"/>
                <w:lang w:val="es"/>
              </w:rPr>
              <w:t>Servicios de apoyo técnico/centros de excelencia de la</w:t>
            </w:r>
            <w:r>
              <w:rPr>
                <w:color w:val="000000" w:themeColor="text1"/>
                <w:lang w:val="es"/>
              </w:rPr>
              <w:t xml:space="preserve"> OMS y la OMM que actúan como dependencias de apoyo técnico y asociados en la ejecución en países y regiones; </w:t>
            </w:r>
          </w:p>
        </w:tc>
      </w:tr>
      <w:tr w:rsidR="00D700AF" w:rsidRPr="00352B1C" w14:paraId="3EB92A47" w14:textId="77777777" w:rsidTr="003A2C28">
        <w:tc>
          <w:tcPr>
            <w:tcW w:w="0" w:type="auto"/>
            <w:shd w:val="clear" w:color="auto" w:fill="auto"/>
          </w:tcPr>
          <w:p w14:paraId="78C9D0D9" w14:textId="77777777" w:rsidR="008B72C9" w:rsidRPr="00D62BCD" w:rsidDel="00546B2E" w:rsidRDefault="008B72C9" w:rsidP="003A2C28">
            <w:pPr>
              <w:pStyle w:val="ListParagraph"/>
              <w:numPr>
                <w:ilvl w:val="0"/>
                <w:numId w:val="14"/>
              </w:numPr>
              <w:spacing w:before="60" w:after="60" w:line="240" w:lineRule="auto"/>
              <w:ind w:left="594" w:hanging="567"/>
              <w:contextualSpacing w:val="0"/>
              <w:rPr>
                <w:rFonts w:ascii="Verdana" w:hAnsi="Verdana" w:cs="Arial"/>
                <w:b/>
                <w:bCs/>
                <w:color w:val="000000" w:themeColor="text1"/>
                <w:sz w:val="20"/>
                <w:szCs w:val="20"/>
                <w:lang w:val="es-ES"/>
              </w:rPr>
            </w:pPr>
            <w:r>
              <w:rPr>
                <w:rFonts w:ascii="Verdana" w:eastAsia="Calibri" w:hAnsi="Verdana" w:cs="Arial"/>
                <w:b/>
                <w:bCs/>
                <w:color w:val="000000" w:themeColor="text1"/>
                <w:sz w:val="20"/>
                <w:szCs w:val="20"/>
                <w:lang w:val="es"/>
              </w:rPr>
              <w:t xml:space="preserve">Participación de los coordinadores de salud integrados </w:t>
            </w:r>
            <w:r w:rsidRPr="00870816">
              <w:rPr>
                <w:rFonts w:ascii="Verdana" w:eastAsia="Calibri" w:hAnsi="Verdana" w:cs="Arial"/>
                <w:b/>
                <w:bCs/>
                <w:color w:val="000000" w:themeColor="text1"/>
                <w:sz w:val="20"/>
                <w:szCs w:val="20"/>
                <w:lang w:val="es"/>
              </w:rPr>
              <w:t>de la</w:t>
            </w:r>
            <w:r>
              <w:rPr>
                <w:rFonts w:ascii="Verdana" w:eastAsia="Calibri" w:hAnsi="Verdana" w:cs="Arial"/>
                <w:b/>
                <w:bCs/>
                <w:color w:val="000000" w:themeColor="text1"/>
                <w:sz w:val="20"/>
                <w:szCs w:val="20"/>
                <w:lang w:val="es"/>
              </w:rPr>
              <w:t xml:space="preserve"> OMM</w:t>
            </w:r>
            <w:r>
              <w:rPr>
                <w:rFonts w:ascii="Verdana" w:eastAsia="Calibri" w:hAnsi="Verdana" w:cs="Arial"/>
                <w:color w:val="000000" w:themeColor="text1"/>
                <w:sz w:val="20"/>
                <w:szCs w:val="20"/>
                <w:lang w:val="es"/>
              </w:rPr>
              <w:t xml:space="preserve"> </w:t>
            </w:r>
            <w:r w:rsidRPr="00870816">
              <w:rPr>
                <w:rFonts w:ascii="Verdana" w:eastAsia="Calibri" w:hAnsi="Verdana" w:cs="Arial"/>
                <w:b/>
                <w:bCs/>
                <w:color w:val="000000" w:themeColor="text1"/>
                <w:sz w:val="20"/>
                <w:szCs w:val="20"/>
                <w:lang w:val="es"/>
              </w:rPr>
              <w:t>y comunidades de práctica</w:t>
            </w:r>
            <w:r>
              <w:rPr>
                <w:rFonts w:ascii="Verdana" w:eastAsia="Calibri" w:hAnsi="Verdana" w:cs="Arial"/>
                <w:color w:val="000000" w:themeColor="text1"/>
                <w:sz w:val="20"/>
                <w:szCs w:val="20"/>
                <w:lang w:val="es"/>
              </w:rPr>
              <w:t xml:space="preserve"> (participación, comunicación y desarrollo de comunidades de práctica) en un mecanismo de apoyo y coordinación</w:t>
            </w:r>
          </w:p>
        </w:tc>
        <w:tc>
          <w:tcPr>
            <w:tcW w:w="0" w:type="auto"/>
            <w:shd w:val="clear" w:color="auto" w:fill="auto"/>
          </w:tcPr>
          <w:p w14:paraId="715E0380" w14:textId="640CA1C3" w:rsidR="008B72C9" w:rsidRPr="00D62BCD" w:rsidRDefault="00221E26" w:rsidP="003A2C28">
            <w:pPr>
              <w:spacing w:before="60" w:after="60"/>
              <w:jc w:val="left"/>
              <w:rPr>
                <w:b/>
                <w:bCs/>
                <w:color w:val="000000" w:themeColor="text1"/>
                <w:lang w:val="es-ES"/>
              </w:rPr>
            </w:pPr>
            <w:r w:rsidRPr="00221E26">
              <w:rPr>
                <w:lang w:val="es"/>
              </w:rPr>
              <w:t xml:space="preserve">Oficina Conjunta OMS/OMM para el Clima y la Salud </w:t>
            </w:r>
            <w:r w:rsidR="00854AF1">
              <w:rPr>
                <w:lang w:val="es"/>
              </w:rPr>
              <w:t>en consulta con los</w:t>
            </w:r>
            <w:r w:rsidR="008B72C9">
              <w:rPr>
                <w:color w:val="000000" w:themeColor="text1"/>
                <w:lang w:val="es"/>
              </w:rPr>
              <w:t xml:space="preserve"> </w:t>
            </w:r>
            <w:r w:rsidR="00854AF1">
              <w:rPr>
                <w:color w:val="000000" w:themeColor="text1"/>
                <w:lang w:val="es"/>
              </w:rPr>
              <w:t>coordinadores y</w:t>
            </w:r>
            <w:r w:rsidR="008B72C9">
              <w:rPr>
                <w:color w:val="000000" w:themeColor="text1"/>
                <w:lang w:val="es"/>
              </w:rPr>
              <w:t xml:space="preserve"> asociados colaboradores</w:t>
            </w:r>
          </w:p>
        </w:tc>
      </w:tr>
      <w:tr w:rsidR="00D700AF" w:rsidRPr="00352B1C" w14:paraId="68C7F7CB" w14:textId="77777777" w:rsidTr="003A2C28">
        <w:tc>
          <w:tcPr>
            <w:tcW w:w="0" w:type="auto"/>
            <w:shd w:val="clear" w:color="auto" w:fill="auto"/>
          </w:tcPr>
          <w:p w14:paraId="6097CB78" w14:textId="77777777" w:rsidR="008B72C9" w:rsidRPr="00D62BCD" w:rsidDel="009479F6" w:rsidRDefault="008B72C9" w:rsidP="003A2C28">
            <w:pPr>
              <w:pStyle w:val="ListParagraph"/>
              <w:numPr>
                <w:ilvl w:val="0"/>
                <w:numId w:val="14"/>
              </w:numPr>
              <w:spacing w:before="60" w:after="60" w:line="240" w:lineRule="auto"/>
              <w:ind w:left="594" w:hanging="567"/>
              <w:contextualSpacing w:val="0"/>
              <w:rPr>
                <w:rFonts w:ascii="Verdana" w:hAnsi="Verdana" w:cs="Arial"/>
                <w:b/>
                <w:bCs/>
                <w:color w:val="000000" w:themeColor="text1"/>
                <w:sz w:val="20"/>
                <w:szCs w:val="20"/>
                <w:lang w:val="es-ES"/>
              </w:rPr>
            </w:pPr>
            <w:r>
              <w:rPr>
                <w:rFonts w:ascii="Verdana" w:hAnsi="Verdana" w:cs="Arial"/>
                <w:b/>
                <w:bCs/>
                <w:color w:val="000000" w:themeColor="text1"/>
                <w:sz w:val="20"/>
                <w:szCs w:val="20"/>
                <w:lang w:val="es"/>
              </w:rPr>
              <w:t xml:space="preserve">Marco de competencias sobre el clima y la salud </w:t>
            </w:r>
            <w:r>
              <w:rPr>
                <w:rFonts w:ascii="Verdana" w:hAnsi="Verdana" w:cs="Arial"/>
                <w:color w:val="000000" w:themeColor="text1"/>
                <w:sz w:val="20"/>
                <w:szCs w:val="20"/>
                <w:lang w:val="es"/>
              </w:rPr>
              <w:t>para fortalecer los planes de estudios de formación y educación transdisciplinarios con competencias y conocimientos básicos</w:t>
            </w:r>
          </w:p>
        </w:tc>
        <w:tc>
          <w:tcPr>
            <w:tcW w:w="0" w:type="auto"/>
            <w:shd w:val="clear" w:color="auto" w:fill="auto"/>
          </w:tcPr>
          <w:p w14:paraId="3A65A717" w14:textId="31925A8C" w:rsidR="008B72C9" w:rsidRPr="00D62BCD" w:rsidDel="00D14666" w:rsidRDefault="00BF3CD3" w:rsidP="003A2C28">
            <w:pPr>
              <w:spacing w:before="60" w:after="60"/>
              <w:jc w:val="left"/>
              <w:rPr>
                <w:color w:val="000000" w:themeColor="text1"/>
                <w:lang w:val="es-ES"/>
              </w:rPr>
            </w:pPr>
            <w:r>
              <w:rPr>
                <w:color w:val="000000" w:themeColor="text1"/>
                <w:lang w:val="es"/>
              </w:rPr>
              <w:t xml:space="preserve">Queda por determinar </w:t>
            </w:r>
            <w:r w:rsidR="003516C8">
              <w:rPr>
                <w:color w:val="000000" w:themeColor="text1"/>
                <w:lang w:val="es"/>
              </w:rPr>
              <w:t>el</w:t>
            </w:r>
            <w:r>
              <w:rPr>
                <w:color w:val="000000" w:themeColor="text1"/>
                <w:lang w:val="es"/>
              </w:rPr>
              <w:t xml:space="preserve"> m</w:t>
            </w:r>
            <w:r w:rsidR="008B72C9">
              <w:rPr>
                <w:color w:val="000000" w:themeColor="text1"/>
                <w:lang w:val="es"/>
              </w:rPr>
              <w:t xml:space="preserve">ecanismo de implementación, </w:t>
            </w:r>
            <w:r w:rsidR="003516C8">
              <w:rPr>
                <w:color w:val="000000" w:themeColor="text1"/>
                <w:lang w:val="es"/>
              </w:rPr>
              <w:t xml:space="preserve">que </w:t>
            </w:r>
            <w:r w:rsidR="008B72C9">
              <w:rPr>
                <w:color w:val="000000" w:themeColor="text1"/>
                <w:lang w:val="es"/>
              </w:rPr>
              <w:t xml:space="preserve">puede incluir contratistas/centros de </w:t>
            </w:r>
            <w:r w:rsidR="00697B07">
              <w:rPr>
                <w:color w:val="000000" w:themeColor="text1"/>
                <w:lang w:val="es"/>
              </w:rPr>
              <w:t>formación</w:t>
            </w:r>
            <w:r w:rsidR="008B72C9">
              <w:rPr>
                <w:color w:val="000000" w:themeColor="text1"/>
                <w:lang w:val="es"/>
              </w:rPr>
              <w:t xml:space="preserve"> de la OMM/ Consorcio de Educación sobre el Clima y la Salud</w:t>
            </w:r>
          </w:p>
        </w:tc>
      </w:tr>
      <w:tr w:rsidR="00D700AF" w:rsidRPr="00352B1C" w14:paraId="4BCCA133" w14:textId="77777777" w:rsidTr="003A2C28">
        <w:tc>
          <w:tcPr>
            <w:tcW w:w="0" w:type="auto"/>
            <w:shd w:val="clear" w:color="auto" w:fill="auto"/>
          </w:tcPr>
          <w:p w14:paraId="5A7A09CD" w14:textId="5058C8B6" w:rsidR="008B72C9" w:rsidRPr="00D62BCD" w:rsidRDefault="008B72C9" w:rsidP="004E5DF6">
            <w:pPr>
              <w:pStyle w:val="ListParagraph"/>
              <w:numPr>
                <w:ilvl w:val="0"/>
                <w:numId w:val="14"/>
              </w:numPr>
              <w:spacing w:before="60" w:after="60" w:line="240" w:lineRule="auto"/>
              <w:ind w:left="594" w:hanging="567"/>
              <w:contextualSpacing w:val="0"/>
              <w:rPr>
                <w:rFonts w:ascii="Verdana" w:eastAsiaTheme="minorEastAsia" w:hAnsi="Verdana"/>
                <w:color w:val="000000" w:themeColor="text1"/>
                <w:sz w:val="20"/>
                <w:szCs w:val="20"/>
                <w:lang w:val="es-ES"/>
              </w:rPr>
            </w:pPr>
            <w:r>
              <w:rPr>
                <w:rFonts w:ascii="Verdana" w:hAnsi="Verdana" w:cs="Arial"/>
                <w:b/>
                <w:bCs/>
                <w:color w:val="000000" w:themeColor="text1"/>
                <w:sz w:val="20"/>
                <w:szCs w:val="20"/>
                <w:lang w:val="es"/>
              </w:rPr>
              <w:lastRenderedPageBreak/>
              <w:t xml:space="preserve">Programa de alfabetización </w:t>
            </w:r>
            <w:r w:rsidR="003D7765">
              <w:rPr>
                <w:rFonts w:ascii="Verdana" w:hAnsi="Verdana" w:cs="Arial"/>
                <w:b/>
                <w:bCs/>
                <w:color w:val="000000" w:themeColor="text1"/>
                <w:sz w:val="20"/>
                <w:szCs w:val="20"/>
                <w:lang w:val="es"/>
              </w:rPr>
              <w:t>en materia del</w:t>
            </w:r>
            <w:r>
              <w:rPr>
                <w:rFonts w:ascii="Verdana" w:hAnsi="Verdana" w:cs="Arial"/>
                <w:b/>
                <w:bCs/>
                <w:color w:val="000000" w:themeColor="text1"/>
                <w:sz w:val="20"/>
                <w:szCs w:val="20"/>
                <w:lang w:val="es"/>
              </w:rPr>
              <w:t xml:space="preserve"> clima y </w:t>
            </w:r>
            <w:r w:rsidR="003D7765">
              <w:rPr>
                <w:rFonts w:ascii="Verdana" w:hAnsi="Verdana" w:cs="Arial"/>
                <w:b/>
                <w:bCs/>
                <w:color w:val="000000" w:themeColor="text1"/>
                <w:sz w:val="20"/>
                <w:szCs w:val="20"/>
                <w:lang w:val="es"/>
              </w:rPr>
              <w:t xml:space="preserve">la </w:t>
            </w:r>
            <w:r>
              <w:rPr>
                <w:rFonts w:ascii="Verdana" w:hAnsi="Verdana" w:cs="Arial"/>
                <w:b/>
                <w:bCs/>
                <w:color w:val="000000" w:themeColor="text1"/>
                <w:sz w:val="20"/>
                <w:szCs w:val="20"/>
                <w:lang w:val="es"/>
              </w:rPr>
              <w:t xml:space="preserve">salud (biometeorología) </w:t>
            </w:r>
          </w:p>
        </w:tc>
        <w:tc>
          <w:tcPr>
            <w:tcW w:w="0" w:type="auto"/>
            <w:shd w:val="clear" w:color="auto" w:fill="auto"/>
          </w:tcPr>
          <w:p w14:paraId="16D6DC43" w14:textId="31CD5DA2" w:rsidR="008B72C9" w:rsidRPr="00D62BCD" w:rsidDel="00D14666" w:rsidRDefault="008B72C9" w:rsidP="004E5DF6">
            <w:pPr>
              <w:spacing w:before="60" w:after="60"/>
              <w:jc w:val="left"/>
              <w:rPr>
                <w:color w:val="000000" w:themeColor="text1"/>
                <w:lang w:val="es-ES"/>
              </w:rPr>
            </w:pPr>
            <w:r>
              <w:rPr>
                <w:b/>
                <w:bCs/>
                <w:color w:val="000000" w:themeColor="text1"/>
                <w:lang w:val="es"/>
              </w:rPr>
              <w:t xml:space="preserve">Asociación/red de </w:t>
            </w:r>
            <w:r w:rsidR="00697B07">
              <w:rPr>
                <w:b/>
                <w:bCs/>
                <w:color w:val="000000" w:themeColor="text1"/>
                <w:lang w:val="es"/>
              </w:rPr>
              <w:t>formación</w:t>
            </w:r>
            <w:r>
              <w:rPr>
                <w:b/>
                <w:bCs/>
                <w:color w:val="000000" w:themeColor="text1"/>
                <w:lang w:val="es"/>
              </w:rPr>
              <w:t xml:space="preserve"> sobre el clima y las ciencias de la salud</w:t>
            </w:r>
            <w:r>
              <w:rPr>
                <w:color w:val="000000" w:themeColor="text1"/>
                <w:lang w:val="es"/>
              </w:rPr>
              <w:t xml:space="preserve">, vinculación con la Academia de la OMS y otros asociados que se ocupan de la </w:t>
            </w:r>
            <w:r w:rsidR="006973B5">
              <w:rPr>
                <w:color w:val="000000" w:themeColor="text1"/>
                <w:lang w:val="es"/>
              </w:rPr>
              <w:t>formación</w:t>
            </w:r>
          </w:p>
        </w:tc>
      </w:tr>
      <w:tr w:rsidR="00D700AF" w:rsidRPr="00352B1C" w14:paraId="7DD2CD5C" w14:textId="77777777" w:rsidTr="003A2C28">
        <w:tc>
          <w:tcPr>
            <w:tcW w:w="0" w:type="auto"/>
            <w:shd w:val="clear" w:color="auto" w:fill="auto"/>
          </w:tcPr>
          <w:p w14:paraId="0450F779" w14:textId="52235352" w:rsidR="008B72C9" w:rsidRPr="00D62BCD" w:rsidDel="009479F6" w:rsidRDefault="008B72C9" w:rsidP="004E5DF6">
            <w:pPr>
              <w:pStyle w:val="ListParagraph"/>
              <w:numPr>
                <w:ilvl w:val="0"/>
                <w:numId w:val="14"/>
              </w:numPr>
              <w:spacing w:before="60" w:after="60" w:line="240" w:lineRule="auto"/>
              <w:ind w:left="594" w:hanging="567"/>
              <w:contextualSpacing w:val="0"/>
              <w:rPr>
                <w:rFonts w:ascii="Verdana" w:hAnsi="Verdana" w:cs="Arial"/>
                <w:b/>
                <w:bCs/>
                <w:color w:val="000000" w:themeColor="text1"/>
                <w:sz w:val="20"/>
                <w:szCs w:val="20"/>
                <w:lang w:val="es-ES"/>
              </w:rPr>
            </w:pPr>
            <w:r w:rsidRPr="00624225">
              <w:rPr>
                <w:rFonts w:ascii="Verdana" w:hAnsi="Verdana" w:cs="Arial"/>
                <w:b/>
                <w:bCs/>
                <w:color w:val="000000" w:themeColor="text1"/>
                <w:sz w:val="20"/>
                <w:szCs w:val="20"/>
                <w:lang w:val="es"/>
              </w:rPr>
              <w:t xml:space="preserve">Programa de becas </w:t>
            </w:r>
            <w:r w:rsidR="00514417">
              <w:rPr>
                <w:rFonts w:ascii="Verdana" w:hAnsi="Verdana" w:cs="Arial"/>
                <w:b/>
                <w:bCs/>
                <w:color w:val="000000" w:themeColor="text1"/>
                <w:sz w:val="20"/>
                <w:szCs w:val="20"/>
                <w:lang w:val="es"/>
              </w:rPr>
              <w:t xml:space="preserve">sobre </w:t>
            </w:r>
            <w:r>
              <w:rPr>
                <w:rFonts w:ascii="Verdana" w:hAnsi="Verdana" w:cs="Arial"/>
                <w:b/>
                <w:bCs/>
                <w:color w:val="000000" w:themeColor="text1"/>
                <w:sz w:val="20"/>
                <w:szCs w:val="20"/>
                <w:lang w:val="es"/>
              </w:rPr>
              <w:t>ciencia</w:t>
            </w:r>
            <w:r>
              <w:rPr>
                <w:rFonts w:ascii="Verdana" w:hAnsi="Verdana" w:cs="Arial"/>
                <w:color w:val="000000" w:themeColor="text1"/>
                <w:sz w:val="20"/>
                <w:szCs w:val="20"/>
                <w:lang w:val="es"/>
              </w:rPr>
              <w:t xml:space="preserve"> </w:t>
            </w:r>
            <w:r>
              <w:rPr>
                <w:rFonts w:ascii="Verdana" w:hAnsi="Verdana" w:cs="Arial"/>
                <w:b/>
                <w:bCs/>
                <w:color w:val="000000" w:themeColor="text1"/>
                <w:sz w:val="20"/>
                <w:szCs w:val="20"/>
                <w:lang w:val="es"/>
              </w:rPr>
              <w:t>y política para la salud y el clima</w:t>
            </w:r>
            <w:r>
              <w:rPr>
                <w:rFonts w:ascii="Verdana" w:hAnsi="Verdana" w:cs="Arial"/>
                <w:color w:val="000000" w:themeColor="text1"/>
                <w:sz w:val="20"/>
                <w:szCs w:val="20"/>
                <w:lang w:val="es"/>
              </w:rPr>
              <w:t xml:space="preserve"> </w:t>
            </w:r>
            <w:r w:rsidR="008B1D5B" w:rsidRPr="008B1D5B">
              <w:rPr>
                <w:rFonts w:ascii="Verdana" w:hAnsi="Verdana" w:cs="Arial"/>
                <w:color w:val="000000" w:themeColor="text1"/>
                <w:sz w:val="20"/>
                <w:szCs w:val="20"/>
                <w:lang w:val="es"/>
              </w:rPr>
              <w:t>con puestos de trabajo transdisciplinarios aplicados en los</w:t>
            </w:r>
            <w:r w:rsidR="003745C8">
              <w:rPr>
                <w:rFonts w:ascii="Verdana" w:hAnsi="Verdana" w:cs="Arial"/>
                <w:color w:val="000000" w:themeColor="text1"/>
                <w:sz w:val="20"/>
                <w:szCs w:val="20"/>
                <w:lang w:val="es"/>
              </w:rPr>
              <w:t xml:space="preserve"> CRC</w:t>
            </w:r>
            <w:r>
              <w:rPr>
                <w:rFonts w:ascii="Verdana" w:hAnsi="Verdana" w:cs="Arial"/>
                <w:color w:val="000000" w:themeColor="text1"/>
                <w:sz w:val="20"/>
                <w:szCs w:val="20"/>
                <w:lang w:val="es"/>
              </w:rPr>
              <w:t xml:space="preserve">, SMHN, </w:t>
            </w:r>
            <w:r w:rsidR="00420A01">
              <w:rPr>
                <w:rFonts w:ascii="Verdana" w:hAnsi="Verdana" w:cs="Arial"/>
                <w:color w:val="000000" w:themeColor="text1"/>
                <w:sz w:val="20"/>
                <w:szCs w:val="20"/>
                <w:lang w:val="es"/>
              </w:rPr>
              <w:t>Ministerios de sanidad</w:t>
            </w:r>
            <w:r>
              <w:rPr>
                <w:rFonts w:ascii="Verdana" w:hAnsi="Verdana" w:cs="Arial"/>
                <w:color w:val="000000" w:themeColor="text1"/>
                <w:sz w:val="20"/>
                <w:szCs w:val="20"/>
                <w:lang w:val="es"/>
              </w:rPr>
              <w:t xml:space="preserve"> u otras instituciones </w:t>
            </w:r>
            <w:r w:rsidR="00D6583F">
              <w:rPr>
                <w:rFonts w:ascii="Verdana" w:hAnsi="Verdana" w:cs="Arial"/>
                <w:color w:val="000000" w:themeColor="text1"/>
                <w:sz w:val="20"/>
                <w:szCs w:val="20"/>
                <w:lang w:val="es"/>
              </w:rPr>
              <w:t>correspondientes</w:t>
            </w:r>
            <w:r>
              <w:rPr>
                <w:rFonts w:ascii="Verdana" w:hAnsi="Verdana" w:cs="Arial"/>
                <w:color w:val="000000" w:themeColor="text1"/>
                <w:sz w:val="20"/>
                <w:szCs w:val="20"/>
                <w:lang w:val="es"/>
              </w:rPr>
              <w:t xml:space="preserve">, incluidos módulos de </w:t>
            </w:r>
            <w:r w:rsidR="00697B07">
              <w:rPr>
                <w:rFonts w:ascii="Verdana" w:hAnsi="Verdana" w:cs="Arial"/>
                <w:color w:val="000000" w:themeColor="text1"/>
                <w:sz w:val="20"/>
                <w:szCs w:val="20"/>
                <w:lang w:val="es"/>
              </w:rPr>
              <w:t>formación</w:t>
            </w:r>
            <w:r>
              <w:rPr>
                <w:rFonts w:ascii="Verdana" w:hAnsi="Verdana" w:cs="Arial"/>
                <w:color w:val="000000" w:themeColor="text1"/>
                <w:sz w:val="20"/>
                <w:szCs w:val="20"/>
                <w:lang w:val="es"/>
              </w:rPr>
              <w:t xml:space="preserve">; </w:t>
            </w:r>
            <w:r w:rsidR="00D6583F" w:rsidRPr="00D6583F">
              <w:rPr>
                <w:rFonts w:ascii="Verdana" w:hAnsi="Verdana" w:cs="Arial"/>
                <w:color w:val="000000" w:themeColor="text1"/>
                <w:sz w:val="20"/>
                <w:szCs w:val="20"/>
                <w:lang w:val="es"/>
              </w:rPr>
              <w:t xml:space="preserve">colaboración y sinergia con los </w:t>
            </w:r>
            <w:r w:rsidR="00D6583F">
              <w:rPr>
                <w:rFonts w:ascii="Verdana" w:hAnsi="Verdana" w:cs="Arial"/>
                <w:color w:val="000000" w:themeColor="text1"/>
                <w:sz w:val="20"/>
                <w:szCs w:val="20"/>
                <w:lang w:val="es"/>
              </w:rPr>
              <w:t>asociados</w:t>
            </w:r>
            <w:r w:rsidR="00D6583F" w:rsidRPr="00D6583F">
              <w:rPr>
                <w:rFonts w:ascii="Verdana" w:hAnsi="Verdana" w:cs="Arial"/>
                <w:color w:val="000000" w:themeColor="text1"/>
                <w:sz w:val="20"/>
                <w:szCs w:val="20"/>
                <w:lang w:val="es"/>
              </w:rPr>
              <w:t xml:space="preserve"> y el programa de becas de la OMM</w:t>
            </w:r>
          </w:p>
        </w:tc>
        <w:tc>
          <w:tcPr>
            <w:tcW w:w="0" w:type="auto"/>
            <w:shd w:val="clear" w:color="auto" w:fill="auto"/>
          </w:tcPr>
          <w:p w14:paraId="31329D8C" w14:textId="77777777" w:rsidR="008B72C9" w:rsidRPr="00D62BCD" w:rsidDel="00D14666" w:rsidRDefault="008B72C9" w:rsidP="004E5DF6">
            <w:pPr>
              <w:spacing w:before="60" w:after="60"/>
              <w:jc w:val="left"/>
              <w:rPr>
                <w:color w:val="000000" w:themeColor="text1"/>
                <w:lang w:val="es-ES"/>
              </w:rPr>
            </w:pPr>
            <w:r>
              <w:rPr>
                <w:color w:val="000000" w:themeColor="text1"/>
                <w:lang w:val="es"/>
              </w:rPr>
              <w:t>Programa de becas de la OMM, colaboradores y gobiernos</w:t>
            </w:r>
          </w:p>
        </w:tc>
      </w:tr>
      <w:tr w:rsidR="00D700AF" w:rsidRPr="00352B1C" w14:paraId="580C1BE4" w14:textId="77777777" w:rsidTr="003A2C28">
        <w:tc>
          <w:tcPr>
            <w:tcW w:w="0" w:type="auto"/>
            <w:shd w:val="clear" w:color="auto" w:fill="auto"/>
          </w:tcPr>
          <w:p w14:paraId="1B1D49E5" w14:textId="1050F1D8" w:rsidR="008B72C9" w:rsidRPr="00D62BCD" w:rsidDel="00D14666" w:rsidRDefault="004A397A" w:rsidP="004E5DF6">
            <w:pPr>
              <w:pStyle w:val="ListParagraph"/>
              <w:numPr>
                <w:ilvl w:val="0"/>
                <w:numId w:val="14"/>
              </w:numPr>
              <w:spacing w:after="0" w:line="240" w:lineRule="auto"/>
              <w:ind w:left="594" w:hanging="567"/>
              <w:contextualSpacing w:val="0"/>
              <w:rPr>
                <w:rFonts w:ascii="Verdana" w:hAnsi="Verdana" w:cs="Arial"/>
                <w:b/>
                <w:bCs/>
                <w:color w:val="000000" w:themeColor="text1"/>
                <w:sz w:val="20"/>
                <w:szCs w:val="20"/>
                <w:lang w:val="es-ES"/>
              </w:rPr>
            </w:pPr>
            <w:r w:rsidRPr="004A397A">
              <w:rPr>
                <w:rFonts w:ascii="Verdana" w:hAnsi="Verdana" w:cs="Arial"/>
                <w:b/>
                <w:bCs/>
                <w:color w:val="000000" w:themeColor="text1"/>
                <w:sz w:val="20"/>
                <w:szCs w:val="20"/>
                <w:lang w:val="es"/>
              </w:rPr>
              <w:t>Programa transdisciplinar de apoyo al desarrollo de la carrera profesional</w:t>
            </w:r>
          </w:p>
        </w:tc>
        <w:tc>
          <w:tcPr>
            <w:tcW w:w="0" w:type="auto"/>
            <w:shd w:val="clear" w:color="auto" w:fill="auto"/>
          </w:tcPr>
          <w:p w14:paraId="4DA89940" w14:textId="5EF864AE" w:rsidR="008B72C9" w:rsidRPr="00D62BCD" w:rsidRDefault="0061589E" w:rsidP="004E5DF6">
            <w:pPr>
              <w:jc w:val="left"/>
              <w:rPr>
                <w:color w:val="000000" w:themeColor="text1"/>
                <w:lang w:val="es-ES"/>
              </w:rPr>
            </w:pPr>
            <w:r>
              <w:rPr>
                <w:b/>
                <w:bCs/>
                <w:color w:val="000000" w:themeColor="text1"/>
                <w:lang w:val="es"/>
              </w:rPr>
              <w:t>Programa de adscripciones y agrupación de c</w:t>
            </w:r>
            <w:r w:rsidR="004A397A">
              <w:rPr>
                <w:b/>
                <w:bCs/>
                <w:color w:val="000000" w:themeColor="text1"/>
                <w:lang w:val="es"/>
              </w:rPr>
              <w:t>oordinadores</w:t>
            </w:r>
            <w:r w:rsidR="008B72C9">
              <w:rPr>
                <w:b/>
                <w:bCs/>
                <w:color w:val="000000" w:themeColor="text1"/>
                <w:lang w:val="es"/>
              </w:rPr>
              <w:t xml:space="preserve"> técnicos del </w:t>
            </w:r>
            <w:r w:rsidR="00EA1F9E" w:rsidRPr="00EA1F9E">
              <w:rPr>
                <w:b/>
                <w:bCs/>
                <w:color w:val="000000" w:themeColor="text1"/>
                <w:lang w:val="es"/>
              </w:rPr>
              <w:t>SMHN</w:t>
            </w:r>
            <w:r w:rsidR="008B72C9">
              <w:rPr>
                <w:b/>
                <w:bCs/>
                <w:color w:val="000000" w:themeColor="text1"/>
                <w:lang w:val="es"/>
              </w:rPr>
              <w:t>/</w:t>
            </w:r>
            <w:r w:rsidR="008A3939">
              <w:rPr>
                <w:b/>
                <w:bCs/>
                <w:color w:val="000000" w:themeColor="text1"/>
                <w:lang w:val="es"/>
              </w:rPr>
              <w:t>CRC</w:t>
            </w:r>
            <w:r w:rsidR="008B72C9">
              <w:rPr>
                <w:b/>
                <w:bCs/>
                <w:color w:val="000000" w:themeColor="text1"/>
                <w:lang w:val="es"/>
              </w:rPr>
              <w:t xml:space="preserve"> </w:t>
            </w:r>
            <w:r w:rsidR="008B72C9">
              <w:rPr>
                <w:color w:val="000000" w:themeColor="text1"/>
                <w:lang w:val="es"/>
              </w:rPr>
              <w:t>a organismos y asociados</w:t>
            </w:r>
            <w:r w:rsidR="009D2FFF">
              <w:rPr>
                <w:color w:val="000000" w:themeColor="text1"/>
                <w:lang w:val="es"/>
              </w:rPr>
              <w:t xml:space="preserve"> en materia de salud;</w:t>
            </w:r>
            <w:r w:rsidR="008B72C9">
              <w:rPr>
                <w:color w:val="000000" w:themeColor="text1"/>
                <w:lang w:val="es"/>
              </w:rPr>
              <w:t xml:space="preserve"> Programa de becas de la OMM</w:t>
            </w:r>
            <w:r w:rsidR="009D2FFF">
              <w:rPr>
                <w:color w:val="000000" w:themeColor="text1"/>
                <w:lang w:val="es"/>
              </w:rPr>
              <w:t>;</w:t>
            </w:r>
            <w:r w:rsidR="008B72C9">
              <w:rPr>
                <w:color w:val="000000" w:themeColor="text1"/>
                <w:lang w:val="es"/>
              </w:rPr>
              <w:t xml:space="preserve"> asociados colaboradores y gobiernos</w:t>
            </w:r>
          </w:p>
        </w:tc>
      </w:tr>
      <w:tr w:rsidR="008B72C9" w:rsidRPr="004D0E4B" w14:paraId="2FF7AE1E" w14:textId="77777777" w:rsidTr="003A2C28">
        <w:tc>
          <w:tcPr>
            <w:tcW w:w="0" w:type="auto"/>
            <w:gridSpan w:val="2"/>
            <w:shd w:val="clear" w:color="auto" w:fill="365F91" w:themeFill="accent1" w:themeFillShade="BF"/>
            <w:vAlign w:val="center"/>
          </w:tcPr>
          <w:p w14:paraId="6396EC64" w14:textId="0F95BB7A" w:rsidR="008B72C9" w:rsidRPr="004D0E4B" w:rsidRDefault="005143CA" w:rsidP="00DB21DE">
            <w:pPr>
              <w:spacing w:line="276" w:lineRule="auto"/>
              <w:ind w:left="360"/>
              <w:jc w:val="center"/>
              <w:rPr>
                <w:b/>
                <w:bCs/>
                <w:color w:val="FFFFFF" w:themeColor="background1"/>
              </w:rPr>
            </w:pPr>
            <w:r>
              <w:rPr>
                <w:b/>
                <w:bCs/>
                <w:color w:val="FFFFFF" w:themeColor="background1"/>
                <w:lang w:val="es"/>
              </w:rPr>
              <w:t>TRANSMISIÓN DE INFORMACIÓN</w:t>
            </w:r>
          </w:p>
        </w:tc>
      </w:tr>
      <w:tr w:rsidR="008B72C9" w:rsidRPr="00352B1C" w14:paraId="57CD58DA" w14:textId="77777777" w:rsidTr="003A2C28">
        <w:tc>
          <w:tcPr>
            <w:tcW w:w="0" w:type="auto"/>
            <w:gridSpan w:val="2"/>
            <w:shd w:val="clear" w:color="auto" w:fill="DBE5F1" w:themeFill="accent1" w:themeFillTint="33"/>
            <w:vAlign w:val="center"/>
          </w:tcPr>
          <w:p w14:paraId="4BDF7D0E" w14:textId="12F155D3" w:rsidR="008B72C9" w:rsidRPr="00D62BCD" w:rsidRDefault="00514417" w:rsidP="004E5DF6">
            <w:pPr>
              <w:jc w:val="left"/>
              <w:rPr>
                <w:color w:val="000000" w:themeColor="text1"/>
                <w:lang w:val="es-ES"/>
              </w:rPr>
            </w:pPr>
            <w:r w:rsidRPr="00514417">
              <w:rPr>
                <w:b/>
                <w:bCs/>
                <w:lang w:val="es"/>
              </w:rPr>
              <w:t>Objetivo</w:t>
            </w:r>
            <w:r w:rsidR="008B72C9" w:rsidRPr="00514417">
              <w:rPr>
                <w:b/>
                <w:bCs/>
                <w:lang w:val="es"/>
              </w:rPr>
              <w:t>:</w:t>
            </w:r>
            <w:r w:rsidR="008B72C9">
              <w:rPr>
                <w:color w:val="000000" w:themeColor="text1"/>
                <w:lang w:val="es"/>
              </w:rPr>
              <w:t xml:space="preserve"> </w:t>
            </w:r>
            <w:r w:rsidR="007D41B2" w:rsidRPr="007D41B2">
              <w:rPr>
                <w:color w:val="000000" w:themeColor="text1"/>
                <w:lang w:val="es"/>
              </w:rPr>
              <w:t>Apoyar la toma de decisiones y el cambio de comportamiento de los ciudadanos, l</w:t>
            </w:r>
            <w:r w:rsidR="005A5D90">
              <w:rPr>
                <w:color w:val="000000" w:themeColor="text1"/>
                <w:lang w:val="es"/>
              </w:rPr>
              <w:t xml:space="preserve">as organizaciones </w:t>
            </w:r>
            <w:r w:rsidR="007D41B2" w:rsidRPr="007D41B2">
              <w:rPr>
                <w:color w:val="000000" w:themeColor="text1"/>
                <w:lang w:val="es"/>
              </w:rPr>
              <w:t xml:space="preserve">de la sociedad civil y el Gobierno, </w:t>
            </w:r>
            <w:r w:rsidR="005143CA">
              <w:rPr>
                <w:color w:val="000000" w:themeColor="text1"/>
                <w:lang w:val="es"/>
              </w:rPr>
              <w:t>transmitiendo</w:t>
            </w:r>
            <w:r w:rsidR="007D41B2" w:rsidRPr="007D41B2">
              <w:rPr>
                <w:color w:val="000000" w:themeColor="text1"/>
                <w:lang w:val="es"/>
              </w:rPr>
              <w:t xml:space="preserve"> de forma más eficaz </w:t>
            </w:r>
            <w:r w:rsidR="00652703">
              <w:rPr>
                <w:color w:val="000000" w:themeColor="text1"/>
                <w:lang w:val="es"/>
              </w:rPr>
              <w:t>la información sobre los</w:t>
            </w:r>
            <w:r w:rsidR="007D41B2" w:rsidRPr="007D41B2">
              <w:rPr>
                <w:color w:val="000000" w:themeColor="text1"/>
                <w:lang w:val="es"/>
              </w:rPr>
              <w:t xml:space="preserve"> riesgos del clima para la salud, la ciencia disponible y las soluciones basadas en pruebas</w:t>
            </w:r>
            <w:r w:rsidR="008B72C9">
              <w:rPr>
                <w:color w:val="000000" w:themeColor="text1"/>
                <w:lang w:val="es"/>
              </w:rPr>
              <w:t>.</w:t>
            </w:r>
          </w:p>
        </w:tc>
      </w:tr>
      <w:tr w:rsidR="008B72C9" w:rsidRPr="00352B1C" w14:paraId="561F56EA" w14:textId="77777777" w:rsidTr="003A2C28">
        <w:tc>
          <w:tcPr>
            <w:tcW w:w="0" w:type="auto"/>
            <w:gridSpan w:val="2"/>
            <w:shd w:val="clear" w:color="auto" w:fill="B8CCE4" w:themeFill="accent1" w:themeFillTint="66"/>
            <w:vAlign w:val="center"/>
          </w:tcPr>
          <w:p w14:paraId="707BBD70" w14:textId="22889349" w:rsidR="008B72C9" w:rsidRPr="00D62BCD" w:rsidRDefault="008B72C9" w:rsidP="00053962">
            <w:pPr>
              <w:jc w:val="left"/>
              <w:rPr>
                <w:b/>
                <w:bCs/>
                <w:color w:val="000000" w:themeColor="text1"/>
                <w:lang w:val="es-ES"/>
              </w:rPr>
            </w:pPr>
            <w:r>
              <w:rPr>
                <w:b/>
                <w:bCs/>
                <w:lang w:val="es"/>
              </w:rPr>
              <w:t xml:space="preserve">Declaración de </w:t>
            </w:r>
            <w:r w:rsidR="00CF4CF4">
              <w:rPr>
                <w:b/>
                <w:bCs/>
                <w:lang w:val="es"/>
              </w:rPr>
              <w:t>s</w:t>
            </w:r>
            <w:r>
              <w:rPr>
                <w:b/>
                <w:bCs/>
                <w:lang w:val="es"/>
              </w:rPr>
              <w:t>olución:</w:t>
            </w:r>
            <w:r>
              <w:rPr>
                <w:lang w:val="es"/>
              </w:rPr>
              <w:t xml:space="preserve"> </w:t>
            </w:r>
            <w:r>
              <w:rPr>
                <w:color w:val="000000" w:themeColor="text1"/>
                <w:lang w:val="es"/>
              </w:rPr>
              <w:t xml:space="preserve">La </w:t>
            </w:r>
            <w:r w:rsidR="000B4D3D">
              <w:rPr>
                <w:color w:val="000000" w:themeColor="text1"/>
                <w:lang w:val="es"/>
              </w:rPr>
              <w:t>concienciación</w:t>
            </w:r>
            <w:r>
              <w:rPr>
                <w:color w:val="000000" w:themeColor="text1"/>
                <w:lang w:val="es"/>
              </w:rPr>
              <w:t xml:space="preserve"> sobre los efectos del cambio climático en la salud y las adaptaciones disponibles para proteger a las personas, las comunidades y los sistemas de salud es un requisito fundamental para prepararse para un mundo que se está calentando. Los profesionales de las ciencias y los servicios del clima y la salud (por ejemplo, los funcionarios de salud pública, los planificadores de los sistemas de atención de la salud, los profesionales de la salud de las comunidades, los meteorólogos y los científicos del </w:t>
            </w:r>
            <w:r w:rsidR="001B3C90">
              <w:rPr>
                <w:color w:val="000000" w:themeColor="text1"/>
                <w:lang w:val="es"/>
              </w:rPr>
              <w:t xml:space="preserve">ámbito del </w:t>
            </w:r>
            <w:r>
              <w:rPr>
                <w:color w:val="000000" w:themeColor="text1"/>
                <w:lang w:val="es"/>
              </w:rPr>
              <w:t xml:space="preserve">clima) desempeñan </w:t>
            </w:r>
            <w:r w:rsidR="0059535E">
              <w:rPr>
                <w:color w:val="000000" w:themeColor="text1"/>
                <w:lang w:val="es"/>
              </w:rPr>
              <w:t>un papel principal</w:t>
            </w:r>
            <w:r>
              <w:rPr>
                <w:color w:val="000000" w:themeColor="text1"/>
                <w:lang w:val="es"/>
              </w:rPr>
              <w:t xml:space="preserve"> en las actividades locales y nacionales de preparación para hacer frente a los efectos </w:t>
            </w:r>
            <w:r w:rsidR="008C6955">
              <w:rPr>
                <w:color w:val="000000" w:themeColor="text1"/>
                <w:lang w:val="es"/>
              </w:rPr>
              <w:t>mediante</w:t>
            </w:r>
            <w:r>
              <w:rPr>
                <w:color w:val="000000" w:themeColor="text1"/>
                <w:lang w:val="es"/>
              </w:rPr>
              <w:t xml:space="preserve"> la adaptación y son importantes asociados en las actividades encaminadas a reducir las emisiones de </w:t>
            </w:r>
            <w:r w:rsidR="00CB2617">
              <w:rPr>
                <w:color w:val="000000" w:themeColor="text1"/>
                <w:lang w:val="es"/>
              </w:rPr>
              <w:t xml:space="preserve">los </w:t>
            </w:r>
            <w:r w:rsidR="00CB2617" w:rsidRPr="00CB2617">
              <w:rPr>
                <w:color w:val="000000" w:themeColor="text1"/>
                <w:lang w:val="es"/>
              </w:rPr>
              <w:t>gases de efecto invernadero</w:t>
            </w:r>
            <w:r>
              <w:rPr>
                <w:color w:val="000000" w:themeColor="text1"/>
                <w:lang w:val="es"/>
              </w:rPr>
              <w:t xml:space="preserve">, </w:t>
            </w:r>
            <w:r w:rsidR="008D3BC0" w:rsidRPr="008D3BC0">
              <w:rPr>
                <w:color w:val="000000" w:themeColor="text1"/>
                <w:lang w:val="es"/>
              </w:rPr>
              <w:t xml:space="preserve">incluso a través de la transición a sistemas sanitarios </w:t>
            </w:r>
            <w:r w:rsidR="008D3BC0">
              <w:rPr>
                <w:color w:val="000000" w:themeColor="text1"/>
                <w:lang w:val="es"/>
              </w:rPr>
              <w:t>que produzcan</w:t>
            </w:r>
            <w:r w:rsidR="008D3BC0" w:rsidRPr="008D3BC0">
              <w:rPr>
                <w:color w:val="000000" w:themeColor="text1"/>
                <w:lang w:val="es"/>
              </w:rPr>
              <w:t xml:space="preserve"> bajas emisiones de carbono</w:t>
            </w:r>
            <w:r>
              <w:rPr>
                <w:color w:val="000000" w:themeColor="text1"/>
                <w:lang w:val="es"/>
              </w:rPr>
              <w:t xml:space="preserve">. Las partes interesadas dentro de la comunidad </w:t>
            </w:r>
            <w:r w:rsidR="00A86036">
              <w:rPr>
                <w:color w:val="000000" w:themeColor="text1"/>
                <w:lang w:val="es"/>
              </w:rPr>
              <w:t xml:space="preserve">del ámbito </w:t>
            </w:r>
            <w:r>
              <w:rPr>
                <w:color w:val="000000" w:themeColor="text1"/>
                <w:lang w:val="es"/>
              </w:rPr>
              <w:t xml:space="preserve">de la salud son variadas y desempeñan múltiples funciones como público </w:t>
            </w:r>
            <w:r w:rsidR="00CF01BF">
              <w:rPr>
                <w:color w:val="000000" w:themeColor="text1"/>
                <w:lang w:val="es"/>
              </w:rPr>
              <w:t>destinatario</w:t>
            </w:r>
            <w:r>
              <w:rPr>
                <w:color w:val="000000" w:themeColor="text1"/>
                <w:lang w:val="es"/>
              </w:rPr>
              <w:t xml:space="preserve"> </w:t>
            </w:r>
            <w:r w:rsidR="00FA63B7">
              <w:rPr>
                <w:color w:val="000000" w:themeColor="text1"/>
                <w:lang w:val="es"/>
              </w:rPr>
              <w:t>en lo que respecta a</w:t>
            </w:r>
            <w:r>
              <w:rPr>
                <w:color w:val="000000" w:themeColor="text1"/>
                <w:lang w:val="es"/>
              </w:rPr>
              <w:t xml:space="preserve"> la asociación y la </w:t>
            </w:r>
            <w:r w:rsidR="005143CA">
              <w:rPr>
                <w:color w:val="000000" w:themeColor="text1"/>
                <w:lang w:val="es"/>
              </w:rPr>
              <w:t>transmisión de información</w:t>
            </w:r>
            <w:r>
              <w:rPr>
                <w:color w:val="000000" w:themeColor="text1"/>
                <w:lang w:val="es"/>
              </w:rPr>
              <w:t xml:space="preserve">. Sin embargo, estos </w:t>
            </w:r>
            <w:r w:rsidR="00BE5E58">
              <w:rPr>
                <w:color w:val="000000" w:themeColor="text1"/>
                <w:lang w:val="es"/>
              </w:rPr>
              <w:t>actores en materia</w:t>
            </w:r>
            <w:r>
              <w:rPr>
                <w:color w:val="000000" w:themeColor="text1"/>
                <w:lang w:val="es"/>
              </w:rPr>
              <w:t xml:space="preserve"> de salud desempeñan una función básica de </w:t>
            </w:r>
            <w:r w:rsidR="00344893">
              <w:rPr>
                <w:color w:val="000000" w:themeColor="text1"/>
                <w:lang w:val="es"/>
              </w:rPr>
              <w:t>transmisión de información</w:t>
            </w:r>
            <w:r>
              <w:rPr>
                <w:color w:val="000000" w:themeColor="text1"/>
                <w:lang w:val="es"/>
              </w:rPr>
              <w:t xml:space="preserve"> sobre el cambio climático para muchos destinatarios, por ejemplo, </w:t>
            </w:r>
            <w:r w:rsidR="00DF327A">
              <w:rPr>
                <w:color w:val="000000" w:themeColor="text1"/>
                <w:lang w:val="es"/>
              </w:rPr>
              <w:t xml:space="preserve">para </w:t>
            </w:r>
            <w:r w:rsidR="0081738C">
              <w:rPr>
                <w:color w:val="000000" w:themeColor="text1"/>
                <w:lang w:val="es"/>
              </w:rPr>
              <w:t xml:space="preserve">los ciudadanos </w:t>
            </w:r>
            <w:r>
              <w:rPr>
                <w:color w:val="000000" w:themeColor="text1"/>
                <w:lang w:val="es"/>
              </w:rPr>
              <w:t>a través de alertas y advertencias meteorológicas</w:t>
            </w:r>
            <w:r w:rsidR="00DF327A">
              <w:rPr>
                <w:color w:val="000000" w:themeColor="text1"/>
                <w:lang w:val="es"/>
              </w:rPr>
              <w:t>;</w:t>
            </w:r>
            <w:r>
              <w:rPr>
                <w:color w:val="000000" w:themeColor="text1"/>
                <w:lang w:val="es"/>
              </w:rPr>
              <w:t xml:space="preserve"> las partes interesadas de la comunidad para concienciar sobre la necesidad de proteger a las poblaciones vulnerables de los riesgos crecientes</w:t>
            </w:r>
            <w:r w:rsidR="00DF327A">
              <w:rPr>
                <w:color w:val="000000" w:themeColor="text1"/>
                <w:lang w:val="es"/>
              </w:rPr>
              <w:t>;</w:t>
            </w:r>
            <w:r>
              <w:rPr>
                <w:color w:val="000000" w:themeColor="text1"/>
                <w:lang w:val="es"/>
              </w:rPr>
              <w:t xml:space="preserve"> y los responsables de la adopción de decisiones gubernamentales sobre los impactos previstos en la salud para ayudar a planificar las respuestas futuras. Mediante la creación de un equipo de trabajo mundial de expertos, un plan de </w:t>
            </w:r>
            <w:r w:rsidR="00344893">
              <w:rPr>
                <w:color w:val="000000" w:themeColor="text1"/>
                <w:lang w:val="es"/>
              </w:rPr>
              <w:t>transmisión de información</w:t>
            </w:r>
            <w:r>
              <w:rPr>
                <w:color w:val="000000" w:themeColor="text1"/>
                <w:lang w:val="es"/>
              </w:rPr>
              <w:t xml:space="preserve"> sobre </w:t>
            </w:r>
            <w:r w:rsidR="00694C1E">
              <w:rPr>
                <w:color w:val="000000" w:themeColor="text1"/>
                <w:lang w:val="es"/>
              </w:rPr>
              <w:t xml:space="preserve">la </w:t>
            </w:r>
            <w:r>
              <w:rPr>
                <w:color w:val="000000" w:themeColor="text1"/>
                <w:lang w:val="es"/>
              </w:rPr>
              <w:t xml:space="preserve">ciencia del clima y salud, un conjunto de herramientas de </w:t>
            </w:r>
            <w:r w:rsidR="00344893">
              <w:rPr>
                <w:color w:val="000000" w:themeColor="text1"/>
                <w:lang w:val="es"/>
              </w:rPr>
              <w:t>transmisión de información</w:t>
            </w:r>
            <w:r>
              <w:rPr>
                <w:color w:val="000000" w:themeColor="text1"/>
                <w:lang w:val="es"/>
              </w:rPr>
              <w:t xml:space="preserve"> y asociaciones correspondientes, y la orientación de la plataforma en línea</w:t>
            </w:r>
            <w:r w:rsidR="00CF4CF4">
              <w:rPr>
                <w:color w:val="000000" w:themeColor="text1"/>
                <w:lang w:val="es"/>
              </w:rPr>
              <w:t>:</w:t>
            </w:r>
            <w:r>
              <w:rPr>
                <w:color w:val="000000" w:themeColor="text1"/>
                <w:lang w:val="es"/>
              </w:rPr>
              <w:t xml:space="preserve"> www.climahealth.info y otros </w:t>
            </w:r>
            <w:r>
              <w:rPr>
                <w:color w:val="000000" w:themeColor="text1"/>
                <w:lang w:val="es"/>
              </w:rPr>
              <w:lastRenderedPageBreak/>
              <w:t xml:space="preserve">canales de difusión, se pueden reducir los obstáculos a la </w:t>
            </w:r>
            <w:r w:rsidR="00E55544">
              <w:rPr>
                <w:color w:val="000000" w:themeColor="text1"/>
                <w:lang w:val="es"/>
              </w:rPr>
              <w:t>transmisión de información</w:t>
            </w:r>
            <w:r>
              <w:rPr>
                <w:color w:val="000000" w:themeColor="text1"/>
                <w:lang w:val="es"/>
              </w:rPr>
              <w:t xml:space="preserve"> para mejorar la capacidad y </w:t>
            </w:r>
            <w:r w:rsidR="00E55544">
              <w:rPr>
                <w:color w:val="000000" w:themeColor="text1"/>
                <w:lang w:val="es"/>
              </w:rPr>
              <w:t>los efectos</w:t>
            </w:r>
            <w:r>
              <w:rPr>
                <w:color w:val="000000" w:themeColor="text1"/>
                <w:lang w:val="es"/>
              </w:rPr>
              <w:t>.</w:t>
            </w:r>
          </w:p>
        </w:tc>
      </w:tr>
      <w:tr w:rsidR="00D700AF" w:rsidRPr="004D0E4B" w14:paraId="6FA635F2" w14:textId="77777777" w:rsidTr="003A2C28">
        <w:tc>
          <w:tcPr>
            <w:tcW w:w="0" w:type="auto"/>
            <w:shd w:val="clear" w:color="auto" w:fill="4F81BD" w:themeFill="accent1"/>
            <w:vAlign w:val="center"/>
          </w:tcPr>
          <w:p w14:paraId="0B563823" w14:textId="77777777" w:rsidR="008B72C9" w:rsidRPr="004D0E4B" w:rsidRDefault="008B72C9" w:rsidP="00DB21DE">
            <w:pPr>
              <w:spacing w:line="276" w:lineRule="auto"/>
              <w:ind w:left="360"/>
              <w:jc w:val="center"/>
              <w:rPr>
                <w:b/>
                <w:bCs/>
                <w:color w:val="FFFFFF" w:themeColor="background1"/>
              </w:rPr>
            </w:pPr>
            <w:r>
              <w:rPr>
                <w:b/>
                <w:bCs/>
                <w:color w:val="FFFFFF" w:themeColor="background1"/>
                <w:lang w:val="es"/>
              </w:rPr>
              <w:lastRenderedPageBreak/>
              <w:t xml:space="preserve">ACTIVIDADES PROPUESTAS </w:t>
            </w:r>
          </w:p>
        </w:tc>
        <w:tc>
          <w:tcPr>
            <w:tcW w:w="0" w:type="auto"/>
            <w:shd w:val="clear" w:color="auto" w:fill="4F81BD" w:themeFill="accent1"/>
            <w:vAlign w:val="center"/>
          </w:tcPr>
          <w:p w14:paraId="05B44420" w14:textId="77777777" w:rsidR="008B72C9" w:rsidRPr="004D0E4B" w:rsidRDefault="00211B6C" w:rsidP="00DB21DE">
            <w:pPr>
              <w:spacing w:line="276" w:lineRule="auto"/>
              <w:ind w:left="360"/>
              <w:jc w:val="center"/>
              <w:rPr>
                <w:b/>
                <w:bCs/>
                <w:color w:val="FFFFFF" w:themeColor="background1"/>
              </w:rPr>
            </w:pPr>
            <w:r>
              <w:rPr>
                <w:b/>
                <w:bCs/>
                <w:color w:val="FFFFFF" w:themeColor="background1"/>
                <w:lang w:val="es"/>
              </w:rPr>
              <w:t>POSIBLES MECANISMOS DE APOYO</w:t>
            </w:r>
          </w:p>
        </w:tc>
      </w:tr>
      <w:tr w:rsidR="00D700AF" w:rsidRPr="00352B1C" w14:paraId="301A72D0" w14:textId="77777777" w:rsidTr="003A2C28">
        <w:tc>
          <w:tcPr>
            <w:tcW w:w="0" w:type="auto"/>
            <w:shd w:val="clear" w:color="auto" w:fill="auto"/>
          </w:tcPr>
          <w:p w14:paraId="56707934" w14:textId="0A07A175" w:rsidR="008B72C9" w:rsidRPr="00D62BCD" w:rsidRDefault="008B72C9" w:rsidP="00053962">
            <w:pPr>
              <w:pStyle w:val="ListParagraph"/>
              <w:numPr>
                <w:ilvl w:val="0"/>
                <w:numId w:val="15"/>
              </w:numPr>
              <w:spacing w:after="0" w:line="240" w:lineRule="auto"/>
              <w:ind w:left="594" w:hanging="594"/>
              <w:contextualSpacing w:val="0"/>
              <w:rPr>
                <w:rFonts w:ascii="Verdana" w:eastAsia="Calibri" w:hAnsi="Verdana" w:cs="Arial"/>
                <w:b/>
                <w:bCs/>
                <w:color w:val="000000" w:themeColor="text1"/>
                <w:sz w:val="20"/>
                <w:szCs w:val="20"/>
                <w:lang w:val="es-ES"/>
              </w:rPr>
            </w:pPr>
            <w:r>
              <w:rPr>
                <w:rFonts w:ascii="Verdana" w:eastAsia="Calibri" w:hAnsi="Verdana" w:cs="Arial"/>
                <w:color w:val="000000" w:themeColor="text1"/>
                <w:sz w:val="20"/>
                <w:szCs w:val="20"/>
                <w:lang w:val="es"/>
              </w:rPr>
              <w:t xml:space="preserve">Desarrollar </w:t>
            </w:r>
            <w:r w:rsidR="00A47141">
              <w:rPr>
                <w:rFonts w:ascii="Verdana" w:eastAsia="Calibri" w:hAnsi="Verdana" w:cs="Arial"/>
                <w:color w:val="000000" w:themeColor="text1"/>
                <w:sz w:val="20"/>
                <w:szCs w:val="20"/>
                <w:lang w:val="es"/>
              </w:rPr>
              <w:t xml:space="preserve">la participación </w:t>
            </w:r>
            <w:r w:rsidR="00A65182">
              <w:rPr>
                <w:rFonts w:ascii="Verdana" w:eastAsia="Calibri" w:hAnsi="Verdana" w:cs="Arial"/>
                <w:color w:val="000000" w:themeColor="text1"/>
                <w:sz w:val="20"/>
                <w:szCs w:val="20"/>
                <w:lang w:val="es"/>
              </w:rPr>
              <w:t xml:space="preserve">estratégica </w:t>
            </w:r>
            <w:r w:rsidR="00A47141">
              <w:rPr>
                <w:rFonts w:ascii="Verdana" w:eastAsia="Calibri" w:hAnsi="Verdana" w:cs="Arial"/>
                <w:color w:val="000000" w:themeColor="text1"/>
                <w:sz w:val="20"/>
                <w:szCs w:val="20"/>
                <w:lang w:val="es"/>
              </w:rPr>
              <w:t xml:space="preserve">en la </w:t>
            </w:r>
            <w:r w:rsidR="00046276">
              <w:rPr>
                <w:rFonts w:ascii="Verdana" w:eastAsia="Calibri" w:hAnsi="Verdana" w:cs="Arial"/>
                <w:color w:val="000000" w:themeColor="text1"/>
                <w:sz w:val="20"/>
                <w:szCs w:val="20"/>
                <w:lang w:val="es"/>
              </w:rPr>
              <w:t>transmisión</w:t>
            </w:r>
            <w:r w:rsidR="00A65182">
              <w:rPr>
                <w:rFonts w:ascii="Verdana" w:eastAsia="Calibri" w:hAnsi="Verdana" w:cs="Arial"/>
                <w:color w:val="000000" w:themeColor="text1"/>
                <w:sz w:val="20"/>
                <w:szCs w:val="20"/>
                <w:lang w:val="es"/>
              </w:rPr>
              <w:t xml:space="preserve"> de información </w:t>
            </w:r>
            <w:r>
              <w:rPr>
                <w:rFonts w:ascii="Verdana" w:eastAsia="Calibri" w:hAnsi="Verdana" w:cs="Arial"/>
                <w:color w:val="000000" w:themeColor="text1"/>
                <w:sz w:val="20"/>
                <w:szCs w:val="20"/>
                <w:lang w:val="es"/>
              </w:rPr>
              <w:t xml:space="preserve">y un </w:t>
            </w:r>
            <w:r w:rsidR="00A65182">
              <w:rPr>
                <w:rFonts w:ascii="Verdana" w:eastAsia="Calibri" w:hAnsi="Verdana" w:cs="Arial"/>
                <w:color w:val="000000" w:themeColor="text1"/>
                <w:sz w:val="20"/>
                <w:szCs w:val="20"/>
                <w:lang w:val="es"/>
              </w:rPr>
              <w:t>p</w:t>
            </w:r>
            <w:r>
              <w:rPr>
                <w:rFonts w:ascii="Verdana" w:eastAsia="Calibri" w:hAnsi="Verdana" w:cs="Arial"/>
                <w:color w:val="000000" w:themeColor="text1"/>
                <w:sz w:val="20"/>
                <w:szCs w:val="20"/>
                <w:lang w:val="es"/>
              </w:rPr>
              <w:t xml:space="preserve">lan de </w:t>
            </w:r>
            <w:r w:rsidR="0026182E">
              <w:rPr>
                <w:rFonts w:ascii="Verdana" w:eastAsia="Calibri" w:hAnsi="Verdana" w:cs="Arial"/>
                <w:color w:val="000000" w:themeColor="text1"/>
                <w:sz w:val="20"/>
                <w:szCs w:val="20"/>
                <w:lang w:val="es"/>
              </w:rPr>
              <w:t>acción</w:t>
            </w:r>
            <w:r>
              <w:rPr>
                <w:rFonts w:ascii="Verdana" w:eastAsia="Calibri" w:hAnsi="Verdana" w:cs="Arial"/>
                <w:color w:val="000000" w:themeColor="text1"/>
                <w:sz w:val="20"/>
                <w:szCs w:val="20"/>
                <w:lang w:val="es"/>
              </w:rPr>
              <w:t xml:space="preserve"> que incluya 1) </w:t>
            </w:r>
            <w:r w:rsidR="0026182E">
              <w:rPr>
                <w:rFonts w:ascii="Verdana" w:eastAsia="Calibri" w:hAnsi="Verdana" w:cs="Arial"/>
                <w:color w:val="000000" w:themeColor="text1"/>
                <w:sz w:val="20"/>
                <w:szCs w:val="20"/>
                <w:lang w:val="es"/>
              </w:rPr>
              <w:t xml:space="preserve">a </w:t>
            </w:r>
            <w:r>
              <w:rPr>
                <w:rFonts w:ascii="Verdana" w:eastAsia="Calibri" w:hAnsi="Verdana" w:cs="Arial"/>
                <w:color w:val="000000" w:themeColor="text1"/>
                <w:sz w:val="20"/>
                <w:szCs w:val="20"/>
                <w:lang w:val="es"/>
              </w:rPr>
              <w:t xml:space="preserve">un </w:t>
            </w:r>
            <w:r w:rsidR="00923985">
              <w:rPr>
                <w:rFonts w:ascii="Verdana" w:eastAsia="Calibri" w:hAnsi="Verdana" w:cs="Arial"/>
                <w:color w:val="000000" w:themeColor="text1"/>
                <w:sz w:val="20"/>
                <w:szCs w:val="20"/>
                <w:lang w:val="es"/>
              </w:rPr>
              <w:t>coordinador</w:t>
            </w:r>
            <w:r>
              <w:rPr>
                <w:rFonts w:ascii="Verdana" w:eastAsia="Calibri" w:hAnsi="Verdana" w:cs="Arial"/>
                <w:color w:val="000000" w:themeColor="text1"/>
                <w:sz w:val="20"/>
                <w:szCs w:val="20"/>
                <w:lang w:val="es"/>
              </w:rPr>
              <w:t xml:space="preserve"> </w:t>
            </w:r>
            <w:r w:rsidR="00923985">
              <w:rPr>
                <w:rFonts w:ascii="Verdana" w:eastAsia="Calibri" w:hAnsi="Verdana" w:cs="Arial"/>
                <w:color w:val="000000" w:themeColor="text1"/>
                <w:sz w:val="20"/>
                <w:szCs w:val="20"/>
                <w:lang w:val="es"/>
              </w:rPr>
              <w:t xml:space="preserve">en materia de salud </w:t>
            </w:r>
            <w:r>
              <w:rPr>
                <w:rFonts w:ascii="Verdana" w:eastAsia="Calibri" w:hAnsi="Verdana" w:cs="Arial"/>
                <w:color w:val="000000" w:themeColor="text1"/>
                <w:sz w:val="20"/>
                <w:szCs w:val="20"/>
                <w:lang w:val="es"/>
              </w:rPr>
              <w:t>de</w:t>
            </w:r>
            <w:r w:rsidR="00923985">
              <w:rPr>
                <w:rFonts w:ascii="Verdana" w:eastAsia="Calibri" w:hAnsi="Verdana" w:cs="Arial"/>
                <w:color w:val="000000" w:themeColor="text1"/>
                <w:sz w:val="20"/>
                <w:szCs w:val="20"/>
                <w:lang w:val="es"/>
              </w:rPr>
              <w:t>l</w:t>
            </w:r>
            <w:r>
              <w:rPr>
                <w:rFonts w:ascii="Verdana" w:eastAsia="Calibri" w:hAnsi="Verdana" w:cs="Arial"/>
                <w:color w:val="000000" w:themeColor="text1"/>
                <w:sz w:val="20"/>
                <w:szCs w:val="20"/>
                <w:lang w:val="es"/>
              </w:rPr>
              <w:t xml:space="preserve"> </w:t>
            </w:r>
            <w:r w:rsidR="00291079" w:rsidRPr="00291079">
              <w:rPr>
                <w:rFonts w:ascii="Verdana" w:eastAsia="Calibri" w:hAnsi="Verdana" w:cs="Arial"/>
                <w:color w:val="000000" w:themeColor="text1"/>
                <w:sz w:val="20"/>
                <w:szCs w:val="20"/>
                <w:lang w:val="es"/>
              </w:rPr>
              <w:t xml:space="preserve">SMHN </w:t>
            </w:r>
            <w:r>
              <w:rPr>
                <w:rFonts w:ascii="Verdana" w:eastAsia="Calibri" w:hAnsi="Verdana" w:cs="Arial"/>
                <w:color w:val="000000" w:themeColor="text1"/>
                <w:sz w:val="20"/>
                <w:szCs w:val="20"/>
                <w:lang w:val="es"/>
              </w:rPr>
              <w:t xml:space="preserve">(y </w:t>
            </w:r>
            <w:r w:rsidR="00291079">
              <w:rPr>
                <w:rFonts w:ascii="Verdana" w:eastAsia="Calibri" w:hAnsi="Verdana" w:cs="Arial"/>
                <w:color w:val="000000" w:themeColor="text1"/>
                <w:sz w:val="20"/>
                <w:szCs w:val="20"/>
                <w:lang w:val="es"/>
              </w:rPr>
              <w:t>un coordinador en materia del clima</w:t>
            </w:r>
            <w:r>
              <w:rPr>
                <w:rFonts w:ascii="Verdana" w:eastAsia="Calibri" w:hAnsi="Verdana" w:cs="Arial"/>
                <w:color w:val="000000" w:themeColor="text1"/>
                <w:sz w:val="20"/>
                <w:szCs w:val="20"/>
                <w:lang w:val="es"/>
              </w:rPr>
              <w:t xml:space="preserve"> del </w:t>
            </w:r>
            <w:r w:rsidR="00291079">
              <w:rPr>
                <w:rFonts w:ascii="Verdana" w:eastAsia="Calibri" w:hAnsi="Verdana" w:cs="Arial"/>
                <w:color w:val="000000" w:themeColor="text1"/>
                <w:sz w:val="20"/>
                <w:szCs w:val="20"/>
                <w:lang w:val="es"/>
              </w:rPr>
              <w:t>s</w:t>
            </w:r>
            <w:r>
              <w:rPr>
                <w:rFonts w:ascii="Verdana" w:eastAsia="Calibri" w:hAnsi="Verdana" w:cs="Arial"/>
                <w:color w:val="000000" w:themeColor="text1"/>
                <w:sz w:val="20"/>
                <w:szCs w:val="20"/>
                <w:lang w:val="es"/>
              </w:rPr>
              <w:t xml:space="preserve">ector de la </w:t>
            </w:r>
            <w:r w:rsidR="00291079">
              <w:rPr>
                <w:rFonts w:ascii="Verdana" w:eastAsia="Calibri" w:hAnsi="Verdana" w:cs="Arial"/>
                <w:color w:val="000000" w:themeColor="text1"/>
                <w:sz w:val="20"/>
                <w:szCs w:val="20"/>
                <w:lang w:val="es"/>
              </w:rPr>
              <w:t>s</w:t>
            </w:r>
            <w:r>
              <w:rPr>
                <w:rFonts w:ascii="Verdana" w:eastAsia="Calibri" w:hAnsi="Verdana" w:cs="Arial"/>
                <w:color w:val="000000" w:themeColor="text1"/>
                <w:sz w:val="20"/>
                <w:szCs w:val="20"/>
                <w:lang w:val="es"/>
              </w:rPr>
              <w:t>alud)</w:t>
            </w:r>
            <w:r w:rsidR="00046276">
              <w:rPr>
                <w:rFonts w:ascii="Verdana" w:eastAsia="Calibri" w:hAnsi="Verdana" w:cs="Arial"/>
                <w:color w:val="000000" w:themeColor="text1"/>
                <w:sz w:val="20"/>
                <w:szCs w:val="20"/>
                <w:lang w:val="es"/>
              </w:rPr>
              <w:t xml:space="preserve"> </w:t>
            </w:r>
            <w:r w:rsidR="005B21F8">
              <w:rPr>
                <w:rFonts w:ascii="Verdana" w:eastAsia="Calibri" w:hAnsi="Verdana" w:cs="Arial"/>
                <w:color w:val="000000" w:themeColor="text1"/>
                <w:sz w:val="20"/>
                <w:szCs w:val="20"/>
                <w:lang w:val="es"/>
              </w:rPr>
              <w:t>y</w:t>
            </w:r>
            <w:r w:rsidR="00935A04">
              <w:rPr>
                <w:rFonts w:ascii="Verdana" w:eastAsia="Calibri" w:hAnsi="Verdana" w:cs="Arial"/>
                <w:color w:val="000000" w:themeColor="text1"/>
                <w:sz w:val="20"/>
                <w:szCs w:val="20"/>
                <w:lang w:val="es"/>
              </w:rPr>
              <w:t xml:space="preserve"> planes de participación</w:t>
            </w:r>
            <w:r>
              <w:rPr>
                <w:rFonts w:ascii="Verdana" w:eastAsia="Calibri" w:hAnsi="Verdana" w:cs="Arial"/>
                <w:color w:val="000000" w:themeColor="text1"/>
                <w:sz w:val="20"/>
                <w:szCs w:val="20"/>
                <w:lang w:val="es"/>
              </w:rPr>
              <w:t xml:space="preserve">; 2) un conjunto de herramientas de </w:t>
            </w:r>
            <w:r w:rsidR="00431A69">
              <w:rPr>
                <w:rFonts w:ascii="Verdana" w:eastAsia="Calibri" w:hAnsi="Verdana" w:cs="Arial"/>
                <w:color w:val="000000" w:themeColor="text1"/>
                <w:sz w:val="20"/>
                <w:szCs w:val="20"/>
                <w:lang w:val="es"/>
              </w:rPr>
              <w:t>transmisión de información</w:t>
            </w:r>
            <w:r>
              <w:rPr>
                <w:rFonts w:ascii="Verdana" w:eastAsia="Calibri" w:hAnsi="Verdana" w:cs="Arial"/>
                <w:color w:val="000000" w:themeColor="text1"/>
                <w:sz w:val="20"/>
                <w:szCs w:val="20"/>
                <w:lang w:val="es"/>
              </w:rPr>
              <w:t xml:space="preserve"> sobre el clima y las ciencias de la salud</w:t>
            </w:r>
            <w:r>
              <w:rPr>
                <w:rFonts w:ascii="Verdana" w:eastAsia="Calibri" w:hAnsi="Verdana" w:cs="Arial"/>
                <w:b/>
                <w:bCs/>
                <w:color w:val="000000" w:themeColor="text1"/>
                <w:sz w:val="20"/>
                <w:szCs w:val="20"/>
                <w:lang w:val="es"/>
              </w:rPr>
              <w:t xml:space="preserve"> </w:t>
            </w:r>
            <w:r>
              <w:rPr>
                <w:rFonts w:ascii="Verdana" w:eastAsia="Calibri" w:hAnsi="Verdana" w:cs="Arial"/>
                <w:color w:val="000000" w:themeColor="text1"/>
                <w:sz w:val="20"/>
                <w:szCs w:val="20"/>
                <w:lang w:val="es"/>
              </w:rPr>
              <w:t xml:space="preserve">para abordar los </w:t>
            </w:r>
            <w:r w:rsidR="005B21F8">
              <w:rPr>
                <w:rFonts w:ascii="Verdana" w:eastAsia="Calibri" w:hAnsi="Verdana" w:cs="Arial"/>
                <w:color w:val="000000" w:themeColor="text1"/>
                <w:sz w:val="20"/>
                <w:szCs w:val="20"/>
                <w:lang w:val="es"/>
              </w:rPr>
              <w:t>obstáculos</w:t>
            </w:r>
            <w:r>
              <w:rPr>
                <w:rFonts w:ascii="Verdana" w:eastAsia="Calibri" w:hAnsi="Verdana" w:cs="Arial"/>
                <w:color w:val="000000" w:themeColor="text1"/>
                <w:sz w:val="20"/>
                <w:szCs w:val="20"/>
                <w:lang w:val="es"/>
              </w:rPr>
              <w:t xml:space="preserve"> </w:t>
            </w:r>
            <w:r w:rsidR="000A6F83">
              <w:rPr>
                <w:rFonts w:ascii="Verdana" w:eastAsia="Calibri" w:hAnsi="Verdana" w:cs="Arial"/>
                <w:color w:val="000000" w:themeColor="text1"/>
                <w:sz w:val="20"/>
                <w:szCs w:val="20"/>
                <w:lang w:val="es"/>
              </w:rPr>
              <w:t xml:space="preserve">con </w:t>
            </w:r>
            <w:r w:rsidR="0050110F">
              <w:rPr>
                <w:rFonts w:ascii="Verdana" w:eastAsia="Calibri" w:hAnsi="Verdana" w:cs="Arial"/>
                <w:color w:val="000000" w:themeColor="text1"/>
                <w:sz w:val="20"/>
                <w:szCs w:val="20"/>
                <w:lang w:val="es"/>
              </w:rPr>
              <w:t>respecto a</w:t>
            </w:r>
            <w:r>
              <w:rPr>
                <w:rFonts w:ascii="Verdana" w:eastAsia="Calibri" w:hAnsi="Verdana" w:cs="Arial"/>
                <w:color w:val="000000" w:themeColor="text1"/>
                <w:sz w:val="20"/>
                <w:szCs w:val="20"/>
                <w:lang w:val="es"/>
              </w:rPr>
              <w:t xml:space="preserve"> la comunicación; 3) </w:t>
            </w:r>
            <w:r w:rsidR="00F64F87">
              <w:rPr>
                <w:rFonts w:ascii="Verdana" w:eastAsia="Calibri" w:hAnsi="Verdana" w:cs="Arial"/>
                <w:color w:val="000000" w:themeColor="text1"/>
                <w:sz w:val="20"/>
                <w:szCs w:val="20"/>
                <w:lang w:val="es"/>
              </w:rPr>
              <w:t>el seguimiento</w:t>
            </w:r>
            <w:r>
              <w:rPr>
                <w:rFonts w:ascii="Verdana" w:eastAsia="Calibri" w:hAnsi="Verdana" w:cs="Arial"/>
                <w:color w:val="000000" w:themeColor="text1"/>
                <w:sz w:val="20"/>
                <w:szCs w:val="20"/>
                <w:lang w:val="es"/>
              </w:rPr>
              <w:t xml:space="preserve"> y </w:t>
            </w:r>
            <w:r w:rsidR="00F64F87">
              <w:rPr>
                <w:rFonts w:ascii="Verdana" w:eastAsia="Calibri" w:hAnsi="Verdana" w:cs="Arial"/>
                <w:color w:val="000000" w:themeColor="text1"/>
                <w:sz w:val="20"/>
                <w:szCs w:val="20"/>
                <w:lang w:val="es"/>
              </w:rPr>
              <w:t>la comunicación de</w:t>
            </w:r>
            <w:r>
              <w:rPr>
                <w:rFonts w:ascii="Verdana" w:eastAsia="Calibri" w:hAnsi="Verdana" w:cs="Arial"/>
                <w:color w:val="000000" w:themeColor="text1"/>
                <w:sz w:val="20"/>
                <w:szCs w:val="20"/>
                <w:lang w:val="es"/>
              </w:rPr>
              <w:t xml:space="preserve"> oportunidades para aprovechar la divulgación </w:t>
            </w:r>
            <w:r w:rsidR="00B43D98">
              <w:rPr>
                <w:rFonts w:ascii="Verdana" w:eastAsia="Calibri" w:hAnsi="Verdana" w:cs="Arial"/>
                <w:color w:val="000000" w:themeColor="text1"/>
                <w:sz w:val="20"/>
                <w:szCs w:val="20"/>
                <w:lang w:val="es"/>
              </w:rPr>
              <w:t>pertinente</w:t>
            </w:r>
            <w:r>
              <w:rPr>
                <w:rFonts w:ascii="Verdana" w:eastAsia="Calibri" w:hAnsi="Verdana" w:cs="Arial"/>
                <w:color w:val="000000" w:themeColor="text1"/>
                <w:sz w:val="20"/>
                <w:szCs w:val="20"/>
                <w:lang w:val="es"/>
              </w:rPr>
              <w:t xml:space="preserve"> a través de eventos y </w:t>
            </w:r>
            <w:r w:rsidR="00BA506E">
              <w:rPr>
                <w:rFonts w:ascii="Verdana" w:eastAsia="Calibri" w:hAnsi="Verdana" w:cs="Arial"/>
                <w:color w:val="000000" w:themeColor="text1"/>
                <w:sz w:val="20"/>
                <w:szCs w:val="20"/>
                <w:lang w:val="es"/>
              </w:rPr>
              <w:t>asociados</w:t>
            </w:r>
            <w:r>
              <w:rPr>
                <w:rFonts w:ascii="Verdana" w:eastAsia="Calibri" w:hAnsi="Verdana" w:cs="Arial"/>
                <w:color w:val="000000" w:themeColor="text1"/>
                <w:sz w:val="20"/>
                <w:szCs w:val="20"/>
                <w:lang w:val="es"/>
              </w:rPr>
              <w:t>; y 4) </w:t>
            </w:r>
            <w:r w:rsidR="00A84102">
              <w:rPr>
                <w:rFonts w:ascii="Verdana" w:eastAsia="Calibri" w:hAnsi="Verdana" w:cs="Arial"/>
                <w:color w:val="000000" w:themeColor="text1"/>
                <w:sz w:val="20"/>
                <w:szCs w:val="20"/>
                <w:lang w:val="es"/>
              </w:rPr>
              <w:t>la ampliación</w:t>
            </w:r>
            <w:r>
              <w:rPr>
                <w:rFonts w:ascii="Verdana" w:eastAsia="Calibri" w:hAnsi="Verdana" w:cs="Arial"/>
                <w:color w:val="000000" w:themeColor="text1"/>
                <w:sz w:val="20"/>
                <w:szCs w:val="20"/>
                <w:lang w:val="es"/>
              </w:rPr>
              <w:t xml:space="preserve"> y </w:t>
            </w:r>
            <w:r w:rsidR="00A84102">
              <w:rPr>
                <w:rFonts w:ascii="Verdana" w:eastAsia="Calibri" w:hAnsi="Verdana" w:cs="Arial"/>
                <w:color w:val="000000" w:themeColor="text1"/>
                <w:sz w:val="20"/>
                <w:szCs w:val="20"/>
                <w:lang w:val="es"/>
              </w:rPr>
              <w:t xml:space="preserve">el </w:t>
            </w:r>
            <w:r>
              <w:rPr>
                <w:rFonts w:ascii="Verdana" w:eastAsia="Calibri" w:hAnsi="Verdana" w:cs="Arial"/>
                <w:color w:val="000000" w:themeColor="text1"/>
                <w:sz w:val="20"/>
                <w:szCs w:val="20"/>
                <w:lang w:val="es"/>
              </w:rPr>
              <w:t>desarrollo de un repositorio de orientación y estudios de casos sobre el cambio climático y la</w:t>
            </w:r>
            <w:r w:rsidR="00A84102">
              <w:rPr>
                <w:rFonts w:ascii="Verdana" w:eastAsia="Calibri" w:hAnsi="Verdana" w:cs="Arial"/>
                <w:color w:val="000000" w:themeColor="text1"/>
                <w:sz w:val="20"/>
                <w:szCs w:val="20"/>
                <w:lang w:val="es"/>
              </w:rPr>
              <w:t xml:space="preserve"> transmisión de información en materia de</w:t>
            </w:r>
            <w:r>
              <w:rPr>
                <w:rFonts w:ascii="Verdana" w:eastAsia="Calibri" w:hAnsi="Verdana" w:cs="Arial"/>
                <w:color w:val="000000" w:themeColor="text1"/>
                <w:sz w:val="20"/>
                <w:szCs w:val="20"/>
                <w:lang w:val="es"/>
              </w:rPr>
              <w:t xml:space="preserve"> salud</w:t>
            </w:r>
          </w:p>
        </w:tc>
        <w:tc>
          <w:tcPr>
            <w:tcW w:w="0" w:type="auto"/>
            <w:shd w:val="clear" w:color="auto" w:fill="auto"/>
          </w:tcPr>
          <w:p w14:paraId="33E69622" w14:textId="03C32221" w:rsidR="008B72C9" w:rsidRPr="00D62BCD" w:rsidRDefault="008B72C9" w:rsidP="00C2696C">
            <w:pPr>
              <w:spacing w:line="276" w:lineRule="auto"/>
              <w:jc w:val="left"/>
              <w:rPr>
                <w:rFonts w:eastAsia="Calibri"/>
                <w:color w:val="000000" w:themeColor="text1"/>
                <w:lang w:val="es-ES"/>
              </w:rPr>
            </w:pPr>
            <w:r>
              <w:rPr>
                <w:b/>
                <w:bCs/>
                <w:color w:val="000000" w:themeColor="text1"/>
                <w:lang w:val="es"/>
              </w:rPr>
              <w:t xml:space="preserve">Establecer y mantener </w:t>
            </w:r>
            <w:r w:rsidR="00E006CD">
              <w:rPr>
                <w:b/>
                <w:bCs/>
                <w:color w:val="000000" w:themeColor="text1"/>
                <w:lang w:val="es"/>
              </w:rPr>
              <w:t>un plan editorial</w:t>
            </w:r>
            <w:r>
              <w:rPr>
                <w:b/>
                <w:bCs/>
                <w:color w:val="000000" w:themeColor="text1"/>
                <w:lang w:val="es"/>
              </w:rPr>
              <w:t xml:space="preserve"> </w:t>
            </w:r>
            <w:r w:rsidR="00E006CD">
              <w:rPr>
                <w:b/>
                <w:bCs/>
                <w:color w:val="000000" w:themeColor="text1"/>
                <w:lang w:val="es"/>
              </w:rPr>
              <w:t xml:space="preserve">y </w:t>
            </w:r>
            <w:r>
              <w:rPr>
                <w:b/>
                <w:bCs/>
                <w:color w:val="000000" w:themeColor="text1"/>
                <w:lang w:val="es"/>
              </w:rPr>
              <w:t xml:space="preserve">comunicaciones </w:t>
            </w:r>
            <w:r w:rsidR="00FA1E34">
              <w:rPr>
                <w:b/>
                <w:bCs/>
                <w:color w:val="000000" w:themeColor="text1"/>
                <w:lang w:val="es"/>
              </w:rPr>
              <w:t xml:space="preserve">sobre el clima y la salud </w:t>
            </w:r>
            <w:r>
              <w:rPr>
                <w:b/>
                <w:bCs/>
                <w:color w:val="000000" w:themeColor="text1"/>
                <w:lang w:val="es"/>
              </w:rPr>
              <w:t xml:space="preserve">con expertos, </w:t>
            </w:r>
            <w:r w:rsidR="001D62AA" w:rsidRPr="001D62AA">
              <w:rPr>
                <w:color w:val="000000" w:themeColor="text1"/>
                <w:lang w:val="es"/>
              </w:rPr>
              <w:t xml:space="preserve">basándose en </w:t>
            </w:r>
            <w:r w:rsidR="001D62AA">
              <w:rPr>
                <w:color w:val="000000" w:themeColor="text1"/>
                <w:lang w:val="es"/>
              </w:rPr>
              <w:t xml:space="preserve">los diálogos </w:t>
            </w:r>
            <w:r>
              <w:rPr>
                <w:color w:val="000000" w:themeColor="text1"/>
                <w:lang w:val="es"/>
              </w:rPr>
              <w:t xml:space="preserve">con los </w:t>
            </w:r>
            <w:r w:rsidR="001D62AA">
              <w:rPr>
                <w:color w:val="000000" w:themeColor="text1"/>
                <w:lang w:val="es"/>
              </w:rPr>
              <w:t>M</w:t>
            </w:r>
            <w:r>
              <w:rPr>
                <w:color w:val="000000" w:themeColor="text1"/>
                <w:lang w:val="es"/>
              </w:rPr>
              <w:t xml:space="preserve">iembros y </w:t>
            </w:r>
            <w:r w:rsidR="001D62AA">
              <w:rPr>
                <w:color w:val="000000" w:themeColor="text1"/>
                <w:lang w:val="es"/>
              </w:rPr>
              <w:t>asociados</w:t>
            </w:r>
          </w:p>
        </w:tc>
      </w:tr>
      <w:tr w:rsidR="00D700AF" w:rsidRPr="00352B1C" w14:paraId="27AB269F"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1B374F3" w14:textId="4544994D" w:rsidR="006607B7" w:rsidRPr="00D62BCD" w:rsidRDefault="006607B7" w:rsidP="00C2696C">
            <w:pPr>
              <w:pStyle w:val="ListParagraph"/>
              <w:numPr>
                <w:ilvl w:val="0"/>
                <w:numId w:val="15"/>
              </w:numPr>
              <w:spacing w:after="0" w:line="240" w:lineRule="auto"/>
              <w:ind w:left="594" w:hanging="594"/>
              <w:contextualSpacing w:val="0"/>
              <w:rPr>
                <w:rFonts w:ascii="Verdana" w:eastAsia="Calibri" w:hAnsi="Verdana" w:cs="Arial"/>
                <w:color w:val="000000" w:themeColor="text1"/>
                <w:sz w:val="20"/>
                <w:szCs w:val="20"/>
                <w:lang w:val="es-ES"/>
              </w:rPr>
            </w:pPr>
            <w:r>
              <w:rPr>
                <w:rFonts w:ascii="Verdana" w:eastAsia="Calibri" w:hAnsi="Verdana" w:cs="Arial"/>
                <w:color w:val="000000" w:themeColor="text1"/>
                <w:sz w:val="20"/>
                <w:szCs w:val="20"/>
                <w:lang w:val="es"/>
              </w:rPr>
              <w:t xml:space="preserve">Kit de herramientas de comunicación sobre el clima y las ciencias de la salud para abordar los </w:t>
            </w:r>
            <w:r w:rsidR="00A84102">
              <w:rPr>
                <w:rFonts w:ascii="Verdana" w:eastAsia="Calibri" w:hAnsi="Verdana" w:cs="Arial"/>
                <w:color w:val="000000" w:themeColor="text1"/>
                <w:sz w:val="20"/>
                <w:szCs w:val="20"/>
                <w:lang w:val="es"/>
              </w:rPr>
              <w:t>obstáculos</w:t>
            </w:r>
            <w:r>
              <w:rPr>
                <w:rFonts w:ascii="Verdana" w:eastAsia="Calibri" w:hAnsi="Verdana" w:cs="Arial"/>
                <w:color w:val="000000" w:themeColor="text1"/>
                <w:sz w:val="20"/>
                <w:szCs w:val="20"/>
                <w:lang w:val="es"/>
              </w:rPr>
              <w:t xml:space="preserve"> de la </w:t>
            </w:r>
            <w:r w:rsidR="00A84102">
              <w:rPr>
                <w:rFonts w:ascii="Verdana" w:eastAsia="Calibri" w:hAnsi="Verdana" w:cs="Arial"/>
                <w:color w:val="000000" w:themeColor="text1"/>
                <w:sz w:val="20"/>
                <w:szCs w:val="20"/>
                <w:lang w:val="es"/>
              </w:rPr>
              <w:t>transmisión de información</w:t>
            </w:r>
            <w:r>
              <w:rPr>
                <w:rFonts w:ascii="Verdana" w:eastAsia="Calibri" w:hAnsi="Verdana" w:cs="Arial"/>
                <w:color w:val="000000" w:themeColor="text1"/>
                <w:sz w:val="20"/>
                <w:szCs w:val="20"/>
                <w:lang w:val="es"/>
              </w:rPr>
              <w:t xml:space="preserve"> </w:t>
            </w:r>
          </w:p>
        </w:tc>
        <w:tc>
          <w:tcPr>
            <w:tcW w:w="0" w:type="auto"/>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14:paraId="2629ABA9" w14:textId="2EA55AC4" w:rsidR="006607B7" w:rsidRPr="00D62BCD" w:rsidRDefault="00F320CE" w:rsidP="00C2696C">
            <w:pPr>
              <w:spacing w:line="276" w:lineRule="auto"/>
              <w:jc w:val="left"/>
              <w:rPr>
                <w:rFonts w:eastAsia="Calibri"/>
                <w:color w:val="000000" w:themeColor="text1"/>
                <w:lang w:val="es-ES"/>
              </w:rPr>
            </w:pPr>
            <w:r>
              <w:rPr>
                <w:color w:val="000000" w:themeColor="text1"/>
                <w:lang w:val="es"/>
              </w:rPr>
              <w:t>Diálogo</w:t>
            </w:r>
            <w:r w:rsidR="007714A6">
              <w:rPr>
                <w:color w:val="000000" w:themeColor="text1"/>
                <w:lang w:val="es"/>
              </w:rPr>
              <w:t xml:space="preserve"> con Miembros y </w:t>
            </w:r>
            <w:r>
              <w:rPr>
                <w:color w:val="000000" w:themeColor="text1"/>
                <w:lang w:val="es"/>
              </w:rPr>
              <w:t>asociados</w:t>
            </w:r>
          </w:p>
        </w:tc>
      </w:tr>
      <w:tr w:rsidR="00D700AF" w:rsidRPr="00352B1C" w14:paraId="1DE35310" w14:textId="77777777" w:rsidTr="003A2C28">
        <w:tc>
          <w:tcPr>
            <w:tcW w:w="0" w:type="auto"/>
            <w:tcBorders>
              <w:right w:val="single" w:sz="4" w:space="0" w:color="7F7F7F" w:themeColor="text1" w:themeTint="80"/>
            </w:tcBorders>
            <w:shd w:val="clear" w:color="auto" w:fill="auto"/>
          </w:tcPr>
          <w:p w14:paraId="6BF56C63" w14:textId="77777777" w:rsidR="006607B7" w:rsidRPr="00D62BCD" w:rsidDel="00580D8D" w:rsidRDefault="006607B7" w:rsidP="00C2696C">
            <w:pPr>
              <w:pStyle w:val="ListParagraph"/>
              <w:numPr>
                <w:ilvl w:val="0"/>
                <w:numId w:val="15"/>
              </w:numPr>
              <w:spacing w:after="0" w:line="240" w:lineRule="auto"/>
              <w:ind w:left="594" w:hanging="594"/>
              <w:contextualSpacing w:val="0"/>
              <w:rPr>
                <w:rFonts w:ascii="Verdana" w:eastAsia="Calibri" w:hAnsi="Verdana" w:cs="Arial"/>
                <w:b/>
                <w:bCs/>
                <w:color w:val="000000" w:themeColor="text1"/>
                <w:sz w:val="20"/>
                <w:szCs w:val="20"/>
                <w:lang w:val="es-ES"/>
              </w:rPr>
            </w:pPr>
            <w:r>
              <w:rPr>
                <w:rFonts w:ascii="Verdana" w:eastAsia="Calibri" w:hAnsi="Verdana" w:cs="Arial"/>
                <w:b/>
                <w:bCs/>
                <w:color w:val="000000" w:themeColor="text1"/>
                <w:sz w:val="20"/>
                <w:szCs w:val="20"/>
                <w:lang w:val="es"/>
              </w:rPr>
              <w:t>Portal ClimaHealth.info</w:t>
            </w:r>
            <w:r>
              <w:rPr>
                <w:rFonts w:ascii="Verdana" w:eastAsia="Calibri" w:hAnsi="Verdana" w:cs="Arial"/>
                <w:color w:val="000000" w:themeColor="text1"/>
                <w:sz w:val="20"/>
                <w:szCs w:val="20"/>
                <w:lang w:val="es"/>
              </w:rPr>
              <w:t xml:space="preserve"> para promover y difundir los recursos técnicos, de aprendizaje y de participación disponibles</w:t>
            </w:r>
          </w:p>
        </w:tc>
        <w:tc>
          <w:tcPr>
            <w:tcW w:w="0" w:type="auto"/>
            <w:vMerge/>
            <w:tcBorders>
              <w:left w:val="single" w:sz="4" w:space="0" w:color="7F7F7F" w:themeColor="text1" w:themeTint="80"/>
              <w:right w:val="single" w:sz="4" w:space="0" w:color="7F7F7F" w:themeColor="text1" w:themeTint="80"/>
            </w:tcBorders>
            <w:shd w:val="clear" w:color="auto" w:fill="auto"/>
          </w:tcPr>
          <w:p w14:paraId="414C0EDF" w14:textId="77777777" w:rsidR="006607B7" w:rsidRPr="00D62BCD" w:rsidRDefault="006607B7" w:rsidP="00DB21DE">
            <w:pPr>
              <w:spacing w:line="276" w:lineRule="auto"/>
              <w:rPr>
                <w:rFonts w:eastAsia="Calibri"/>
                <w:color w:val="000000" w:themeColor="text1"/>
                <w:lang w:val="es-ES"/>
              </w:rPr>
            </w:pPr>
          </w:p>
        </w:tc>
      </w:tr>
      <w:tr w:rsidR="008B72C9" w:rsidRPr="004D0E4B" w14:paraId="6574CF68" w14:textId="77777777" w:rsidTr="003A2C28">
        <w:tc>
          <w:tcPr>
            <w:tcW w:w="0" w:type="auto"/>
            <w:gridSpan w:val="2"/>
            <w:shd w:val="clear" w:color="auto" w:fill="365F91" w:themeFill="accent1" w:themeFillShade="BF"/>
            <w:vAlign w:val="center"/>
          </w:tcPr>
          <w:p w14:paraId="34F63C51" w14:textId="4C23FA1B" w:rsidR="008B72C9" w:rsidRPr="004D0E4B" w:rsidRDefault="001875A6" w:rsidP="00DB21DE">
            <w:pPr>
              <w:ind w:left="360"/>
              <w:jc w:val="center"/>
              <w:rPr>
                <w:b/>
                <w:bCs/>
                <w:color w:val="FFFFFF" w:themeColor="background1"/>
              </w:rPr>
            </w:pPr>
            <w:r>
              <w:rPr>
                <w:b/>
                <w:bCs/>
                <w:color w:val="FFFFFF" w:themeColor="background1"/>
                <w:lang w:val="es"/>
              </w:rPr>
              <w:t>INVESTIGACIÓN</w:t>
            </w:r>
          </w:p>
        </w:tc>
      </w:tr>
      <w:tr w:rsidR="008B72C9" w:rsidRPr="00352B1C" w14:paraId="0767B24D" w14:textId="77777777" w:rsidTr="003A2C28">
        <w:tc>
          <w:tcPr>
            <w:tcW w:w="0" w:type="auto"/>
            <w:gridSpan w:val="2"/>
            <w:shd w:val="clear" w:color="auto" w:fill="DBE5F1" w:themeFill="accent1" w:themeFillTint="33"/>
            <w:vAlign w:val="center"/>
          </w:tcPr>
          <w:p w14:paraId="4D45BCC5" w14:textId="70010A8D" w:rsidR="008B72C9" w:rsidRPr="00D62BCD" w:rsidDel="00F60503" w:rsidRDefault="001875A6" w:rsidP="00DB21DE">
            <w:pPr>
              <w:pStyle w:val="paragraph"/>
              <w:spacing w:line="276" w:lineRule="auto"/>
              <w:textAlignment w:val="baseline"/>
              <w:rPr>
                <w:rFonts w:ascii="Verdana" w:hAnsi="Verdana" w:cs="Arial"/>
                <w:b/>
                <w:bCs/>
                <w:color w:val="000000" w:themeColor="text1"/>
                <w:sz w:val="20"/>
                <w:szCs w:val="20"/>
                <w:lang w:val="es-ES"/>
              </w:rPr>
            </w:pPr>
            <w:r w:rsidRPr="001875A6">
              <w:rPr>
                <w:rFonts w:ascii="Verdana" w:hAnsi="Verdana"/>
                <w:b/>
                <w:bCs/>
                <w:color w:val="000000" w:themeColor="text1"/>
                <w:sz w:val="20"/>
                <w:szCs w:val="20"/>
                <w:lang w:val="es-ES"/>
              </w:rPr>
              <w:t>O</w:t>
            </w:r>
            <w:r>
              <w:rPr>
                <w:rFonts w:ascii="Verdana" w:hAnsi="Verdana"/>
                <w:b/>
                <w:bCs/>
                <w:color w:val="000000" w:themeColor="text1"/>
                <w:sz w:val="20"/>
                <w:szCs w:val="20"/>
                <w:lang w:val="es-ES"/>
              </w:rPr>
              <w:t>bjetivo</w:t>
            </w:r>
            <w:r w:rsidR="008B72C9">
              <w:rPr>
                <w:rFonts w:ascii="Verdana" w:hAnsi="Verdana"/>
                <w:b/>
                <w:bCs/>
                <w:color w:val="000000" w:themeColor="text1"/>
                <w:sz w:val="20"/>
                <w:szCs w:val="20"/>
                <w:lang w:val="es"/>
              </w:rPr>
              <w:t>:</w:t>
            </w:r>
            <w:r w:rsidR="008B72C9">
              <w:rPr>
                <w:rFonts w:ascii="Verdana" w:hAnsi="Verdana"/>
                <w:color w:val="000000" w:themeColor="text1"/>
                <w:sz w:val="20"/>
                <w:szCs w:val="20"/>
                <w:lang w:val="es"/>
              </w:rPr>
              <w:t xml:space="preserve"> Fortalecer las actividades de investigación sobre el clima, el medioambiente y la salud facilitando la disponibilidad, el acceso y el uso de datos por parte de la comunidad investigadora; y abordar las barreras estructurales a los problemas técnicos que obstaculizan el uso de los servicios climáticos y los resultados de la investigación.</w:t>
            </w:r>
          </w:p>
        </w:tc>
      </w:tr>
      <w:tr w:rsidR="008B72C9" w:rsidRPr="00352B1C" w14:paraId="3BABF779" w14:textId="77777777" w:rsidTr="003A2C28">
        <w:tc>
          <w:tcPr>
            <w:tcW w:w="0" w:type="auto"/>
            <w:gridSpan w:val="2"/>
            <w:shd w:val="clear" w:color="auto" w:fill="B8CCE4" w:themeFill="accent1" w:themeFillTint="66"/>
            <w:vAlign w:val="center"/>
          </w:tcPr>
          <w:p w14:paraId="302FFA8E" w14:textId="1FF8BCEB" w:rsidR="008B72C9" w:rsidRPr="00D62BCD" w:rsidRDefault="008B72C9" w:rsidP="00A331E8">
            <w:pPr>
              <w:spacing w:line="257" w:lineRule="auto"/>
              <w:jc w:val="left"/>
              <w:rPr>
                <w:lang w:val="es-ES"/>
              </w:rPr>
            </w:pPr>
            <w:r>
              <w:rPr>
                <w:b/>
                <w:bCs/>
                <w:lang w:val="es"/>
              </w:rPr>
              <w:t xml:space="preserve">Declaración de </w:t>
            </w:r>
            <w:r w:rsidR="00F71E24">
              <w:rPr>
                <w:b/>
                <w:bCs/>
                <w:lang w:val="es"/>
              </w:rPr>
              <w:t>s</w:t>
            </w:r>
            <w:r>
              <w:rPr>
                <w:b/>
                <w:bCs/>
                <w:lang w:val="es"/>
              </w:rPr>
              <w:t>olución</w:t>
            </w:r>
            <w:r>
              <w:rPr>
                <w:lang w:val="es"/>
              </w:rPr>
              <w:t xml:space="preserve">: Un </w:t>
            </w:r>
            <w:r w:rsidR="00BC11B5">
              <w:rPr>
                <w:lang w:val="es"/>
              </w:rPr>
              <w:t>estudio de análisis</w:t>
            </w:r>
            <w:r>
              <w:rPr>
                <w:lang w:val="es"/>
              </w:rPr>
              <w:t xml:space="preserve"> sistemático de</w:t>
            </w:r>
            <w:r w:rsidR="00617560">
              <w:rPr>
                <w:lang w:val="es"/>
              </w:rPr>
              <w:t xml:space="preserve"> la labor </w:t>
            </w:r>
            <w:r>
              <w:rPr>
                <w:lang w:val="es"/>
              </w:rPr>
              <w:t xml:space="preserve">de investigación mundial sobre los </w:t>
            </w:r>
            <w:r w:rsidR="00A6216C">
              <w:rPr>
                <w:lang w:val="es"/>
              </w:rPr>
              <w:t>efectos</w:t>
            </w:r>
            <w:r>
              <w:rPr>
                <w:lang w:val="es"/>
              </w:rPr>
              <w:t xml:space="preserve"> del cambio climático en la salud reveló un predominio de </w:t>
            </w:r>
            <w:r w:rsidR="004836EE">
              <w:rPr>
                <w:lang w:val="es"/>
              </w:rPr>
              <w:t>pruebas</w:t>
            </w:r>
            <w:r>
              <w:rPr>
                <w:lang w:val="es"/>
              </w:rPr>
              <w:t xml:space="preserve"> de </w:t>
            </w:r>
            <w:r w:rsidR="004836EE">
              <w:rPr>
                <w:lang w:val="es"/>
              </w:rPr>
              <w:t xml:space="preserve">los </w:t>
            </w:r>
            <w:r>
              <w:rPr>
                <w:lang w:val="es"/>
              </w:rPr>
              <w:t xml:space="preserve">países </w:t>
            </w:r>
            <w:r w:rsidR="00862865">
              <w:rPr>
                <w:lang w:val="es"/>
              </w:rPr>
              <w:t>con</w:t>
            </w:r>
            <w:r>
              <w:rPr>
                <w:lang w:val="es"/>
              </w:rPr>
              <w:t xml:space="preserve"> ingresos </w:t>
            </w:r>
            <w:r w:rsidR="00862865">
              <w:rPr>
                <w:lang w:val="es"/>
              </w:rPr>
              <w:t>elevados y</w:t>
            </w:r>
            <w:r>
              <w:rPr>
                <w:lang w:val="es"/>
              </w:rPr>
              <w:t xml:space="preserve"> medios</w:t>
            </w:r>
            <w:r w:rsidR="003954BD">
              <w:rPr>
                <w:lang w:val="es"/>
              </w:rPr>
              <w:t>-</w:t>
            </w:r>
            <w:r>
              <w:rPr>
                <w:lang w:val="es"/>
              </w:rPr>
              <w:t xml:space="preserve">altos y una subrepresentación de </w:t>
            </w:r>
            <w:r w:rsidR="003954BD">
              <w:rPr>
                <w:lang w:val="es"/>
              </w:rPr>
              <w:t>pruebas</w:t>
            </w:r>
            <w:r>
              <w:rPr>
                <w:lang w:val="es"/>
              </w:rPr>
              <w:t xml:space="preserve"> de Asia central, África del norte y central y América del Sur</w:t>
            </w:r>
            <w:r>
              <w:rPr>
                <w:rStyle w:val="FootnoteReference"/>
                <w:color w:val="000000" w:themeColor="text1"/>
                <w:lang w:val="es"/>
              </w:rPr>
              <w:footnoteReference w:id="9"/>
            </w:r>
            <w:r>
              <w:rPr>
                <w:lang w:val="es"/>
              </w:rPr>
              <w:t xml:space="preserve">. Además, hay una representación insuficiente de pruebas sobre los determinantes sociales de los efectos del clima en la salud y sobre las opciones de intervención para atenuar los efectos </w:t>
            </w:r>
            <w:r w:rsidR="005B0FFD">
              <w:rPr>
                <w:lang w:val="es"/>
              </w:rPr>
              <w:t xml:space="preserve">negativos </w:t>
            </w:r>
            <w:r>
              <w:rPr>
                <w:lang w:val="es"/>
              </w:rPr>
              <w:t xml:space="preserve">en la salud. También es necesario crear una base empírica para las estrategias de adaptación al cambio climático y de mitigación de sus efectos, a fin de que los gobiernos </w:t>
            </w:r>
            <w:r w:rsidR="00C25828">
              <w:rPr>
                <w:lang w:val="es"/>
              </w:rPr>
              <w:t>diseñen estrategias políticas</w:t>
            </w:r>
            <w:r>
              <w:rPr>
                <w:lang w:val="es"/>
              </w:rPr>
              <w:t xml:space="preserve"> para </w:t>
            </w:r>
            <w:r>
              <w:rPr>
                <w:lang w:val="es"/>
              </w:rPr>
              <w:lastRenderedPageBreak/>
              <w:t xml:space="preserve">reducir al mínimo los efectos del cambio climático en la salud pública. Estas discrepancias en la evidencia empírica son una consecuencia directa de la </w:t>
            </w:r>
            <w:r w:rsidR="006E614D">
              <w:rPr>
                <w:lang w:val="es"/>
              </w:rPr>
              <w:t>diferen</w:t>
            </w:r>
            <w:r w:rsidR="004E3761">
              <w:rPr>
                <w:lang w:val="es"/>
              </w:rPr>
              <w:t xml:space="preserve">te </w:t>
            </w:r>
            <w:r>
              <w:rPr>
                <w:lang w:val="es"/>
              </w:rPr>
              <w:t xml:space="preserve">disponibilidad de apoyo a la investigación, </w:t>
            </w:r>
            <w:r w:rsidR="004E3761">
              <w:rPr>
                <w:lang w:val="es"/>
              </w:rPr>
              <w:t xml:space="preserve">los </w:t>
            </w:r>
            <w:r>
              <w:rPr>
                <w:lang w:val="es"/>
              </w:rPr>
              <w:t xml:space="preserve">datos climáticos por región y grupos socialmente vulnerables. Se necesita un nuevo mecanismo para identificar y </w:t>
            </w:r>
            <w:r w:rsidR="00132B68">
              <w:rPr>
                <w:lang w:val="es"/>
              </w:rPr>
              <w:t>supervisar</w:t>
            </w:r>
            <w:r>
              <w:rPr>
                <w:lang w:val="es"/>
              </w:rPr>
              <w:t xml:space="preserve"> las necesidades de la comunidad investigadora, diseñar estrategias para abordar las limitaciones </w:t>
            </w:r>
            <w:r w:rsidR="00132B68">
              <w:rPr>
                <w:lang w:val="es"/>
              </w:rPr>
              <w:t>y los</w:t>
            </w:r>
            <w:r>
              <w:rPr>
                <w:lang w:val="es"/>
              </w:rPr>
              <w:t xml:space="preserve"> impedimentos existentes en </w:t>
            </w:r>
            <w:r w:rsidR="00132B68">
              <w:rPr>
                <w:lang w:val="es"/>
              </w:rPr>
              <w:t>materia de</w:t>
            </w:r>
            <w:r>
              <w:rPr>
                <w:lang w:val="es"/>
              </w:rPr>
              <w:t xml:space="preserve"> investigación aplicada sobre el clima y la salud y </w:t>
            </w:r>
            <w:r w:rsidR="00E13F94" w:rsidRPr="00E13F94">
              <w:rPr>
                <w:lang w:val="es"/>
              </w:rPr>
              <w:t>promover</w:t>
            </w:r>
            <w:r w:rsidR="00E13F94">
              <w:rPr>
                <w:lang w:val="es"/>
              </w:rPr>
              <w:t>,</w:t>
            </w:r>
            <w:r w:rsidR="00E13F94" w:rsidRPr="00E13F94">
              <w:rPr>
                <w:lang w:val="es"/>
              </w:rPr>
              <w:t xml:space="preserve"> en su favor</w:t>
            </w:r>
            <w:r w:rsidR="00E13F94">
              <w:rPr>
                <w:lang w:val="es"/>
              </w:rPr>
              <w:t>,</w:t>
            </w:r>
            <w:r w:rsidR="00E13F94" w:rsidRPr="00E13F94">
              <w:rPr>
                <w:lang w:val="es"/>
              </w:rPr>
              <w:t xml:space="preserve"> la obtención de recursos financieros y técnicos.</w:t>
            </w:r>
          </w:p>
        </w:tc>
      </w:tr>
      <w:tr w:rsidR="00D700AF" w:rsidRPr="004D0E4B" w14:paraId="47A60FAE" w14:textId="77777777" w:rsidTr="003A2C28">
        <w:tc>
          <w:tcPr>
            <w:tcW w:w="0" w:type="auto"/>
            <w:shd w:val="clear" w:color="auto" w:fill="4F81BD" w:themeFill="accent1"/>
            <w:vAlign w:val="center"/>
          </w:tcPr>
          <w:p w14:paraId="4F41A749" w14:textId="77777777" w:rsidR="008B72C9" w:rsidRPr="004D0E4B" w:rsidRDefault="008B72C9" w:rsidP="00DB21DE">
            <w:pPr>
              <w:spacing w:line="276" w:lineRule="auto"/>
              <w:ind w:left="360"/>
              <w:jc w:val="center"/>
              <w:rPr>
                <w:b/>
                <w:bCs/>
                <w:color w:val="FFFFFF" w:themeColor="background1"/>
              </w:rPr>
            </w:pPr>
            <w:r>
              <w:rPr>
                <w:b/>
                <w:bCs/>
                <w:color w:val="FFFFFF" w:themeColor="background1"/>
                <w:lang w:val="es"/>
              </w:rPr>
              <w:lastRenderedPageBreak/>
              <w:t xml:space="preserve">ACTIVIDADES PROPUESTAS </w:t>
            </w:r>
          </w:p>
        </w:tc>
        <w:tc>
          <w:tcPr>
            <w:tcW w:w="0" w:type="auto"/>
            <w:shd w:val="clear" w:color="auto" w:fill="4F81BD" w:themeFill="accent1"/>
            <w:vAlign w:val="center"/>
          </w:tcPr>
          <w:p w14:paraId="24BB7C8E" w14:textId="77777777" w:rsidR="008B72C9" w:rsidRPr="004D0E4B" w:rsidRDefault="00211B6C" w:rsidP="00DB21DE">
            <w:pPr>
              <w:spacing w:line="276" w:lineRule="auto"/>
              <w:ind w:left="360"/>
              <w:jc w:val="center"/>
              <w:rPr>
                <w:b/>
                <w:bCs/>
                <w:color w:val="FFFFFF" w:themeColor="background1"/>
              </w:rPr>
            </w:pPr>
            <w:r>
              <w:rPr>
                <w:b/>
                <w:bCs/>
                <w:color w:val="FFFFFF" w:themeColor="background1"/>
                <w:lang w:val="es"/>
              </w:rPr>
              <w:t>POSIBLES MECANISMOS DE APOYO</w:t>
            </w:r>
          </w:p>
        </w:tc>
      </w:tr>
      <w:tr w:rsidR="00D700AF" w:rsidRPr="00352B1C" w14:paraId="7F67E63A" w14:textId="77777777" w:rsidTr="003A2C28">
        <w:tc>
          <w:tcPr>
            <w:tcW w:w="0" w:type="auto"/>
          </w:tcPr>
          <w:p w14:paraId="48B4539D" w14:textId="232456A6" w:rsidR="006607B7" w:rsidRPr="00D62BCD" w:rsidRDefault="006607B7" w:rsidP="000D6452">
            <w:pPr>
              <w:pStyle w:val="ListParagraph"/>
              <w:numPr>
                <w:ilvl w:val="0"/>
                <w:numId w:val="16"/>
              </w:numPr>
              <w:spacing w:after="0" w:line="240" w:lineRule="auto"/>
              <w:ind w:left="594" w:hanging="594"/>
              <w:contextualSpacing w:val="0"/>
              <w:rPr>
                <w:rFonts w:ascii="Verdana" w:eastAsiaTheme="minorEastAsia" w:hAnsi="Verdana"/>
                <w:b/>
                <w:bCs/>
                <w:color w:val="000000" w:themeColor="text1"/>
                <w:sz w:val="20"/>
                <w:szCs w:val="20"/>
                <w:lang w:val="es-ES"/>
              </w:rPr>
            </w:pPr>
            <w:r>
              <w:rPr>
                <w:rFonts w:ascii="Verdana" w:hAnsi="Verdana" w:cs="Arial"/>
                <w:color w:val="000000" w:themeColor="text1"/>
                <w:sz w:val="20"/>
                <w:szCs w:val="20"/>
                <w:lang w:val="es"/>
              </w:rPr>
              <w:t xml:space="preserve">Establecer </w:t>
            </w:r>
            <w:r>
              <w:rPr>
                <w:rFonts w:ascii="Verdana" w:hAnsi="Verdana" w:cs="Arial"/>
                <w:b/>
                <w:bCs/>
                <w:color w:val="000000" w:themeColor="text1"/>
                <w:sz w:val="20"/>
                <w:szCs w:val="20"/>
                <w:lang w:val="es"/>
              </w:rPr>
              <w:t xml:space="preserve">un proceso sistemático para el monitoreo del </w:t>
            </w:r>
            <w:r w:rsidR="00E13F94">
              <w:rPr>
                <w:rFonts w:ascii="Verdana" w:hAnsi="Verdana" w:cs="Arial"/>
                <w:b/>
                <w:bCs/>
                <w:color w:val="000000" w:themeColor="text1"/>
                <w:sz w:val="20"/>
                <w:szCs w:val="20"/>
                <w:lang w:val="es"/>
              </w:rPr>
              <w:t>e</w:t>
            </w:r>
            <w:r>
              <w:rPr>
                <w:rFonts w:ascii="Verdana" w:hAnsi="Verdana" w:cs="Arial"/>
                <w:b/>
                <w:bCs/>
                <w:color w:val="000000" w:themeColor="text1"/>
                <w:sz w:val="20"/>
                <w:szCs w:val="20"/>
                <w:lang w:val="es"/>
              </w:rPr>
              <w:t xml:space="preserve">stado de la </w:t>
            </w:r>
            <w:r w:rsidR="00E13F94">
              <w:rPr>
                <w:rFonts w:ascii="Verdana" w:hAnsi="Verdana" w:cs="Arial"/>
                <w:b/>
                <w:bCs/>
                <w:color w:val="000000" w:themeColor="text1"/>
                <w:sz w:val="20"/>
                <w:szCs w:val="20"/>
                <w:lang w:val="es"/>
              </w:rPr>
              <w:t>i</w:t>
            </w:r>
            <w:r>
              <w:rPr>
                <w:rFonts w:ascii="Verdana" w:hAnsi="Verdana" w:cs="Arial"/>
                <w:b/>
                <w:bCs/>
                <w:color w:val="000000" w:themeColor="text1"/>
                <w:sz w:val="20"/>
                <w:szCs w:val="20"/>
                <w:lang w:val="es"/>
              </w:rPr>
              <w:t xml:space="preserve">nvestigación y la </w:t>
            </w:r>
            <w:r w:rsidR="00E13F94">
              <w:rPr>
                <w:rFonts w:ascii="Verdana" w:hAnsi="Verdana" w:cs="Arial"/>
                <w:b/>
                <w:bCs/>
                <w:color w:val="000000" w:themeColor="text1"/>
                <w:sz w:val="20"/>
                <w:szCs w:val="20"/>
                <w:lang w:val="es"/>
              </w:rPr>
              <w:t>c</w:t>
            </w:r>
            <w:r>
              <w:rPr>
                <w:rFonts w:ascii="Verdana" w:hAnsi="Verdana" w:cs="Arial"/>
                <w:b/>
                <w:bCs/>
                <w:color w:val="000000" w:themeColor="text1"/>
                <w:sz w:val="20"/>
                <w:szCs w:val="20"/>
                <w:lang w:val="es"/>
              </w:rPr>
              <w:t xml:space="preserve">iencia sobre </w:t>
            </w:r>
            <w:r w:rsidR="00E13F94">
              <w:rPr>
                <w:rFonts w:ascii="Verdana" w:hAnsi="Verdana" w:cs="Arial"/>
                <w:b/>
                <w:bCs/>
                <w:color w:val="000000" w:themeColor="text1"/>
                <w:sz w:val="20"/>
                <w:szCs w:val="20"/>
                <w:lang w:val="es"/>
              </w:rPr>
              <w:t>c</w:t>
            </w:r>
            <w:r>
              <w:rPr>
                <w:rFonts w:ascii="Verdana" w:hAnsi="Verdana" w:cs="Arial"/>
                <w:b/>
                <w:bCs/>
                <w:color w:val="000000" w:themeColor="text1"/>
                <w:sz w:val="20"/>
                <w:szCs w:val="20"/>
                <w:lang w:val="es"/>
              </w:rPr>
              <w:t xml:space="preserve">lima y </w:t>
            </w:r>
            <w:r w:rsidR="00E13F94">
              <w:rPr>
                <w:rFonts w:ascii="Verdana" w:hAnsi="Verdana" w:cs="Arial"/>
                <w:b/>
                <w:bCs/>
                <w:color w:val="000000" w:themeColor="text1"/>
                <w:sz w:val="20"/>
                <w:szCs w:val="20"/>
                <w:lang w:val="es"/>
              </w:rPr>
              <w:t>la s</w:t>
            </w:r>
            <w:r>
              <w:rPr>
                <w:rFonts w:ascii="Verdana" w:hAnsi="Verdana" w:cs="Arial"/>
                <w:b/>
                <w:bCs/>
                <w:color w:val="000000" w:themeColor="text1"/>
                <w:sz w:val="20"/>
                <w:szCs w:val="20"/>
                <w:lang w:val="es"/>
              </w:rPr>
              <w:t>alud</w:t>
            </w:r>
            <w:r>
              <w:rPr>
                <w:rFonts w:ascii="Verdana" w:hAnsi="Verdana" w:cs="Arial"/>
                <w:color w:val="000000" w:themeColor="text1"/>
                <w:sz w:val="20"/>
                <w:szCs w:val="20"/>
                <w:lang w:val="es"/>
              </w:rPr>
              <w:t xml:space="preserve">, incluida la síntesis regular cada 3 años, en relación con los </w:t>
            </w:r>
            <w:r w:rsidR="003629CD">
              <w:rPr>
                <w:rFonts w:ascii="Verdana" w:hAnsi="Verdana" w:cs="Arial"/>
                <w:color w:val="000000" w:themeColor="text1"/>
                <w:sz w:val="20"/>
                <w:szCs w:val="20"/>
                <w:lang w:val="es"/>
              </w:rPr>
              <w:t>m</w:t>
            </w:r>
            <w:r>
              <w:rPr>
                <w:rFonts w:ascii="Verdana" w:hAnsi="Verdana" w:cs="Arial"/>
                <w:color w:val="000000" w:themeColor="text1"/>
                <w:sz w:val="20"/>
                <w:szCs w:val="20"/>
                <w:lang w:val="es"/>
              </w:rPr>
              <w:t xml:space="preserve">ecanismos de </w:t>
            </w:r>
            <w:r w:rsidR="003629CD">
              <w:rPr>
                <w:rFonts w:ascii="Verdana" w:hAnsi="Verdana" w:cs="Arial"/>
                <w:color w:val="000000" w:themeColor="text1"/>
                <w:sz w:val="20"/>
                <w:szCs w:val="20"/>
                <w:lang w:val="es"/>
              </w:rPr>
              <w:t>m</w:t>
            </w:r>
            <w:r>
              <w:rPr>
                <w:rFonts w:ascii="Verdana" w:hAnsi="Verdana" w:cs="Arial"/>
                <w:color w:val="000000" w:themeColor="text1"/>
                <w:sz w:val="20"/>
                <w:szCs w:val="20"/>
                <w:lang w:val="es"/>
              </w:rPr>
              <w:t xml:space="preserve">onitoreo, </w:t>
            </w:r>
            <w:r w:rsidR="003629CD">
              <w:rPr>
                <w:rFonts w:ascii="Verdana" w:hAnsi="Verdana" w:cs="Arial"/>
                <w:color w:val="000000" w:themeColor="text1"/>
                <w:sz w:val="20"/>
                <w:szCs w:val="20"/>
                <w:lang w:val="es"/>
              </w:rPr>
              <w:t>e</w:t>
            </w:r>
            <w:r>
              <w:rPr>
                <w:rFonts w:ascii="Verdana" w:hAnsi="Verdana" w:cs="Arial"/>
                <w:color w:val="000000" w:themeColor="text1"/>
                <w:sz w:val="20"/>
                <w:szCs w:val="20"/>
                <w:lang w:val="es"/>
              </w:rPr>
              <w:t xml:space="preserve">valuación y </w:t>
            </w:r>
            <w:r w:rsidR="003629CD">
              <w:rPr>
                <w:rFonts w:ascii="Verdana" w:hAnsi="Verdana" w:cs="Arial"/>
                <w:color w:val="000000" w:themeColor="text1"/>
                <w:sz w:val="20"/>
                <w:szCs w:val="20"/>
                <w:lang w:val="es"/>
              </w:rPr>
              <w:t>a</w:t>
            </w:r>
            <w:r>
              <w:rPr>
                <w:rFonts w:ascii="Verdana" w:hAnsi="Verdana" w:cs="Arial"/>
                <w:color w:val="000000" w:themeColor="text1"/>
                <w:sz w:val="20"/>
                <w:szCs w:val="20"/>
                <w:lang w:val="es"/>
              </w:rPr>
              <w:t>prendizaje</w:t>
            </w:r>
            <w:r>
              <w:rPr>
                <w:rFonts w:ascii="Verdana" w:hAnsi="Verdana" w:cs="Arial"/>
                <w:b/>
                <w:bCs/>
                <w:color w:val="000000" w:themeColor="text1"/>
                <w:sz w:val="20"/>
                <w:szCs w:val="20"/>
                <w:lang w:val="es"/>
              </w:rPr>
              <w:t xml:space="preserve"> y las grandes áreas de desafío</w:t>
            </w:r>
          </w:p>
        </w:tc>
        <w:tc>
          <w:tcPr>
            <w:tcW w:w="0" w:type="auto"/>
            <w:vMerge w:val="restart"/>
          </w:tcPr>
          <w:p w14:paraId="48F879DD" w14:textId="78017A3B" w:rsidR="006607B7" w:rsidRPr="00D62BCD" w:rsidRDefault="006607B7" w:rsidP="000D6452">
            <w:pPr>
              <w:spacing w:line="276" w:lineRule="auto"/>
              <w:jc w:val="left"/>
              <w:rPr>
                <w:color w:val="000000" w:themeColor="text1"/>
                <w:lang w:val="es-ES"/>
              </w:rPr>
            </w:pPr>
            <w:r>
              <w:rPr>
                <w:rFonts w:eastAsia="Calibri"/>
                <w:b/>
                <w:bCs/>
                <w:color w:val="000000" w:themeColor="text1"/>
                <w:lang w:val="es"/>
              </w:rPr>
              <w:t>Equipo de expertos en investigación y datos</w:t>
            </w:r>
            <w:r>
              <w:rPr>
                <w:rFonts w:eastAsia="Calibri"/>
                <w:color w:val="000000" w:themeColor="text1"/>
                <w:lang w:val="es"/>
              </w:rPr>
              <w:t xml:space="preserve">, en coordinación con el </w:t>
            </w:r>
            <w:r w:rsidR="007D7989" w:rsidRPr="007D7989">
              <w:rPr>
                <w:rFonts w:eastAsia="Calibri"/>
                <w:color w:val="000000" w:themeColor="text1"/>
                <w:lang w:val="es"/>
              </w:rPr>
              <w:t xml:space="preserve">grupo consultivo estratégico y técnico </w:t>
            </w:r>
            <w:r w:rsidR="00F951A8">
              <w:rPr>
                <w:rFonts w:eastAsia="Calibri"/>
                <w:color w:val="000000" w:themeColor="text1"/>
                <w:lang w:val="es"/>
              </w:rPr>
              <w:t xml:space="preserve">(STAG) </w:t>
            </w:r>
            <w:r>
              <w:rPr>
                <w:rFonts w:eastAsia="Calibri"/>
                <w:color w:val="000000" w:themeColor="text1"/>
                <w:lang w:val="es"/>
              </w:rPr>
              <w:t xml:space="preserve">y el </w:t>
            </w:r>
            <w:r w:rsidR="00EE43B5">
              <w:rPr>
                <w:rFonts w:eastAsia="Calibri"/>
                <w:color w:val="000000" w:themeColor="text1"/>
                <w:lang w:val="es"/>
              </w:rPr>
              <w:t>g</w:t>
            </w:r>
            <w:r w:rsidR="00F951A8" w:rsidRPr="00F951A8">
              <w:rPr>
                <w:rFonts w:eastAsia="Calibri"/>
                <w:color w:val="000000" w:themeColor="text1"/>
                <w:lang w:val="es"/>
              </w:rPr>
              <w:t xml:space="preserve">rupo consultivo técnico </w:t>
            </w:r>
            <w:r w:rsidR="00F951A8">
              <w:rPr>
                <w:rFonts w:eastAsia="Calibri"/>
                <w:color w:val="000000" w:themeColor="text1"/>
                <w:lang w:val="es"/>
              </w:rPr>
              <w:t>en materia de c</w:t>
            </w:r>
            <w:r w:rsidR="00F951A8" w:rsidRPr="00F951A8">
              <w:rPr>
                <w:rFonts w:eastAsia="Calibri"/>
                <w:color w:val="000000" w:themeColor="text1"/>
                <w:lang w:val="es"/>
              </w:rPr>
              <w:t xml:space="preserve">ontaminación atmosférica mundial y salud </w:t>
            </w:r>
            <w:r w:rsidR="00F951A8">
              <w:rPr>
                <w:rFonts w:eastAsia="Calibri"/>
                <w:color w:val="000000" w:themeColor="text1"/>
                <w:lang w:val="es"/>
              </w:rPr>
              <w:t>(</w:t>
            </w:r>
            <w:r w:rsidR="003774D0" w:rsidRPr="003774D0">
              <w:rPr>
                <w:rFonts w:eastAsia="Calibri"/>
                <w:color w:val="000000" w:themeColor="text1"/>
                <w:lang w:val="es-ES"/>
              </w:rPr>
              <w:t>GAPHTAG</w:t>
            </w:r>
            <w:r w:rsidR="003774D0">
              <w:rPr>
                <w:rFonts w:eastAsia="Calibri"/>
                <w:color w:val="000000" w:themeColor="text1"/>
                <w:lang w:val="es"/>
              </w:rPr>
              <w:t xml:space="preserve"> )</w:t>
            </w:r>
            <w:r w:rsidR="00D84244">
              <w:rPr>
                <w:rFonts w:eastAsia="Calibri"/>
                <w:color w:val="000000" w:themeColor="text1"/>
                <w:lang w:val="es"/>
              </w:rPr>
              <w:t>,</w:t>
            </w:r>
            <w:r w:rsidR="003774D0">
              <w:rPr>
                <w:rFonts w:eastAsia="Calibri"/>
                <w:color w:val="000000" w:themeColor="text1"/>
                <w:lang w:val="es"/>
              </w:rPr>
              <w:t xml:space="preserve"> </w:t>
            </w:r>
            <w:r>
              <w:rPr>
                <w:rFonts w:eastAsia="Calibri"/>
                <w:color w:val="000000" w:themeColor="text1"/>
                <w:lang w:val="es"/>
              </w:rPr>
              <w:t>dirigidos por la OMS</w:t>
            </w:r>
            <w:r w:rsidR="00E908DB">
              <w:rPr>
                <w:rFonts w:eastAsia="Calibri"/>
                <w:color w:val="000000" w:themeColor="text1"/>
                <w:lang w:val="es"/>
              </w:rPr>
              <w:t>;</w:t>
            </w:r>
            <w:r>
              <w:rPr>
                <w:rFonts w:eastAsia="Calibri"/>
                <w:color w:val="000000" w:themeColor="text1"/>
                <w:lang w:val="es"/>
              </w:rPr>
              <w:t xml:space="preserve"> otros mecanismos de investigación</w:t>
            </w:r>
            <w:r w:rsidR="00E908DB">
              <w:rPr>
                <w:rFonts w:eastAsia="Calibri"/>
                <w:color w:val="000000" w:themeColor="text1"/>
                <w:lang w:val="es"/>
              </w:rPr>
              <w:t>;</w:t>
            </w:r>
            <w:r>
              <w:rPr>
                <w:rFonts w:eastAsia="Calibri"/>
                <w:color w:val="000000" w:themeColor="text1"/>
                <w:lang w:val="es"/>
              </w:rPr>
              <w:t xml:space="preserve"> contratistas y </w:t>
            </w:r>
            <w:r w:rsidR="003D1904">
              <w:rPr>
                <w:rFonts w:eastAsia="Calibri"/>
                <w:color w:val="000000" w:themeColor="text1"/>
                <w:lang w:val="es"/>
              </w:rPr>
              <w:t>asociados</w:t>
            </w:r>
            <w:r>
              <w:rPr>
                <w:rFonts w:eastAsia="Calibri"/>
                <w:color w:val="000000" w:themeColor="text1"/>
                <w:lang w:val="es"/>
              </w:rPr>
              <w:t xml:space="preserve"> colaboradores</w:t>
            </w:r>
          </w:p>
        </w:tc>
      </w:tr>
      <w:tr w:rsidR="00D700AF" w:rsidRPr="00352B1C" w14:paraId="235433A9" w14:textId="77777777" w:rsidTr="003A2C28">
        <w:tc>
          <w:tcPr>
            <w:tcW w:w="0" w:type="auto"/>
          </w:tcPr>
          <w:p w14:paraId="02104D36" w14:textId="1FB351A2" w:rsidR="007714A6" w:rsidRPr="00D62BCD" w:rsidRDefault="006607B7" w:rsidP="00825086">
            <w:pPr>
              <w:pStyle w:val="ListParagraph"/>
              <w:numPr>
                <w:ilvl w:val="0"/>
                <w:numId w:val="16"/>
              </w:numPr>
              <w:spacing w:after="0" w:line="240" w:lineRule="auto"/>
              <w:ind w:left="594" w:hanging="594"/>
              <w:contextualSpacing w:val="0"/>
              <w:rPr>
                <w:rFonts w:ascii="Verdana" w:eastAsiaTheme="minorEastAsia" w:hAnsi="Verdana"/>
                <w:b/>
                <w:bCs/>
                <w:color w:val="000000" w:themeColor="text1"/>
                <w:sz w:val="20"/>
                <w:szCs w:val="20"/>
                <w:lang w:val="es-ES"/>
              </w:rPr>
            </w:pPr>
            <w:r>
              <w:rPr>
                <w:rFonts w:ascii="Verdana" w:hAnsi="Verdana" w:cs="Arial"/>
                <w:b/>
                <w:bCs/>
                <w:sz w:val="20"/>
                <w:szCs w:val="20"/>
                <w:lang w:val="es"/>
              </w:rPr>
              <w:t xml:space="preserve">Conferencia Mundial </w:t>
            </w:r>
            <w:r w:rsidR="004E1DF4">
              <w:rPr>
                <w:rFonts w:ascii="Verdana" w:hAnsi="Verdana" w:cs="Arial"/>
                <w:b/>
                <w:bCs/>
                <w:sz w:val="20"/>
                <w:szCs w:val="20"/>
                <w:lang w:val="es"/>
              </w:rPr>
              <w:t>sobre la</w:t>
            </w:r>
            <w:r>
              <w:rPr>
                <w:rFonts w:ascii="Verdana" w:hAnsi="Verdana" w:cs="Arial"/>
                <w:b/>
                <w:bCs/>
                <w:sz w:val="20"/>
                <w:szCs w:val="20"/>
                <w:lang w:val="es"/>
              </w:rPr>
              <w:t xml:space="preserve"> Investigación </w:t>
            </w:r>
            <w:r w:rsidR="004E1DF4">
              <w:rPr>
                <w:rFonts w:ascii="Verdana" w:hAnsi="Verdana" w:cs="Arial"/>
                <w:b/>
                <w:bCs/>
                <w:sz w:val="20"/>
                <w:szCs w:val="20"/>
                <w:lang w:val="es"/>
              </w:rPr>
              <w:t>d</w:t>
            </w:r>
            <w:r>
              <w:rPr>
                <w:rFonts w:ascii="Verdana" w:hAnsi="Verdana" w:cs="Arial"/>
                <w:b/>
                <w:bCs/>
                <w:sz w:val="20"/>
                <w:szCs w:val="20"/>
                <w:lang w:val="es"/>
              </w:rPr>
              <w:t>el Clima, el Medio</w:t>
            </w:r>
            <w:r w:rsidR="00E01F53">
              <w:rPr>
                <w:rFonts w:ascii="Verdana" w:hAnsi="Verdana" w:cs="Arial"/>
                <w:b/>
                <w:bCs/>
                <w:sz w:val="20"/>
                <w:szCs w:val="20"/>
                <w:lang w:val="es"/>
              </w:rPr>
              <w:t>a</w:t>
            </w:r>
            <w:r>
              <w:rPr>
                <w:rFonts w:ascii="Verdana" w:hAnsi="Verdana" w:cs="Arial"/>
                <w:b/>
                <w:bCs/>
                <w:sz w:val="20"/>
                <w:szCs w:val="20"/>
                <w:lang w:val="es"/>
              </w:rPr>
              <w:t>mbiente y la Salud</w:t>
            </w:r>
            <w:r>
              <w:rPr>
                <w:rFonts w:ascii="Verdana" w:hAnsi="Verdana" w:cs="Arial"/>
                <w:sz w:val="20"/>
                <w:szCs w:val="20"/>
                <w:lang w:val="es"/>
              </w:rPr>
              <w:t xml:space="preserve"> para determinar las prioridades de la investigación y su vinculación con las necesidades normativas mundiales; sinergia con el desarrollo del Programa de Investigación sobre el Clima y la Salud de la OMS</w:t>
            </w:r>
          </w:p>
        </w:tc>
        <w:tc>
          <w:tcPr>
            <w:tcW w:w="0" w:type="auto"/>
            <w:vMerge/>
          </w:tcPr>
          <w:p w14:paraId="466ECA50" w14:textId="77777777" w:rsidR="006607B7" w:rsidRPr="00D62BCD" w:rsidDel="00654085" w:rsidRDefault="006607B7" w:rsidP="00DB21DE">
            <w:pPr>
              <w:spacing w:line="276" w:lineRule="auto"/>
              <w:rPr>
                <w:color w:val="000000" w:themeColor="text1"/>
                <w:lang w:val="es-ES"/>
              </w:rPr>
            </w:pPr>
          </w:p>
        </w:tc>
      </w:tr>
      <w:tr w:rsidR="008B72C9" w:rsidRPr="004D0E4B" w14:paraId="14824933" w14:textId="77777777" w:rsidTr="003A2C28">
        <w:tc>
          <w:tcPr>
            <w:tcW w:w="0" w:type="auto"/>
            <w:gridSpan w:val="2"/>
            <w:shd w:val="clear" w:color="auto" w:fill="365F91" w:themeFill="accent1" w:themeFillShade="BF"/>
            <w:vAlign w:val="center"/>
          </w:tcPr>
          <w:p w14:paraId="704EA7A5" w14:textId="77777777" w:rsidR="008B72C9" w:rsidRPr="004D0E4B" w:rsidRDefault="008B72C9" w:rsidP="00DB21DE">
            <w:pPr>
              <w:jc w:val="center"/>
              <w:rPr>
                <w:b/>
                <w:bCs/>
                <w:color w:val="FFFFFF" w:themeColor="background1"/>
              </w:rPr>
            </w:pPr>
            <w:r>
              <w:rPr>
                <w:b/>
                <w:bCs/>
                <w:color w:val="FFFFFF" w:themeColor="background1"/>
                <w:lang w:val="es"/>
              </w:rPr>
              <w:t>SERVICIOS TÉCNICOS OPERATIVOS</w:t>
            </w:r>
          </w:p>
        </w:tc>
      </w:tr>
      <w:tr w:rsidR="008B72C9" w:rsidRPr="00352B1C" w14:paraId="37EABE73" w14:textId="77777777" w:rsidTr="003A2C28">
        <w:tc>
          <w:tcPr>
            <w:tcW w:w="0" w:type="auto"/>
            <w:gridSpan w:val="2"/>
            <w:shd w:val="clear" w:color="auto" w:fill="DBE5F1" w:themeFill="accent1" w:themeFillTint="33"/>
            <w:vAlign w:val="center"/>
          </w:tcPr>
          <w:p w14:paraId="653EDE80" w14:textId="1102FEAE" w:rsidR="008B72C9" w:rsidRPr="00D62BCD" w:rsidRDefault="00E908DB" w:rsidP="00825086">
            <w:pPr>
              <w:jc w:val="left"/>
              <w:rPr>
                <w:rFonts w:eastAsia="Calibri"/>
                <w:color w:val="000000" w:themeColor="text1"/>
                <w:lang w:val="es-ES"/>
              </w:rPr>
            </w:pPr>
            <w:r>
              <w:rPr>
                <w:rFonts w:eastAsia="Calibri"/>
                <w:b/>
                <w:bCs/>
                <w:color w:val="000000" w:themeColor="text1"/>
                <w:lang w:val="es"/>
              </w:rPr>
              <w:t>Objetivo</w:t>
            </w:r>
            <w:r w:rsidR="008B72C9">
              <w:rPr>
                <w:rFonts w:eastAsia="Calibri"/>
                <w:color w:val="000000" w:themeColor="text1"/>
                <w:lang w:val="es"/>
              </w:rPr>
              <w:t xml:space="preserve">: Desarrollar y ofrecer servicios y sistemas integrados que respondan a las necesidades climáticas, meteorológicas, medioambientales y de salud a través de una mayor colaboración y buenas prácticas entre </w:t>
            </w:r>
            <w:r w:rsidR="00043358">
              <w:rPr>
                <w:rFonts w:eastAsia="Calibri"/>
                <w:color w:val="000000" w:themeColor="text1"/>
                <w:lang w:val="es"/>
              </w:rPr>
              <w:t>las</w:t>
            </w:r>
            <w:r w:rsidR="00706C27">
              <w:rPr>
                <w:rFonts w:eastAsia="Calibri"/>
                <w:color w:val="000000" w:themeColor="text1"/>
                <w:lang w:val="es"/>
              </w:rPr>
              <w:t xml:space="preserve"> comunidades del ámbito de la</w:t>
            </w:r>
            <w:r w:rsidR="008B72C9">
              <w:rPr>
                <w:rFonts w:eastAsia="Calibri"/>
                <w:color w:val="000000" w:themeColor="text1"/>
                <w:lang w:val="es"/>
              </w:rPr>
              <w:t xml:space="preserve"> salud, el clima y otras.</w:t>
            </w:r>
          </w:p>
        </w:tc>
      </w:tr>
      <w:tr w:rsidR="008B72C9" w:rsidRPr="00352B1C" w14:paraId="62D998AC" w14:textId="77777777" w:rsidTr="003A2C28">
        <w:tc>
          <w:tcPr>
            <w:tcW w:w="0" w:type="auto"/>
            <w:gridSpan w:val="2"/>
            <w:shd w:val="clear" w:color="auto" w:fill="B8CCE4" w:themeFill="accent1" w:themeFillTint="66"/>
            <w:vAlign w:val="center"/>
          </w:tcPr>
          <w:p w14:paraId="43991579" w14:textId="4B4AFB93" w:rsidR="008B72C9" w:rsidRPr="00D62BCD" w:rsidRDefault="008B72C9" w:rsidP="00825086">
            <w:pPr>
              <w:spacing w:after="160"/>
              <w:jc w:val="left"/>
              <w:rPr>
                <w:lang w:val="es-ES"/>
              </w:rPr>
            </w:pPr>
            <w:r>
              <w:rPr>
                <w:b/>
                <w:bCs/>
                <w:lang w:val="es"/>
              </w:rPr>
              <w:t xml:space="preserve">Declaración de </w:t>
            </w:r>
            <w:r w:rsidR="00706C27">
              <w:rPr>
                <w:b/>
                <w:bCs/>
                <w:lang w:val="es"/>
              </w:rPr>
              <w:t>s</w:t>
            </w:r>
            <w:r>
              <w:rPr>
                <w:b/>
                <w:bCs/>
                <w:lang w:val="es"/>
              </w:rPr>
              <w:t>olución:</w:t>
            </w:r>
            <w:r>
              <w:rPr>
                <w:lang w:val="es"/>
              </w:rPr>
              <w:t xml:space="preserve"> Las alianzas sostenidas entre los actores </w:t>
            </w:r>
            <w:r w:rsidR="00706C27">
              <w:rPr>
                <w:lang w:val="es"/>
              </w:rPr>
              <w:t>relacionados con el</w:t>
            </w:r>
            <w:r>
              <w:rPr>
                <w:lang w:val="es"/>
              </w:rPr>
              <w:t xml:space="preserve"> clima y la salud pueden traducir y aplicar eficazmente la ciencia climática y los sistemas de servicios para la salud. Sin embargo, los servicios climáticos no pueden desarrollarse sin integrar primero los datos básicos, el conocimiento y la información de las comunidades de</w:t>
            </w:r>
            <w:r w:rsidR="00FA2AED">
              <w:rPr>
                <w:lang w:val="es"/>
              </w:rPr>
              <w:t xml:space="preserve">l ámbito de la </w:t>
            </w:r>
            <w:r>
              <w:rPr>
                <w:lang w:val="es"/>
              </w:rPr>
              <w:t>salud y</w:t>
            </w:r>
            <w:r w:rsidR="00FA2AED">
              <w:rPr>
                <w:lang w:val="es"/>
              </w:rPr>
              <w:t xml:space="preserve"> la</w:t>
            </w:r>
            <w:r>
              <w:rPr>
                <w:lang w:val="es"/>
              </w:rPr>
              <w:t xml:space="preserve"> meteorol</w:t>
            </w:r>
            <w:r w:rsidR="00FA2AED">
              <w:rPr>
                <w:lang w:val="es"/>
              </w:rPr>
              <w:t>o</w:t>
            </w:r>
            <w:r w:rsidR="00DD1E2F">
              <w:rPr>
                <w:lang w:val="es"/>
              </w:rPr>
              <w:t>gí</w:t>
            </w:r>
            <w:r>
              <w:rPr>
                <w:lang w:val="es"/>
              </w:rPr>
              <w:t>a de una manera simplificada</w:t>
            </w:r>
            <w:r w:rsidR="00DD1E2F">
              <w:rPr>
                <w:lang w:val="es"/>
              </w:rPr>
              <w:t xml:space="preserve"> y sin discontinuidad</w:t>
            </w:r>
            <w:r>
              <w:rPr>
                <w:lang w:val="es"/>
              </w:rPr>
              <w:t xml:space="preserve">. Es necesario fortalecer las dependencias técnicas, los grupos de trabajo y los institutos especializados a nivel nacional, regional y mundial con capacidad, recursos y coordinación. Un proceso de </w:t>
            </w:r>
            <w:proofErr w:type="spellStart"/>
            <w:r>
              <w:rPr>
                <w:lang w:val="es"/>
              </w:rPr>
              <w:t>cocreación</w:t>
            </w:r>
            <w:proofErr w:type="spellEnd"/>
            <w:r>
              <w:rPr>
                <w:lang w:val="es"/>
              </w:rPr>
              <w:t xml:space="preserve"> y codesarrollo puede llevar a los socios técnicos a comprender las necesidades y crear productos de información climática con suficiente calidad, confiabilidad, </w:t>
            </w:r>
            <w:r w:rsidR="00681F79">
              <w:rPr>
                <w:lang w:val="es"/>
              </w:rPr>
              <w:t>utilidad</w:t>
            </w:r>
            <w:r>
              <w:rPr>
                <w:lang w:val="es"/>
              </w:rPr>
              <w:t xml:space="preserve">, </w:t>
            </w:r>
            <w:r w:rsidR="000361C8">
              <w:rPr>
                <w:lang w:val="es"/>
              </w:rPr>
              <w:t>adecuación</w:t>
            </w:r>
            <w:r>
              <w:rPr>
                <w:lang w:val="es"/>
              </w:rPr>
              <w:t xml:space="preserve"> y capacidad de respuesta para apoyar acciones como la evaluación de riesgos, la vigilancia integrada, la alerta temprana, la política sectorial, la comunicación y otras acciones </w:t>
            </w:r>
            <w:r w:rsidR="00300A3D">
              <w:rPr>
                <w:lang w:val="es"/>
              </w:rPr>
              <w:t>de la comunidad</w:t>
            </w:r>
            <w:r>
              <w:rPr>
                <w:lang w:val="es"/>
              </w:rPr>
              <w:t xml:space="preserve"> y del sistema de </w:t>
            </w:r>
            <w:r w:rsidR="00174CE9">
              <w:rPr>
                <w:lang w:val="es"/>
              </w:rPr>
              <w:t xml:space="preserve">la </w:t>
            </w:r>
            <w:r>
              <w:rPr>
                <w:lang w:val="es"/>
              </w:rPr>
              <w:t xml:space="preserve">salud. </w:t>
            </w:r>
          </w:p>
        </w:tc>
      </w:tr>
      <w:tr w:rsidR="00D700AF" w:rsidRPr="004D0E4B" w14:paraId="5DAB706E" w14:textId="77777777" w:rsidTr="003A2C28">
        <w:tc>
          <w:tcPr>
            <w:tcW w:w="0" w:type="auto"/>
            <w:shd w:val="clear" w:color="auto" w:fill="4F81BD" w:themeFill="accent1"/>
            <w:vAlign w:val="center"/>
          </w:tcPr>
          <w:p w14:paraId="50C2F6E5" w14:textId="77777777" w:rsidR="008B72C9" w:rsidRPr="004D0E4B" w:rsidRDefault="008B72C9" w:rsidP="00DB21DE">
            <w:pPr>
              <w:spacing w:line="276" w:lineRule="auto"/>
              <w:ind w:left="360"/>
              <w:jc w:val="center"/>
              <w:rPr>
                <w:b/>
                <w:bCs/>
                <w:color w:val="FFFFFF" w:themeColor="background1"/>
              </w:rPr>
            </w:pPr>
            <w:r>
              <w:rPr>
                <w:b/>
                <w:bCs/>
                <w:color w:val="FFFFFF" w:themeColor="background1"/>
                <w:lang w:val="es"/>
              </w:rPr>
              <w:t xml:space="preserve">ACTIVIDADES PROPUESTAS </w:t>
            </w:r>
          </w:p>
        </w:tc>
        <w:tc>
          <w:tcPr>
            <w:tcW w:w="0" w:type="auto"/>
            <w:shd w:val="clear" w:color="auto" w:fill="4F81BD" w:themeFill="accent1"/>
            <w:vAlign w:val="center"/>
          </w:tcPr>
          <w:p w14:paraId="6286850F" w14:textId="77777777" w:rsidR="008B72C9" w:rsidRPr="004D0E4B" w:rsidRDefault="00211B6C" w:rsidP="00DB21DE">
            <w:pPr>
              <w:spacing w:line="276" w:lineRule="auto"/>
              <w:ind w:left="360"/>
              <w:jc w:val="center"/>
              <w:rPr>
                <w:b/>
                <w:bCs/>
                <w:color w:val="FFFFFF" w:themeColor="background1"/>
              </w:rPr>
            </w:pPr>
            <w:r>
              <w:rPr>
                <w:b/>
                <w:bCs/>
                <w:color w:val="FFFFFF" w:themeColor="background1"/>
                <w:lang w:val="es"/>
              </w:rPr>
              <w:t>POSIBLES MECANISMOS DE APOYO</w:t>
            </w:r>
          </w:p>
        </w:tc>
      </w:tr>
      <w:tr w:rsidR="00D700AF" w:rsidRPr="00352B1C" w14:paraId="36FFCFAC" w14:textId="77777777" w:rsidTr="003A2C28">
        <w:tc>
          <w:tcPr>
            <w:tcW w:w="0" w:type="auto"/>
            <w:shd w:val="clear" w:color="auto" w:fill="auto"/>
          </w:tcPr>
          <w:p w14:paraId="15051FF4" w14:textId="2A433E72" w:rsidR="008B72C9" w:rsidRPr="00D62BCD" w:rsidRDefault="00872BB4" w:rsidP="003142C0">
            <w:pPr>
              <w:pStyle w:val="ListParagraph"/>
              <w:numPr>
                <w:ilvl w:val="0"/>
                <w:numId w:val="17"/>
              </w:numPr>
              <w:spacing w:after="0" w:line="240" w:lineRule="auto"/>
              <w:ind w:left="571" w:hanging="571"/>
              <w:contextualSpacing w:val="0"/>
              <w:rPr>
                <w:rFonts w:ascii="Verdana" w:eastAsia="Calibri Light" w:hAnsi="Verdana"/>
                <w:color w:val="000000" w:themeColor="text1"/>
                <w:sz w:val="20"/>
                <w:szCs w:val="20"/>
                <w:lang w:val="es-ES"/>
              </w:rPr>
            </w:pPr>
            <w:r w:rsidRPr="00043358">
              <w:rPr>
                <w:rFonts w:ascii="Verdana" w:eastAsia="Calibri Light" w:hAnsi="Verdana"/>
                <w:color w:val="000000" w:themeColor="text1"/>
                <w:sz w:val="20"/>
                <w:szCs w:val="20"/>
                <w:lang w:val="es-ES"/>
              </w:rPr>
              <w:lastRenderedPageBreak/>
              <w:t>M</w:t>
            </w:r>
            <w:proofErr w:type="spellStart"/>
            <w:r>
              <w:rPr>
                <w:rFonts w:ascii="Verdana" w:eastAsia="Calibri Light" w:hAnsi="Verdana"/>
                <w:color w:val="000000" w:themeColor="text1"/>
                <w:sz w:val="20"/>
                <w:szCs w:val="20"/>
                <w:lang w:val="es"/>
              </w:rPr>
              <w:t>andato</w:t>
            </w:r>
            <w:proofErr w:type="spellEnd"/>
            <w:r w:rsidR="008B72C9">
              <w:rPr>
                <w:rFonts w:ascii="Verdana" w:eastAsia="Calibri Light" w:hAnsi="Verdana"/>
                <w:color w:val="000000" w:themeColor="text1"/>
                <w:sz w:val="20"/>
                <w:szCs w:val="20"/>
                <w:lang w:val="es"/>
              </w:rPr>
              <w:t>/tareas específicas del equipo de expertos en datos</w:t>
            </w:r>
            <w:r w:rsidR="00B56DF1">
              <w:rPr>
                <w:rFonts w:ascii="Verdana" w:eastAsia="Calibri Light" w:hAnsi="Verdana"/>
                <w:color w:val="000000" w:themeColor="text1"/>
                <w:sz w:val="20"/>
                <w:szCs w:val="20"/>
                <w:lang w:val="es"/>
              </w:rPr>
              <w:t xml:space="preserve">, </w:t>
            </w:r>
            <w:r w:rsidR="00CB2A1F">
              <w:rPr>
                <w:rFonts w:ascii="Verdana" w:eastAsia="Calibri Light" w:hAnsi="Verdana"/>
                <w:color w:val="000000" w:themeColor="text1"/>
                <w:sz w:val="20"/>
                <w:szCs w:val="20"/>
                <w:lang w:val="es"/>
              </w:rPr>
              <w:t>pendientes de</w:t>
            </w:r>
            <w:r w:rsidR="008B72C9">
              <w:rPr>
                <w:rFonts w:ascii="Verdana" w:eastAsia="Calibri Light" w:hAnsi="Verdana"/>
                <w:color w:val="000000" w:themeColor="text1"/>
                <w:sz w:val="20"/>
                <w:szCs w:val="20"/>
                <w:lang w:val="es"/>
              </w:rPr>
              <w:t xml:space="preserve"> determinar</w:t>
            </w:r>
          </w:p>
        </w:tc>
        <w:tc>
          <w:tcPr>
            <w:tcW w:w="0" w:type="auto"/>
            <w:shd w:val="clear" w:color="auto" w:fill="auto"/>
          </w:tcPr>
          <w:p w14:paraId="00A78E04" w14:textId="768129C6" w:rsidR="008B72C9" w:rsidRPr="00D62BCD" w:rsidDel="001B1048" w:rsidRDefault="00B56DF1" w:rsidP="003142C0">
            <w:pPr>
              <w:spacing w:line="276" w:lineRule="auto"/>
              <w:jc w:val="left"/>
              <w:rPr>
                <w:color w:val="000000" w:themeColor="text1"/>
                <w:lang w:val="es-ES"/>
              </w:rPr>
            </w:pPr>
            <w:r>
              <w:rPr>
                <w:color w:val="000000" w:themeColor="text1"/>
                <w:lang w:val="es"/>
              </w:rPr>
              <w:t>Dialogo</w:t>
            </w:r>
            <w:r w:rsidR="007714A6">
              <w:rPr>
                <w:color w:val="000000" w:themeColor="text1"/>
                <w:lang w:val="es"/>
              </w:rPr>
              <w:t xml:space="preserve"> con Miembros y </w:t>
            </w:r>
            <w:r>
              <w:rPr>
                <w:color w:val="000000" w:themeColor="text1"/>
                <w:lang w:val="es"/>
              </w:rPr>
              <w:t>asociados</w:t>
            </w:r>
          </w:p>
        </w:tc>
      </w:tr>
      <w:tr w:rsidR="00D700AF" w:rsidRPr="00352B1C" w14:paraId="36BBE25A" w14:textId="77777777" w:rsidTr="003A2C28">
        <w:tc>
          <w:tcPr>
            <w:tcW w:w="0" w:type="auto"/>
            <w:shd w:val="clear" w:color="auto" w:fill="auto"/>
          </w:tcPr>
          <w:p w14:paraId="0ECED760" w14:textId="4E063820" w:rsidR="008B72C9" w:rsidRPr="00D62BCD" w:rsidRDefault="00B56DF1" w:rsidP="003142C0">
            <w:pPr>
              <w:pStyle w:val="ListParagraph"/>
              <w:numPr>
                <w:ilvl w:val="0"/>
                <w:numId w:val="17"/>
              </w:numPr>
              <w:spacing w:after="0" w:line="240" w:lineRule="auto"/>
              <w:ind w:left="571" w:hanging="571"/>
              <w:contextualSpacing w:val="0"/>
              <w:rPr>
                <w:rFonts w:ascii="Verdana" w:hAnsi="Verdana"/>
                <w:color w:val="000000" w:themeColor="text1"/>
                <w:sz w:val="20"/>
                <w:szCs w:val="20"/>
                <w:lang w:val="es-ES"/>
              </w:rPr>
            </w:pPr>
            <w:r>
              <w:rPr>
                <w:rFonts w:ascii="Verdana" w:hAnsi="Verdana"/>
                <w:color w:val="000000" w:themeColor="text1"/>
                <w:sz w:val="20"/>
                <w:szCs w:val="20"/>
                <w:lang w:val="es"/>
              </w:rPr>
              <w:t>Concienciar</w:t>
            </w:r>
            <w:r w:rsidR="008B72C9">
              <w:rPr>
                <w:rFonts w:ascii="Verdana" w:hAnsi="Verdana"/>
                <w:color w:val="000000" w:themeColor="text1"/>
                <w:sz w:val="20"/>
                <w:szCs w:val="20"/>
                <w:lang w:val="es"/>
              </w:rPr>
              <w:t xml:space="preserve"> sobre l</w:t>
            </w:r>
            <w:r>
              <w:rPr>
                <w:rFonts w:ascii="Verdana" w:hAnsi="Verdana"/>
                <w:color w:val="000000" w:themeColor="text1"/>
                <w:sz w:val="20"/>
                <w:szCs w:val="20"/>
                <w:lang w:val="es"/>
              </w:rPr>
              <w:t xml:space="preserve">as necesidades </w:t>
            </w:r>
            <w:r w:rsidR="008B72C9">
              <w:rPr>
                <w:rFonts w:ascii="Verdana" w:hAnsi="Verdana"/>
                <w:color w:val="000000" w:themeColor="text1"/>
                <w:sz w:val="20"/>
                <w:szCs w:val="20"/>
                <w:lang w:val="es"/>
              </w:rPr>
              <w:t>y las carencias en materia de inversión/abogar por un</w:t>
            </w:r>
            <w:r w:rsidR="008B72C9">
              <w:rPr>
                <w:rFonts w:ascii="Verdana" w:hAnsi="Verdana"/>
                <w:b/>
                <w:bCs/>
                <w:color w:val="000000" w:themeColor="text1"/>
                <w:sz w:val="20"/>
                <w:szCs w:val="20"/>
                <w:lang w:val="es"/>
              </w:rPr>
              <w:t xml:space="preserve"> organismo intermediario de financiación y un mecanismo/proveedor de apoyo a los datos climáticos</w:t>
            </w:r>
            <w:r w:rsidR="008B72C9">
              <w:rPr>
                <w:rFonts w:ascii="Verdana" w:hAnsi="Verdana"/>
                <w:color w:val="000000" w:themeColor="text1"/>
                <w:sz w:val="20"/>
                <w:szCs w:val="20"/>
                <w:lang w:val="es"/>
              </w:rPr>
              <w:t xml:space="preserve"> que ponga a disposición de los investigadores los servicios climáticos de las estaciones terrestres y los satélites</w:t>
            </w:r>
          </w:p>
        </w:tc>
        <w:tc>
          <w:tcPr>
            <w:tcW w:w="0" w:type="auto"/>
            <w:shd w:val="clear" w:color="auto" w:fill="auto"/>
          </w:tcPr>
          <w:p w14:paraId="30292D4E" w14:textId="5C66B903" w:rsidR="008B72C9" w:rsidRPr="00D62BCD" w:rsidRDefault="00B415D8" w:rsidP="003142C0">
            <w:pPr>
              <w:spacing w:line="276" w:lineRule="auto"/>
              <w:jc w:val="left"/>
              <w:rPr>
                <w:color w:val="000000" w:themeColor="text1"/>
                <w:lang w:val="es-ES"/>
              </w:rPr>
            </w:pPr>
            <w:r>
              <w:rPr>
                <w:color w:val="000000" w:themeColor="text1"/>
                <w:lang w:val="es"/>
              </w:rPr>
              <w:t>Diálogos</w:t>
            </w:r>
            <w:r w:rsidR="007714A6">
              <w:rPr>
                <w:color w:val="000000" w:themeColor="text1"/>
                <w:lang w:val="es"/>
              </w:rPr>
              <w:t xml:space="preserve"> con Miembros y </w:t>
            </w:r>
            <w:r>
              <w:rPr>
                <w:color w:val="000000" w:themeColor="text1"/>
                <w:lang w:val="es"/>
              </w:rPr>
              <w:t>asociados</w:t>
            </w:r>
            <w:r w:rsidR="007714A6">
              <w:rPr>
                <w:color w:val="000000"/>
                <w:shd w:val="clear" w:color="auto" w:fill="FFFFFF"/>
                <w:lang w:val="es"/>
              </w:rPr>
              <w:t xml:space="preserve"> </w:t>
            </w:r>
          </w:p>
        </w:tc>
      </w:tr>
      <w:tr w:rsidR="00D700AF" w:rsidRPr="00352B1C" w14:paraId="6723613F"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0E76871" w14:textId="3108A449" w:rsidR="008B72C9" w:rsidRPr="00D62BCD" w:rsidDel="00CD3FD7" w:rsidRDefault="008B72C9" w:rsidP="00CB0C96">
            <w:pPr>
              <w:pStyle w:val="ListParagraph"/>
              <w:numPr>
                <w:ilvl w:val="0"/>
                <w:numId w:val="17"/>
              </w:numPr>
              <w:spacing w:after="0" w:line="240" w:lineRule="auto"/>
              <w:ind w:left="571" w:hanging="571"/>
              <w:contextualSpacing w:val="0"/>
              <w:rPr>
                <w:rFonts w:ascii="Verdana" w:hAnsi="Verdana"/>
                <w:b/>
                <w:bCs/>
                <w:color w:val="000000" w:themeColor="text1"/>
                <w:sz w:val="20"/>
                <w:szCs w:val="20"/>
                <w:lang w:val="es-ES"/>
              </w:rPr>
            </w:pPr>
            <w:r>
              <w:rPr>
                <w:rFonts w:ascii="Verdana" w:hAnsi="Verdana"/>
                <w:b/>
                <w:bCs/>
                <w:color w:val="000000" w:themeColor="text1"/>
                <w:sz w:val="20"/>
                <w:szCs w:val="20"/>
                <w:lang w:val="es"/>
              </w:rPr>
              <w:t xml:space="preserve">Proyectos de demostración de los </w:t>
            </w:r>
            <w:r w:rsidR="00810D00">
              <w:rPr>
                <w:rFonts w:ascii="Verdana" w:hAnsi="Verdana"/>
                <w:b/>
                <w:bCs/>
                <w:color w:val="000000" w:themeColor="text1"/>
                <w:sz w:val="20"/>
                <w:szCs w:val="20"/>
                <w:lang w:val="es"/>
              </w:rPr>
              <w:t>canales de distribución</w:t>
            </w:r>
            <w:r>
              <w:rPr>
                <w:rFonts w:ascii="Verdana" w:hAnsi="Verdana"/>
                <w:b/>
                <w:bCs/>
                <w:color w:val="000000" w:themeColor="text1"/>
                <w:sz w:val="20"/>
                <w:szCs w:val="20"/>
                <w:lang w:val="es"/>
              </w:rPr>
              <w:t xml:space="preserve"> de datos y de los servicios climáticos</w:t>
            </w:r>
          </w:p>
        </w:tc>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89E9769" w14:textId="3D3B6D6F" w:rsidR="008B72C9" w:rsidRPr="00D62BCD" w:rsidRDefault="00B415D8" w:rsidP="003142C0">
            <w:pPr>
              <w:spacing w:line="276" w:lineRule="auto"/>
              <w:jc w:val="left"/>
              <w:rPr>
                <w:rFonts w:eastAsia="Calibri Light"/>
                <w:color w:val="000000" w:themeColor="text1"/>
                <w:lang w:val="es-ES"/>
              </w:rPr>
            </w:pPr>
            <w:r>
              <w:rPr>
                <w:color w:val="000000" w:themeColor="text1"/>
                <w:lang w:val="es"/>
              </w:rPr>
              <w:t>Diálogos con Miembros y asociados</w:t>
            </w:r>
          </w:p>
        </w:tc>
      </w:tr>
      <w:tr w:rsidR="00D700AF" w:rsidRPr="00352B1C" w14:paraId="453D85F1"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356A060" w14:textId="18830AF3" w:rsidR="008B72C9" w:rsidRPr="00D62BCD" w:rsidRDefault="008B72C9" w:rsidP="00CB0C96">
            <w:pPr>
              <w:pStyle w:val="ListParagraph"/>
              <w:numPr>
                <w:ilvl w:val="0"/>
                <w:numId w:val="17"/>
              </w:numPr>
              <w:spacing w:after="0" w:line="240" w:lineRule="auto"/>
              <w:ind w:left="571" w:hanging="571"/>
              <w:contextualSpacing w:val="0"/>
              <w:rPr>
                <w:rFonts w:ascii="Verdana" w:hAnsi="Verdana"/>
                <w:b/>
                <w:bCs/>
                <w:color w:val="000000" w:themeColor="text1"/>
                <w:sz w:val="20"/>
                <w:szCs w:val="20"/>
                <w:lang w:val="es-ES"/>
              </w:rPr>
            </w:pPr>
            <w:r>
              <w:rPr>
                <w:rFonts w:ascii="Verdana" w:hAnsi="Verdana"/>
                <w:b/>
                <w:bCs/>
                <w:color w:val="000000" w:themeColor="text1"/>
                <w:sz w:val="20"/>
                <w:szCs w:val="20"/>
                <w:lang w:val="es"/>
              </w:rPr>
              <w:t xml:space="preserve">Kit de herramientas de integración de datos sobre </w:t>
            </w:r>
            <w:r w:rsidR="00955DBA">
              <w:rPr>
                <w:rFonts w:ascii="Verdana" w:hAnsi="Verdana"/>
                <w:b/>
                <w:bCs/>
                <w:color w:val="000000" w:themeColor="text1"/>
                <w:sz w:val="20"/>
                <w:szCs w:val="20"/>
                <w:lang w:val="es"/>
              </w:rPr>
              <w:t xml:space="preserve">el </w:t>
            </w:r>
            <w:r>
              <w:rPr>
                <w:rFonts w:ascii="Verdana" w:hAnsi="Verdana"/>
                <w:b/>
                <w:bCs/>
                <w:color w:val="000000" w:themeColor="text1"/>
                <w:sz w:val="20"/>
                <w:szCs w:val="20"/>
                <w:lang w:val="es"/>
              </w:rPr>
              <w:t xml:space="preserve">clima y </w:t>
            </w:r>
            <w:r w:rsidR="00955DBA">
              <w:rPr>
                <w:rFonts w:ascii="Verdana" w:hAnsi="Verdana"/>
                <w:b/>
                <w:bCs/>
                <w:color w:val="000000" w:themeColor="text1"/>
                <w:sz w:val="20"/>
                <w:szCs w:val="20"/>
                <w:lang w:val="es"/>
              </w:rPr>
              <w:t xml:space="preserve">la </w:t>
            </w:r>
            <w:r>
              <w:rPr>
                <w:rFonts w:ascii="Verdana" w:hAnsi="Verdana"/>
                <w:b/>
                <w:bCs/>
                <w:color w:val="000000" w:themeColor="text1"/>
                <w:sz w:val="20"/>
                <w:szCs w:val="20"/>
                <w:lang w:val="es"/>
              </w:rPr>
              <w:t xml:space="preserve">salud </w:t>
            </w:r>
          </w:p>
        </w:tc>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D5371B2" w14:textId="19F40DB6" w:rsidR="008B72C9" w:rsidRPr="00D62BCD" w:rsidRDefault="00B415D8" w:rsidP="003142C0">
            <w:pPr>
              <w:spacing w:line="276" w:lineRule="auto"/>
              <w:jc w:val="left"/>
              <w:rPr>
                <w:rFonts w:eastAsia="Calibri Light"/>
                <w:color w:val="000000" w:themeColor="text1"/>
                <w:lang w:val="es-ES"/>
              </w:rPr>
            </w:pPr>
            <w:r>
              <w:rPr>
                <w:color w:val="000000" w:themeColor="text1"/>
                <w:lang w:val="es"/>
              </w:rPr>
              <w:t>Diálogos con Miembros y asociados</w:t>
            </w:r>
          </w:p>
        </w:tc>
      </w:tr>
      <w:tr w:rsidR="00D700AF" w:rsidRPr="00352B1C" w14:paraId="0210F15E"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5FC306C" w14:textId="2AD763B7" w:rsidR="007714A6" w:rsidRPr="00D62BCD" w:rsidRDefault="008B72C9" w:rsidP="001B787A">
            <w:pPr>
              <w:pStyle w:val="ListParagraph"/>
              <w:numPr>
                <w:ilvl w:val="0"/>
                <w:numId w:val="17"/>
              </w:numPr>
              <w:spacing w:after="0" w:line="240" w:lineRule="auto"/>
              <w:ind w:left="571" w:hanging="571"/>
              <w:contextualSpacing w:val="0"/>
              <w:rPr>
                <w:lang w:val="es-ES"/>
              </w:rPr>
            </w:pPr>
            <w:r>
              <w:rPr>
                <w:rFonts w:ascii="Verdana" w:hAnsi="Verdana"/>
                <w:b/>
                <w:bCs/>
                <w:color w:val="000000" w:themeColor="text1"/>
                <w:sz w:val="20"/>
                <w:szCs w:val="20"/>
                <w:lang w:val="es"/>
              </w:rPr>
              <w:t xml:space="preserve">I + D de sistemas integrados para aplicaciones de área Nexus </w:t>
            </w:r>
            <w:r>
              <w:rPr>
                <w:rFonts w:ascii="Verdana" w:hAnsi="Verdana"/>
                <w:color w:val="000000" w:themeColor="text1"/>
                <w:sz w:val="20"/>
                <w:szCs w:val="20"/>
                <w:lang w:val="es"/>
              </w:rPr>
              <w:t xml:space="preserve">(por ejemplo, </w:t>
            </w:r>
            <w:r w:rsidR="00ED135A">
              <w:rPr>
                <w:rFonts w:ascii="Verdana" w:hAnsi="Verdana"/>
                <w:color w:val="000000" w:themeColor="text1"/>
                <w:sz w:val="20"/>
                <w:szCs w:val="20"/>
                <w:lang w:val="es"/>
              </w:rPr>
              <w:t>el sistema de alerta temprana del calor y</w:t>
            </w:r>
            <w:r w:rsidR="002F17EC">
              <w:rPr>
                <w:rFonts w:ascii="Verdana" w:hAnsi="Verdana"/>
                <w:color w:val="000000" w:themeColor="text1"/>
                <w:sz w:val="20"/>
                <w:szCs w:val="20"/>
                <w:lang w:val="es"/>
              </w:rPr>
              <w:t xml:space="preserve"> sus riesgos para la salud</w:t>
            </w:r>
            <w:r>
              <w:rPr>
                <w:rFonts w:ascii="Verdana" w:hAnsi="Verdana"/>
                <w:color w:val="000000" w:themeColor="text1"/>
                <w:sz w:val="20"/>
                <w:szCs w:val="20"/>
                <w:lang w:val="es"/>
              </w:rPr>
              <w:t xml:space="preserve">, </w:t>
            </w:r>
            <w:r w:rsidR="002F17EC">
              <w:rPr>
                <w:rFonts w:ascii="Verdana" w:hAnsi="Verdana"/>
                <w:color w:val="000000" w:themeColor="text1"/>
                <w:sz w:val="20"/>
                <w:szCs w:val="20"/>
                <w:lang w:val="es"/>
              </w:rPr>
              <w:t xml:space="preserve">los </w:t>
            </w:r>
            <w:r>
              <w:rPr>
                <w:rFonts w:ascii="Verdana" w:hAnsi="Verdana"/>
                <w:color w:val="000000" w:themeColor="text1"/>
                <w:sz w:val="20"/>
                <w:szCs w:val="20"/>
                <w:lang w:val="es"/>
              </w:rPr>
              <w:t xml:space="preserve">servicios de calidad del aire, </w:t>
            </w:r>
            <w:r w:rsidR="00F37EF7">
              <w:rPr>
                <w:rFonts w:ascii="Verdana" w:hAnsi="Verdana"/>
                <w:color w:val="000000" w:themeColor="text1"/>
                <w:sz w:val="20"/>
                <w:szCs w:val="20"/>
                <w:lang w:val="es"/>
              </w:rPr>
              <w:t>el control</w:t>
            </w:r>
            <w:r>
              <w:rPr>
                <w:rFonts w:ascii="Verdana" w:hAnsi="Verdana"/>
                <w:color w:val="000000" w:themeColor="text1"/>
                <w:sz w:val="20"/>
                <w:szCs w:val="20"/>
                <w:lang w:val="es"/>
              </w:rPr>
              <w:t xml:space="preserve"> de </w:t>
            </w:r>
            <w:r w:rsidR="00F37EF7">
              <w:rPr>
                <w:rFonts w:ascii="Verdana" w:hAnsi="Verdana"/>
                <w:color w:val="000000" w:themeColor="text1"/>
                <w:sz w:val="20"/>
                <w:szCs w:val="20"/>
                <w:lang w:val="es"/>
              </w:rPr>
              <w:t xml:space="preserve">la </w:t>
            </w:r>
            <w:r>
              <w:rPr>
                <w:rFonts w:ascii="Verdana" w:hAnsi="Verdana"/>
                <w:color w:val="000000" w:themeColor="text1"/>
                <w:sz w:val="20"/>
                <w:szCs w:val="20"/>
                <w:lang w:val="es"/>
              </w:rPr>
              <w:t xml:space="preserve">sequía y </w:t>
            </w:r>
            <w:r w:rsidR="00F37EF7">
              <w:rPr>
                <w:rFonts w:ascii="Verdana" w:hAnsi="Verdana"/>
                <w:color w:val="000000" w:themeColor="text1"/>
                <w:sz w:val="20"/>
                <w:szCs w:val="20"/>
                <w:lang w:val="es"/>
              </w:rPr>
              <w:t xml:space="preserve">la </w:t>
            </w:r>
            <w:r>
              <w:rPr>
                <w:rFonts w:ascii="Verdana" w:hAnsi="Verdana"/>
                <w:color w:val="000000" w:themeColor="text1"/>
                <w:sz w:val="20"/>
                <w:szCs w:val="20"/>
                <w:lang w:val="es"/>
              </w:rPr>
              <w:t xml:space="preserve">salud, </w:t>
            </w:r>
            <w:r w:rsidR="00F37EF7">
              <w:rPr>
                <w:rFonts w:ascii="Verdana" w:hAnsi="Verdana"/>
                <w:color w:val="000000" w:themeColor="text1"/>
                <w:sz w:val="20"/>
                <w:szCs w:val="20"/>
                <w:lang w:val="es"/>
              </w:rPr>
              <w:t xml:space="preserve">los </w:t>
            </w:r>
            <w:r>
              <w:rPr>
                <w:rFonts w:ascii="Verdana" w:hAnsi="Verdana"/>
                <w:color w:val="000000" w:themeColor="text1"/>
                <w:sz w:val="20"/>
                <w:szCs w:val="20"/>
                <w:lang w:val="es"/>
              </w:rPr>
              <w:t xml:space="preserve">pronósticos de enfermedades infecciosas, </w:t>
            </w:r>
            <w:r w:rsidR="00252E1A">
              <w:rPr>
                <w:rFonts w:ascii="Verdana" w:hAnsi="Verdana"/>
                <w:color w:val="000000" w:themeColor="text1"/>
                <w:sz w:val="20"/>
                <w:szCs w:val="20"/>
                <w:lang w:val="es"/>
              </w:rPr>
              <w:t xml:space="preserve">las </w:t>
            </w:r>
            <w:r>
              <w:rPr>
                <w:rFonts w:ascii="Verdana" w:hAnsi="Verdana"/>
                <w:color w:val="000000" w:themeColor="text1"/>
                <w:sz w:val="20"/>
                <w:szCs w:val="20"/>
                <w:lang w:val="es"/>
              </w:rPr>
              <w:t>proyecciones de clima y calidad del aire)</w:t>
            </w:r>
          </w:p>
        </w:tc>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6DA5C3B" w14:textId="62FBDCB2" w:rsidR="008B72C9" w:rsidRPr="00D62BCD" w:rsidRDefault="00930383" w:rsidP="003142C0">
            <w:pPr>
              <w:spacing w:line="276" w:lineRule="auto"/>
              <w:jc w:val="left"/>
              <w:rPr>
                <w:rFonts w:eastAsia="Calibri Light"/>
                <w:color w:val="000000" w:themeColor="text1"/>
                <w:lang w:val="es-ES"/>
              </w:rPr>
            </w:pPr>
            <w:r w:rsidRPr="00930383">
              <w:rPr>
                <w:rFonts w:eastAsia="Calibri Light"/>
                <w:color w:val="000000" w:themeColor="text1"/>
                <w:lang w:val="es"/>
              </w:rPr>
              <w:t>SMHN</w:t>
            </w:r>
            <w:r w:rsidR="008B72C9">
              <w:rPr>
                <w:rFonts w:eastAsia="Calibri Light"/>
                <w:color w:val="000000" w:themeColor="text1"/>
                <w:lang w:val="es"/>
              </w:rPr>
              <w:t>/</w:t>
            </w:r>
            <w:r w:rsidR="008C4040">
              <w:rPr>
                <w:rFonts w:eastAsia="Calibri Light"/>
                <w:color w:val="000000" w:themeColor="text1"/>
                <w:lang w:val="es"/>
              </w:rPr>
              <w:t>CRC</w:t>
            </w:r>
            <w:r w:rsidR="008B72C9">
              <w:rPr>
                <w:rFonts w:eastAsia="Calibri Light"/>
                <w:color w:val="000000" w:themeColor="text1"/>
                <w:lang w:val="es"/>
              </w:rPr>
              <w:t xml:space="preserve">, Centros de Excelencia, </w:t>
            </w:r>
            <w:r w:rsidR="00A8239C">
              <w:rPr>
                <w:rFonts w:eastAsia="Calibri Light"/>
                <w:color w:val="000000" w:themeColor="text1"/>
                <w:lang w:val="es"/>
              </w:rPr>
              <w:t>asociados</w:t>
            </w:r>
            <w:r w:rsidR="008B72C9">
              <w:rPr>
                <w:rFonts w:eastAsia="Calibri Light"/>
                <w:color w:val="000000" w:themeColor="text1"/>
                <w:lang w:val="es"/>
              </w:rPr>
              <w:t xml:space="preserve"> </w:t>
            </w:r>
            <w:r w:rsidR="00A8239C">
              <w:rPr>
                <w:rFonts w:eastAsia="Calibri Light"/>
                <w:color w:val="000000" w:themeColor="text1"/>
                <w:lang w:val="es"/>
              </w:rPr>
              <w:t>c</w:t>
            </w:r>
            <w:r w:rsidR="008B72C9">
              <w:rPr>
                <w:rFonts w:eastAsia="Calibri Light"/>
                <w:color w:val="000000" w:themeColor="text1"/>
                <w:lang w:val="es"/>
              </w:rPr>
              <w:t>olaboradores</w:t>
            </w:r>
          </w:p>
        </w:tc>
      </w:tr>
      <w:tr w:rsidR="008B72C9" w:rsidRPr="004D0E4B" w14:paraId="5FECD2E8" w14:textId="77777777" w:rsidTr="003A2C28">
        <w:tc>
          <w:tcPr>
            <w:tcW w:w="0" w:type="auto"/>
            <w:gridSpan w:val="2"/>
            <w:shd w:val="clear" w:color="auto" w:fill="365F91" w:themeFill="accent1" w:themeFillShade="BF"/>
            <w:vAlign w:val="center"/>
          </w:tcPr>
          <w:p w14:paraId="5F0863E3" w14:textId="77777777" w:rsidR="008B72C9" w:rsidRPr="004D0E4B" w:rsidRDefault="008B72C9" w:rsidP="00DB21DE">
            <w:pPr>
              <w:spacing w:line="276" w:lineRule="auto"/>
              <w:jc w:val="center"/>
              <w:rPr>
                <w:b/>
                <w:bCs/>
                <w:color w:val="FFFFFF" w:themeColor="background1"/>
              </w:rPr>
            </w:pPr>
            <w:r>
              <w:rPr>
                <w:b/>
                <w:bCs/>
                <w:color w:val="FFFFFF" w:themeColor="background1"/>
                <w:lang w:val="es"/>
              </w:rPr>
              <w:t>SEGUIMIENTO Y EVALUACIÓN</w:t>
            </w:r>
          </w:p>
        </w:tc>
      </w:tr>
      <w:tr w:rsidR="008B72C9" w:rsidRPr="00352B1C" w14:paraId="6619D8E9" w14:textId="77777777" w:rsidTr="003A2C28">
        <w:tc>
          <w:tcPr>
            <w:tcW w:w="0" w:type="auto"/>
            <w:gridSpan w:val="2"/>
            <w:shd w:val="clear" w:color="auto" w:fill="DBE5F1" w:themeFill="accent1" w:themeFillTint="33"/>
            <w:vAlign w:val="center"/>
          </w:tcPr>
          <w:p w14:paraId="1B63FE27" w14:textId="316807B4" w:rsidR="008B72C9" w:rsidRPr="00D62BCD" w:rsidRDefault="00252E1A" w:rsidP="001B787A">
            <w:pPr>
              <w:spacing w:line="276" w:lineRule="auto"/>
              <w:jc w:val="left"/>
              <w:rPr>
                <w:b/>
                <w:bCs/>
                <w:color w:val="000000" w:themeColor="text1"/>
                <w:lang w:val="es-ES"/>
              </w:rPr>
            </w:pPr>
            <w:r>
              <w:rPr>
                <w:b/>
                <w:bCs/>
                <w:color w:val="000000" w:themeColor="text1"/>
                <w:lang w:val="es"/>
              </w:rPr>
              <w:t>Objetivo</w:t>
            </w:r>
            <w:r w:rsidR="008B72C9">
              <w:rPr>
                <w:color w:val="000000" w:themeColor="text1"/>
                <w:lang w:val="es"/>
              </w:rPr>
              <w:t>: Proporcionar evidencia sobre el rendimiento, la efectividad y la rentabilidad de los servicios climáticos para salvar vidas y reducir los riesgos para la salud relacionados con el clima.</w:t>
            </w:r>
          </w:p>
        </w:tc>
      </w:tr>
      <w:tr w:rsidR="008B72C9" w:rsidRPr="00352B1C" w14:paraId="7BAA17D1" w14:textId="77777777" w:rsidTr="003A2C28">
        <w:tc>
          <w:tcPr>
            <w:tcW w:w="0" w:type="auto"/>
            <w:gridSpan w:val="2"/>
            <w:shd w:val="clear" w:color="auto" w:fill="B8CCE4" w:themeFill="accent1" w:themeFillTint="66"/>
            <w:vAlign w:val="center"/>
          </w:tcPr>
          <w:p w14:paraId="08A34C13" w14:textId="71910D0D" w:rsidR="008B72C9" w:rsidRPr="00D62BCD" w:rsidRDefault="008B72C9" w:rsidP="001B787A">
            <w:pPr>
              <w:jc w:val="left"/>
              <w:rPr>
                <w:lang w:val="es-ES"/>
              </w:rPr>
            </w:pPr>
            <w:r>
              <w:rPr>
                <w:b/>
                <w:bCs/>
                <w:lang w:val="es"/>
              </w:rPr>
              <w:t xml:space="preserve">Declaración de </w:t>
            </w:r>
            <w:r w:rsidR="00252E1A">
              <w:rPr>
                <w:b/>
                <w:bCs/>
                <w:lang w:val="es"/>
              </w:rPr>
              <w:t>s</w:t>
            </w:r>
            <w:r>
              <w:rPr>
                <w:b/>
                <w:bCs/>
                <w:lang w:val="es"/>
              </w:rPr>
              <w:t>olución:</w:t>
            </w:r>
            <w:r>
              <w:rPr>
                <w:lang w:val="es"/>
              </w:rPr>
              <w:t xml:space="preserve"> Los actuales mecanismos de recopilación de datos sobre el acceso y el uso de información meteorológica, climática, hidrológica y medioambiental fiable y pertinente carecen significativamente de precisión, rigor y alcance. Es necesario crear nuevos mecanismos para evaluar los progresos realizados y las necesidades satisfechas. La vigilancia mundial de la vulnerabilidad y los riesgos climáticos cambiantes se deja en gran medida en manos de la comunidad investigadora y a menudo proporciona pruebas limitadas a los responsables de la </w:t>
            </w:r>
            <w:r w:rsidR="00575845">
              <w:rPr>
                <w:lang w:val="es"/>
              </w:rPr>
              <w:t>elaboración</w:t>
            </w:r>
            <w:r>
              <w:rPr>
                <w:lang w:val="es"/>
              </w:rPr>
              <w:t xml:space="preserve"> de políticas. Se necesitan métodos y prácticas de evaluación más amplios para aprender e informar sobre cómo utilizar la información climática </w:t>
            </w:r>
            <w:r w:rsidR="00575845">
              <w:rPr>
                <w:lang w:val="es"/>
              </w:rPr>
              <w:t xml:space="preserve">de una forma más eficiente </w:t>
            </w:r>
            <w:r>
              <w:rPr>
                <w:lang w:val="es"/>
              </w:rPr>
              <w:t xml:space="preserve">para el cambio de comportamiento, la gestión de riesgos y la preparación de la población. Un marco riguroso de monitoreo, evaluación y aprendizaje ayudará a guiar este trabajo para </w:t>
            </w:r>
            <w:r w:rsidR="00683333">
              <w:rPr>
                <w:lang w:val="es"/>
              </w:rPr>
              <w:t>controlar</w:t>
            </w:r>
            <w:r>
              <w:rPr>
                <w:lang w:val="es"/>
              </w:rPr>
              <w:t xml:space="preserve">, aprender y mejorar iterativamente los </w:t>
            </w:r>
            <w:r w:rsidR="005470C4" w:rsidRPr="005470C4">
              <w:rPr>
                <w:lang w:val="es"/>
              </w:rPr>
              <w:t xml:space="preserve">enfoques que se están aplicando </w:t>
            </w:r>
            <w:r w:rsidR="00CE5FD2">
              <w:rPr>
                <w:lang w:val="es"/>
              </w:rPr>
              <w:t>con el fin de</w:t>
            </w:r>
            <w:r w:rsidR="005470C4" w:rsidRPr="005470C4">
              <w:rPr>
                <w:lang w:val="es"/>
              </w:rPr>
              <w:t xml:space="preserve"> ayudar a la comunidad sanitaria a hacer frente a los riesgos climáticos y medioambientales</w:t>
            </w:r>
            <w:r>
              <w:rPr>
                <w:lang w:val="es"/>
              </w:rPr>
              <w:t xml:space="preserve">. </w:t>
            </w:r>
          </w:p>
        </w:tc>
      </w:tr>
      <w:tr w:rsidR="00D700AF" w:rsidRPr="004D0E4B" w14:paraId="2B20708E" w14:textId="77777777" w:rsidTr="003A2C28">
        <w:tc>
          <w:tcPr>
            <w:tcW w:w="0" w:type="auto"/>
            <w:shd w:val="clear" w:color="auto" w:fill="4F81BD" w:themeFill="accent1"/>
            <w:vAlign w:val="center"/>
          </w:tcPr>
          <w:p w14:paraId="47609F7E" w14:textId="77777777" w:rsidR="008B72C9" w:rsidRPr="004D0E4B" w:rsidRDefault="008B72C9" w:rsidP="00DB21DE">
            <w:pPr>
              <w:spacing w:line="276" w:lineRule="auto"/>
              <w:ind w:left="360"/>
              <w:jc w:val="center"/>
              <w:rPr>
                <w:b/>
                <w:bCs/>
                <w:color w:val="FFFFFF" w:themeColor="background1"/>
              </w:rPr>
            </w:pPr>
            <w:r>
              <w:rPr>
                <w:b/>
                <w:bCs/>
                <w:color w:val="FFFFFF" w:themeColor="background1"/>
                <w:lang w:val="es"/>
              </w:rPr>
              <w:t xml:space="preserve">ACTIVIDADES PROPUESTAS </w:t>
            </w:r>
          </w:p>
        </w:tc>
        <w:tc>
          <w:tcPr>
            <w:tcW w:w="0" w:type="auto"/>
            <w:shd w:val="clear" w:color="auto" w:fill="4F81BD" w:themeFill="accent1"/>
            <w:vAlign w:val="center"/>
          </w:tcPr>
          <w:p w14:paraId="60D37445" w14:textId="77777777" w:rsidR="008B72C9" w:rsidRPr="004D0E4B" w:rsidRDefault="00211B6C" w:rsidP="00DB21DE">
            <w:pPr>
              <w:spacing w:line="276" w:lineRule="auto"/>
              <w:ind w:left="360"/>
              <w:jc w:val="center"/>
              <w:rPr>
                <w:b/>
                <w:bCs/>
                <w:color w:val="FFFFFF" w:themeColor="background1"/>
              </w:rPr>
            </w:pPr>
            <w:r>
              <w:rPr>
                <w:b/>
                <w:bCs/>
                <w:color w:val="FFFFFF" w:themeColor="background1"/>
                <w:lang w:val="es"/>
              </w:rPr>
              <w:t>POSIBLES MECANISMOS DE APOYO</w:t>
            </w:r>
          </w:p>
        </w:tc>
      </w:tr>
      <w:tr w:rsidR="00D700AF" w:rsidRPr="00352B1C" w14:paraId="0C5BBEF5" w14:textId="77777777" w:rsidTr="003A2C28">
        <w:tc>
          <w:tcPr>
            <w:tcW w:w="0" w:type="auto"/>
          </w:tcPr>
          <w:p w14:paraId="168ACA3C" w14:textId="025232A2" w:rsidR="008B72C9" w:rsidRPr="00D62BCD" w:rsidRDefault="008B72C9" w:rsidP="002B18FB">
            <w:pPr>
              <w:spacing w:line="276" w:lineRule="auto"/>
              <w:jc w:val="left"/>
              <w:rPr>
                <w:color w:val="000000" w:themeColor="text1"/>
                <w:lang w:val="es-ES"/>
              </w:rPr>
            </w:pPr>
            <w:r>
              <w:rPr>
                <w:b/>
                <w:bCs/>
                <w:color w:val="000000" w:themeColor="text1"/>
                <w:lang w:val="es"/>
              </w:rPr>
              <w:lastRenderedPageBreak/>
              <w:t>Desarrollar un marco de monitoreo, evaluación y aprendizaje</w:t>
            </w:r>
            <w:r>
              <w:rPr>
                <w:color w:val="000000" w:themeColor="text1"/>
                <w:lang w:val="es"/>
              </w:rPr>
              <w:t xml:space="preserve"> para respaldar el análisis y el aprendizaje </w:t>
            </w:r>
            <w:r w:rsidR="00CE5FD2">
              <w:rPr>
                <w:color w:val="000000" w:themeColor="text1"/>
                <w:lang w:val="es"/>
              </w:rPr>
              <w:t>con el fin de</w:t>
            </w:r>
            <w:r>
              <w:rPr>
                <w:color w:val="000000" w:themeColor="text1"/>
                <w:lang w:val="es"/>
              </w:rPr>
              <w:t xml:space="preserve"> </w:t>
            </w:r>
            <w:r>
              <w:rPr>
                <w:rStyle w:val="normaltextrun"/>
                <w:color w:val="000000" w:themeColor="text1"/>
                <w:lang w:val="es"/>
              </w:rPr>
              <w:t>avanzar en la ciencia y los servicios climáticos integrados</w:t>
            </w:r>
            <w:r>
              <w:rPr>
                <w:color w:val="000000" w:themeColor="text1"/>
                <w:lang w:val="es"/>
              </w:rPr>
              <w:t xml:space="preserve"> para la salud </w:t>
            </w:r>
          </w:p>
        </w:tc>
        <w:tc>
          <w:tcPr>
            <w:tcW w:w="0" w:type="auto"/>
          </w:tcPr>
          <w:p w14:paraId="657D20AF" w14:textId="77777777" w:rsidR="008B72C9" w:rsidRPr="00D62BCD" w:rsidRDefault="008B72C9" w:rsidP="002B18FB">
            <w:pPr>
              <w:spacing w:line="276" w:lineRule="auto"/>
              <w:jc w:val="left"/>
              <w:rPr>
                <w:rStyle w:val="normaltextrun"/>
                <w:lang w:val="es-ES"/>
              </w:rPr>
            </w:pPr>
            <w:r>
              <w:rPr>
                <w:rStyle w:val="normaltextrun"/>
                <w:color w:val="000000" w:themeColor="text1"/>
                <w:lang w:val="es"/>
              </w:rPr>
              <w:t>Órganos técnicos apropiados,</w:t>
            </w:r>
            <w:r>
              <w:rPr>
                <w:rStyle w:val="normaltextrun"/>
                <w:lang w:val="es"/>
              </w:rPr>
              <w:t xml:space="preserve"> Programa</w:t>
            </w:r>
            <w:r>
              <w:rPr>
                <w:rStyle w:val="normaltextrun"/>
                <w:color w:val="000000" w:themeColor="text1"/>
                <w:lang w:val="es"/>
              </w:rPr>
              <w:t xml:space="preserve"> Conjunto OMS-MMO sobre el Clima y la Salud, asociados y entidades colaboradores </w:t>
            </w:r>
          </w:p>
        </w:tc>
      </w:tr>
      <w:tr w:rsidR="00D700AF" w:rsidRPr="00352B1C" w14:paraId="2B62FD11" w14:textId="77777777" w:rsidTr="003A2C28">
        <w:tc>
          <w:tcPr>
            <w:tcW w:w="0" w:type="auto"/>
          </w:tcPr>
          <w:p w14:paraId="36B96744" w14:textId="505666C8" w:rsidR="006607B7" w:rsidRPr="00D62BCD" w:rsidRDefault="006607B7" w:rsidP="002B18FB">
            <w:pPr>
              <w:spacing w:line="276" w:lineRule="auto"/>
              <w:jc w:val="left"/>
              <w:rPr>
                <w:color w:val="000000" w:themeColor="text1"/>
                <w:lang w:val="es-ES"/>
              </w:rPr>
            </w:pPr>
            <w:r>
              <w:rPr>
                <w:b/>
                <w:bCs/>
                <w:color w:val="000000" w:themeColor="text1"/>
                <w:lang w:val="es"/>
              </w:rPr>
              <w:t xml:space="preserve">Fortalecer los sistemas de </w:t>
            </w:r>
            <w:r w:rsidR="00F0042A">
              <w:rPr>
                <w:b/>
                <w:bCs/>
                <w:color w:val="000000" w:themeColor="text1"/>
                <w:lang w:val="es"/>
              </w:rPr>
              <w:t>responsabilidad</w:t>
            </w:r>
            <w:r>
              <w:rPr>
                <w:b/>
                <w:bCs/>
                <w:color w:val="000000" w:themeColor="text1"/>
                <w:lang w:val="es"/>
              </w:rPr>
              <w:t xml:space="preserve"> y supervisión, supervisar e informar </w:t>
            </w:r>
            <w:r w:rsidR="00181FC4">
              <w:rPr>
                <w:color w:val="000000" w:themeColor="text1"/>
                <w:lang w:val="es"/>
              </w:rPr>
              <w:t>con</w:t>
            </w:r>
            <w:r>
              <w:rPr>
                <w:color w:val="000000" w:themeColor="text1"/>
                <w:lang w:val="es"/>
              </w:rPr>
              <w:t xml:space="preserve"> una </w:t>
            </w:r>
            <w:r w:rsidR="00A42B6E">
              <w:rPr>
                <w:color w:val="000000" w:themeColor="text1"/>
                <w:lang w:val="es"/>
              </w:rPr>
              <w:t>periodicidad</w:t>
            </w:r>
            <w:r>
              <w:rPr>
                <w:color w:val="000000" w:themeColor="text1"/>
                <w:lang w:val="es"/>
              </w:rPr>
              <w:t xml:space="preserve"> acordada (2 o 3 años) de la disponibilidad y el uso de productos y servicios de información climática para el sector de la salud</w:t>
            </w:r>
          </w:p>
        </w:tc>
        <w:tc>
          <w:tcPr>
            <w:tcW w:w="0" w:type="auto"/>
            <w:vMerge w:val="restart"/>
          </w:tcPr>
          <w:p w14:paraId="0C68CBE6" w14:textId="1D0A9773" w:rsidR="006607B7" w:rsidRPr="00D62BCD" w:rsidRDefault="006607B7" w:rsidP="002B18FB">
            <w:pPr>
              <w:spacing w:line="276" w:lineRule="auto"/>
              <w:jc w:val="left"/>
              <w:rPr>
                <w:rStyle w:val="normaltextrun"/>
                <w:lang w:val="es-ES"/>
              </w:rPr>
            </w:pPr>
            <w:r>
              <w:rPr>
                <w:rStyle w:val="normaltextrun"/>
                <w:lang w:val="es"/>
              </w:rPr>
              <w:t xml:space="preserve">Mecanismos </w:t>
            </w:r>
            <w:r w:rsidR="00A671CE">
              <w:rPr>
                <w:rStyle w:val="normaltextrun"/>
                <w:lang w:val="es"/>
              </w:rPr>
              <w:t>p</w:t>
            </w:r>
            <w:r w:rsidR="00A671CE" w:rsidRPr="00A671CE">
              <w:rPr>
                <w:rStyle w:val="normaltextrun"/>
                <w:lang w:val="es-ES"/>
              </w:rPr>
              <w:t>e</w:t>
            </w:r>
            <w:r w:rsidR="00A671CE">
              <w:rPr>
                <w:rStyle w:val="normaltextrun"/>
                <w:lang w:val="es-ES"/>
              </w:rPr>
              <w:t>ndientes de determinar</w:t>
            </w:r>
            <w:r w:rsidR="00A671CE">
              <w:rPr>
                <w:rStyle w:val="normaltextrun"/>
                <w:lang w:val="es"/>
              </w:rPr>
              <w:t>;</w:t>
            </w:r>
            <w:r>
              <w:rPr>
                <w:rStyle w:val="normaltextrun"/>
                <w:lang w:val="es"/>
              </w:rPr>
              <w:t xml:space="preserve"> Miembros y </w:t>
            </w:r>
            <w:r w:rsidR="00A671CE">
              <w:rPr>
                <w:rStyle w:val="normaltextrun"/>
                <w:lang w:val="es"/>
              </w:rPr>
              <w:t>asociados</w:t>
            </w:r>
            <w:r>
              <w:rPr>
                <w:rStyle w:val="normaltextrun"/>
                <w:lang w:val="es"/>
              </w:rPr>
              <w:t xml:space="preserve"> colaboradores</w:t>
            </w:r>
            <w:r w:rsidR="00A671CE">
              <w:rPr>
                <w:rStyle w:val="normaltextrun"/>
                <w:lang w:val="es"/>
              </w:rPr>
              <w:t xml:space="preserve">; </w:t>
            </w:r>
            <w:r>
              <w:rPr>
                <w:rStyle w:val="normaltextrun"/>
                <w:color w:val="000000" w:themeColor="text1"/>
                <w:lang w:val="es"/>
              </w:rPr>
              <w:t>panel y portal de datos</w:t>
            </w:r>
            <w:r w:rsidR="00A671CE">
              <w:rPr>
                <w:rStyle w:val="normaltextrun"/>
                <w:color w:val="000000" w:themeColor="text1"/>
                <w:lang w:val="es"/>
              </w:rPr>
              <w:t>:</w:t>
            </w:r>
            <w:r>
              <w:rPr>
                <w:lang w:val="es"/>
              </w:rPr>
              <w:t xml:space="preserve"> ClimaHealth.info</w:t>
            </w:r>
          </w:p>
        </w:tc>
      </w:tr>
      <w:tr w:rsidR="00D700AF" w:rsidRPr="00352B1C" w14:paraId="30EA2C71" w14:textId="77777777" w:rsidTr="003A2C28">
        <w:tc>
          <w:tcPr>
            <w:tcW w:w="0" w:type="auto"/>
          </w:tcPr>
          <w:p w14:paraId="0F933CBA" w14:textId="3C5C81F5" w:rsidR="006607B7" w:rsidRPr="00D62BCD" w:rsidDel="00B72EF5" w:rsidRDefault="006607B7" w:rsidP="002B18FB">
            <w:pPr>
              <w:spacing w:line="276" w:lineRule="auto"/>
              <w:jc w:val="left"/>
              <w:rPr>
                <w:b/>
                <w:bCs/>
                <w:color w:val="000000" w:themeColor="text1"/>
                <w:lang w:val="es-ES"/>
              </w:rPr>
            </w:pPr>
            <w:r>
              <w:rPr>
                <w:b/>
                <w:bCs/>
                <w:color w:val="000000" w:themeColor="text1"/>
                <w:lang w:val="es"/>
              </w:rPr>
              <w:t xml:space="preserve">Monitorear los riesgos para la salud y los impactos del clima en los </w:t>
            </w:r>
            <w:r w:rsidR="004E52AC">
              <w:rPr>
                <w:b/>
                <w:bCs/>
                <w:color w:val="000000" w:themeColor="text1"/>
                <w:lang w:val="es"/>
              </w:rPr>
              <w:t>efectos</w:t>
            </w:r>
            <w:r>
              <w:rPr>
                <w:b/>
                <w:bCs/>
                <w:color w:val="000000" w:themeColor="text1"/>
                <w:lang w:val="es"/>
              </w:rPr>
              <w:t xml:space="preserve"> y sistemas de </w:t>
            </w:r>
            <w:r w:rsidR="004E52AC">
              <w:rPr>
                <w:b/>
                <w:bCs/>
                <w:color w:val="000000" w:themeColor="text1"/>
                <w:lang w:val="es"/>
              </w:rPr>
              <w:t xml:space="preserve">la </w:t>
            </w:r>
            <w:r>
              <w:rPr>
                <w:b/>
                <w:bCs/>
                <w:color w:val="000000" w:themeColor="text1"/>
                <w:lang w:val="es"/>
              </w:rPr>
              <w:t>salud (por ejemplo,</w:t>
            </w:r>
            <w:r w:rsidR="00DA65F6">
              <w:rPr>
                <w:b/>
                <w:bCs/>
                <w:color w:val="000000" w:themeColor="text1"/>
                <w:lang w:val="es"/>
              </w:rPr>
              <w:t xml:space="preserve"> la</w:t>
            </w:r>
            <w:r>
              <w:rPr>
                <w:b/>
                <w:bCs/>
                <w:color w:val="000000" w:themeColor="text1"/>
                <w:lang w:val="es"/>
              </w:rPr>
              <w:t xml:space="preserve"> </w:t>
            </w:r>
            <w:r w:rsidR="005B2651">
              <w:rPr>
                <w:b/>
                <w:bCs/>
                <w:color w:val="000000" w:themeColor="text1"/>
                <w:lang w:val="es"/>
              </w:rPr>
              <w:t xml:space="preserve">mejora de la </w:t>
            </w:r>
            <w:r w:rsidR="004E0A34">
              <w:rPr>
                <w:b/>
                <w:bCs/>
                <w:color w:val="000000" w:themeColor="text1"/>
                <w:lang w:val="es"/>
              </w:rPr>
              <w:t>métrica</w:t>
            </w:r>
            <w:r>
              <w:rPr>
                <w:b/>
                <w:bCs/>
                <w:color w:val="000000" w:themeColor="text1"/>
                <w:lang w:val="es"/>
              </w:rPr>
              <w:t xml:space="preserve">, </w:t>
            </w:r>
            <w:r w:rsidR="00DA65F6">
              <w:rPr>
                <w:b/>
                <w:bCs/>
                <w:color w:val="000000" w:themeColor="text1"/>
                <w:lang w:val="es"/>
              </w:rPr>
              <w:t xml:space="preserve">los </w:t>
            </w:r>
            <w:r>
              <w:rPr>
                <w:b/>
                <w:bCs/>
                <w:color w:val="000000" w:themeColor="text1"/>
                <w:lang w:val="es"/>
              </w:rPr>
              <w:t xml:space="preserve">sistemas de monitoreo, </w:t>
            </w:r>
            <w:r w:rsidR="00F708A8">
              <w:rPr>
                <w:b/>
                <w:bCs/>
                <w:color w:val="000000" w:themeColor="text1"/>
                <w:lang w:val="es"/>
              </w:rPr>
              <w:t xml:space="preserve">la </w:t>
            </w:r>
            <w:r>
              <w:rPr>
                <w:b/>
                <w:bCs/>
                <w:color w:val="000000" w:themeColor="text1"/>
                <w:lang w:val="es"/>
              </w:rPr>
              <w:t>promoción)</w:t>
            </w:r>
          </w:p>
        </w:tc>
        <w:tc>
          <w:tcPr>
            <w:tcW w:w="0" w:type="auto"/>
            <w:vMerge/>
          </w:tcPr>
          <w:p w14:paraId="1E8D61B5" w14:textId="77777777" w:rsidR="006607B7" w:rsidRPr="00D62BCD" w:rsidRDefault="006607B7" w:rsidP="00DB21DE">
            <w:pPr>
              <w:spacing w:line="276" w:lineRule="auto"/>
              <w:rPr>
                <w:rStyle w:val="normaltextrun"/>
                <w:lang w:val="es-ES"/>
              </w:rPr>
            </w:pPr>
          </w:p>
        </w:tc>
      </w:tr>
      <w:tr w:rsidR="00D700AF" w:rsidRPr="00352B1C" w14:paraId="65CA9918" w14:textId="77777777" w:rsidTr="003A2C28">
        <w:tc>
          <w:tcPr>
            <w:tcW w:w="0" w:type="auto"/>
          </w:tcPr>
          <w:p w14:paraId="22B7B86B" w14:textId="77777777" w:rsidR="006607B7" w:rsidRPr="00D62BCD" w:rsidRDefault="006607B7" w:rsidP="002B18FB">
            <w:pPr>
              <w:spacing w:line="276" w:lineRule="auto"/>
              <w:jc w:val="left"/>
              <w:rPr>
                <w:color w:val="000000" w:themeColor="text1"/>
                <w:lang w:val="es-ES"/>
              </w:rPr>
            </w:pPr>
            <w:r>
              <w:rPr>
                <w:b/>
                <w:bCs/>
                <w:color w:val="000000" w:themeColor="text1"/>
                <w:lang w:val="es"/>
              </w:rPr>
              <w:t xml:space="preserve">Apoyar una evaluación más rigurosa de los servicios climáticos para la salud, incluidos los sistemas de alerta temprana, </w:t>
            </w:r>
            <w:r w:rsidRPr="008C38CB">
              <w:rPr>
                <w:color w:val="000000" w:themeColor="text1"/>
                <w:lang w:val="es"/>
              </w:rPr>
              <w:t>los sistemas</w:t>
            </w:r>
            <w:r>
              <w:rPr>
                <w:color w:val="000000" w:themeColor="text1"/>
                <w:lang w:val="es"/>
              </w:rPr>
              <w:t xml:space="preserve"> de vigilancia basados en el clima y las evaluaciones de la vulnerabilidad y la adaptación, empezando por los métodos y los proyectos piloto en múltiples regiones</w:t>
            </w:r>
          </w:p>
        </w:tc>
        <w:tc>
          <w:tcPr>
            <w:tcW w:w="0" w:type="auto"/>
            <w:vMerge/>
          </w:tcPr>
          <w:p w14:paraId="7D2A9608" w14:textId="77777777" w:rsidR="006607B7" w:rsidRPr="00D62BCD" w:rsidRDefault="006607B7" w:rsidP="00DB21DE">
            <w:pPr>
              <w:spacing w:line="276" w:lineRule="auto"/>
              <w:rPr>
                <w:b/>
                <w:bCs/>
                <w:color w:val="000000" w:themeColor="text1"/>
                <w:lang w:val="es-ES"/>
              </w:rPr>
            </w:pPr>
          </w:p>
        </w:tc>
      </w:tr>
      <w:tr w:rsidR="00D700AF" w:rsidRPr="00352B1C" w14:paraId="3BF3C6FF" w14:textId="77777777" w:rsidTr="003A2C28">
        <w:tc>
          <w:tcPr>
            <w:tcW w:w="0" w:type="auto"/>
          </w:tcPr>
          <w:p w14:paraId="28600A68" w14:textId="672DD004" w:rsidR="006607B7" w:rsidRPr="00D62BCD" w:rsidRDefault="006607B7" w:rsidP="002B18FB">
            <w:pPr>
              <w:spacing w:line="276" w:lineRule="auto"/>
              <w:jc w:val="left"/>
              <w:rPr>
                <w:b/>
                <w:bCs/>
                <w:color w:val="000000" w:themeColor="text1"/>
                <w:lang w:val="es-ES"/>
              </w:rPr>
            </w:pPr>
            <w:r>
              <w:rPr>
                <w:b/>
                <w:bCs/>
                <w:color w:val="000000" w:themeColor="text1"/>
                <w:lang w:val="es"/>
              </w:rPr>
              <w:t xml:space="preserve">Desarrollar </w:t>
            </w:r>
            <w:r w:rsidR="00E9682C">
              <w:rPr>
                <w:b/>
                <w:bCs/>
                <w:color w:val="000000" w:themeColor="text1"/>
                <w:lang w:val="es"/>
              </w:rPr>
              <w:t xml:space="preserve">una </w:t>
            </w:r>
            <w:r w:rsidR="00FB4B7F">
              <w:rPr>
                <w:b/>
                <w:bCs/>
                <w:color w:val="000000" w:themeColor="text1"/>
                <w:lang w:val="es"/>
              </w:rPr>
              <w:t>documentación</w:t>
            </w:r>
            <w:r>
              <w:rPr>
                <w:b/>
                <w:bCs/>
                <w:color w:val="000000" w:themeColor="text1"/>
                <w:lang w:val="es"/>
              </w:rPr>
              <w:t xml:space="preserve"> sistemática </w:t>
            </w:r>
            <w:r w:rsidR="00FB4B7F">
              <w:rPr>
                <w:b/>
                <w:bCs/>
                <w:color w:val="000000" w:themeColor="text1"/>
                <w:lang w:val="es"/>
              </w:rPr>
              <w:t>de</w:t>
            </w:r>
            <w:r>
              <w:rPr>
                <w:b/>
                <w:bCs/>
                <w:color w:val="000000" w:themeColor="text1"/>
                <w:lang w:val="es"/>
              </w:rPr>
              <w:t xml:space="preserve"> los beneficios socioeconómicos y de salud </w:t>
            </w:r>
            <w:r w:rsidR="00FB4B7F">
              <w:rPr>
                <w:color w:val="000000" w:themeColor="text1"/>
                <w:lang w:val="es"/>
              </w:rPr>
              <w:t>asociados al</w:t>
            </w:r>
            <w:r>
              <w:rPr>
                <w:color w:val="000000" w:themeColor="text1"/>
                <w:lang w:val="es"/>
              </w:rPr>
              <w:t xml:space="preserve"> uso de la ciencia y los servicios climáticos en el sector de la salud</w:t>
            </w:r>
          </w:p>
        </w:tc>
        <w:tc>
          <w:tcPr>
            <w:tcW w:w="0" w:type="auto"/>
            <w:vMerge/>
          </w:tcPr>
          <w:p w14:paraId="077C05B6" w14:textId="77777777" w:rsidR="006607B7" w:rsidRPr="00D62BCD" w:rsidRDefault="006607B7" w:rsidP="00DB21DE">
            <w:pPr>
              <w:spacing w:line="276" w:lineRule="auto"/>
              <w:rPr>
                <w:color w:val="000000" w:themeColor="text1"/>
                <w:lang w:val="es-ES"/>
              </w:rPr>
            </w:pPr>
          </w:p>
        </w:tc>
      </w:tr>
    </w:tbl>
    <w:p w14:paraId="49B77B14" w14:textId="454C3CFA" w:rsidR="006607B7" w:rsidRPr="00D62BCD" w:rsidRDefault="005D3FBD" w:rsidP="00D40F6B">
      <w:pPr>
        <w:pStyle w:val="Heading3"/>
        <w:numPr>
          <w:ilvl w:val="0"/>
          <w:numId w:val="11"/>
        </w:numPr>
        <w:ind w:left="1134" w:hanging="1134"/>
        <w:rPr>
          <w:lang w:val="es-ES"/>
        </w:rPr>
      </w:pPr>
      <w:r>
        <w:rPr>
          <w:lang w:val="es"/>
        </w:rPr>
        <w:t>ÁMBITOS</w:t>
      </w:r>
      <w:r w:rsidR="006607B7">
        <w:rPr>
          <w:lang w:val="es"/>
        </w:rPr>
        <w:t xml:space="preserve"> DE</w:t>
      </w:r>
      <w:r>
        <w:rPr>
          <w:lang w:val="es"/>
        </w:rPr>
        <w:t>L</w:t>
      </w:r>
      <w:r w:rsidR="006607B7">
        <w:rPr>
          <w:lang w:val="es"/>
        </w:rPr>
        <w:t xml:space="preserve"> GRAN DESAFÍO </w:t>
      </w:r>
      <w:r w:rsidR="00CF5F5D">
        <w:rPr>
          <w:lang w:val="es"/>
        </w:rPr>
        <w:t>EN MATERIA DEL</w:t>
      </w:r>
      <w:r w:rsidR="006607B7">
        <w:rPr>
          <w:lang w:val="es"/>
        </w:rPr>
        <w:t xml:space="preserve"> CLIMA, EL MEDIOAMBIENTE Y LA SALUD</w:t>
      </w:r>
    </w:p>
    <w:p w14:paraId="6854298B" w14:textId="349043A4" w:rsidR="00402DFC" w:rsidRPr="00D62BCD" w:rsidRDefault="008B72C9" w:rsidP="00320095">
      <w:pPr>
        <w:spacing w:before="240" w:after="240"/>
        <w:jc w:val="left"/>
        <w:rPr>
          <w:color w:val="000000" w:themeColor="text1"/>
          <w:lang w:val="es-ES"/>
        </w:rPr>
      </w:pPr>
      <w:r>
        <w:rPr>
          <w:color w:val="000000" w:themeColor="text1"/>
          <w:lang w:val="es"/>
        </w:rPr>
        <w:t>Los grandes desafíos en</w:t>
      </w:r>
      <w:r w:rsidR="00CF5F5D">
        <w:rPr>
          <w:color w:val="000000" w:themeColor="text1"/>
          <w:lang w:val="es"/>
        </w:rPr>
        <w:t xml:space="preserve"> materia</w:t>
      </w:r>
      <w:r>
        <w:rPr>
          <w:color w:val="000000" w:themeColor="text1"/>
          <w:lang w:val="es"/>
        </w:rPr>
        <w:t xml:space="preserve"> </w:t>
      </w:r>
      <w:r w:rsidR="00CF5F5D">
        <w:rPr>
          <w:color w:val="000000" w:themeColor="text1"/>
          <w:lang w:val="es"/>
        </w:rPr>
        <w:t>d</w:t>
      </w:r>
      <w:r>
        <w:rPr>
          <w:color w:val="000000" w:themeColor="text1"/>
          <w:lang w:val="es"/>
        </w:rPr>
        <w:t xml:space="preserve">el clima, el medioambiente y la salud responden a algunos de los riesgos climáticos y </w:t>
      </w:r>
      <w:r w:rsidR="00F1754B">
        <w:rPr>
          <w:color w:val="000000" w:themeColor="text1"/>
          <w:lang w:val="es"/>
        </w:rPr>
        <w:t>medio</w:t>
      </w:r>
      <w:r>
        <w:rPr>
          <w:color w:val="000000" w:themeColor="text1"/>
          <w:lang w:val="es"/>
        </w:rPr>
        <w:t xml:space="preserve">ambientales más urgentes para la salud: </w:t>
      </w:r>
      <w:r w:rsidR="00F1754B">
        <w:rPr>
          <w:color w:val="000000" w:themeColor="text1"/>
          <w:lang w:val="es"/>
        </w:rPr>
        <w:t>e</w:t>
      </w:r>
      <w:r>
        <w:rPr>
          <w:color w:val="000000" w:themeColor="text1"/>
          <w:lang w:val="es"/>
        </w:rPr>
        <w:t xml:space="preserve">l calor extremo, la mala calidad del aire, la escasez de agua, las enfermedades infecciosas, la seguridad alimentaria y los servicios de salud interrumpidos y disfuncionales. Se han esbozado ejemplos e ideas iniciales para las esferas temáticas, pero se seguirán elaborando planes de trabajo completos con los asociados y las comunidades de expertos </w:t>
      </w:r>
      <w:r w:rsidR="006A432D">
        <w:rPr>
          <w:color w:val="000000" w:themeColor="text1"/>
          <w:lang w:val="es"/>
        </w:rPr>
        <w:t>correspondientes</w:t>
      </w:r>
      <w:r>
        <w:rPr>
          <w:color w:val="000000" w:themeColor="text1"/>
          <w:lang w:val="es"/>
        </w:rPr>
        <w:t xml:space="preserve"> durante el año de inicio de este plan.</w:t>
      </w:r>
    </w:p>
    <w:tbl>
      <w:tblPr>
        <w:tblStyle w:val="TableGrid"/>
        <w:tblW w:w="9634" w:type="dxa"/>
        <w:tblInd w:w="-5" w:type="dxa"/>
        <w:tblCellMar>
          <w:top w:w="108" w:type="dxa"/>
          <w:bottom w:w="108" w:type="dxa"/>
        </w:tblCellMar>
        <w:tblLook w:val="04A0" w:firstRow="1" w:lastRow="0" w:firstColumn="1" w:lastColumn="0" w:noHBand="0" w:noVBand="1"/>
      </w:tblPr>
      <w:tblGrid>
        <w:gridCol w:w="883"/>
        <w:gridCol w:w="8751"/>
      </w:tblGrid>
      <w:tr w:rsidR="008B72C9" w:rsidRPr="00352B1C" w14:paraId="00650173" w14:textId="77777777" w:rsidTr="007714A6">
        <w:trPr>
          <w:trHeight w:val="575"/>
        </w:trPr>
        <w:tc>
          <w:tcPr>
            <w:tcW w:w="9634" w:type="dxa"/>
            <w:gridSpan w:val="2"/>
            <w:shd w:val="clear" w:color="auto" w:fill="FABF8F" w:themeFill="accent6" w:themeFillTint="99"/>
            <w:vAlign w:val="center"/>
          </w:tcPr>
          <w:p w14:paraId="7FCAB174" w14:textId="62FBB722" w:rsidR="008B72C9" w:rsidRPr="00D62BCD" w:rsidRDefault="008B72C9" w:rsidP="00DB21DE">
            <w:pPr>
              <w:spacing w:line="276" w:lineRule="auto"/>
              <w:rPr>
                <w:b/>
                <w:bCs/>
                <w:color w:val="000000" w:themeColor="text1"/>
                <w:lang w:val="es-ES"/>
              </w:rPr>
            </w:pPr>
            <w:r>
              <w:rPr>
                <w:b/>
                <w:bCs/>
                <w:color w:val="000000" w:themeColor="text1"/>
                <w:lang w:val="es"/>
              </w:rPr>
              <w:t xml:space="preserve">Salud y </w:t>
            </w:r>
            <w:r w:rsidR="004F6708">
              <w:rPr>
                <w:b/>
                <w:bCs/>
                <w:color w:val="000000" w:themeColor="text1"/>
                <w:lang w:val="es"/>
              </w:rPr>
              <w:t>n</w:t>
            </w:r>
            <w:r>
              <w:rPr>
                <w:b/>
                <w:bCs/>
                <w:color w:val="000000" w:themeColor="text1"/>
                <w:lang w:val="es"/>
              </w:rPr>
              <w:t xml:space="preserve">exos </w:t>
            </w:r>
            <w:r w:rsidR="004F6708">
              <w:rPr>
                <w:b/>
                <w:bCs/>
                <w:color w:val="000000" w:themeColor="text1"/>
                <w:lang w:val="es"/>
              </w:rPr>
              <w:t>u</w:t>
            </w:r>
            <w:r>
              <w:rPr>
                <w:b/>
                <w:bCs/>
                <w:color w:val="000000" w:themeColor="text1"/>
                <w:lang w:val="es"/>
              </w:rPr>
              <w:t>rbanos</w:t>
            </w:r>
          </w:p>
          <w:p w14:paraId="1E06A7ED" w14:textId="5BA39B77" w:rsidR="008B72C9" w:rsidRPr="00D62BCD" w:rsidRDefault="008B72C9" w:rsidP="00DB21DE">
            <w:pPr>
              <w:spacing w:line="276" w:lineRule="auto"/>
              <w:rPr>
                <w:b/>
                <w:bCs/>
                <w:color w:val="000000" w:themeColor="text1"/>
                <w:lang w:val="es-ES"/>
              </w:rPr>
            </w:pPr>
            <w:r>
              <w:rPr>
                <w:b/>
                <w:bCs/>
                <w:color w:val="000000" w:themeColor="text1"/>
                <w:lang w:val="es"/>
              </w:rPr>
              <w:t xml:space="preserve">(Fenómenos meteorológicos extremos, calor, </w:t>
            </w:r>
            <w:r w:rsidR="00073195">
              <w:rPr>
                <w:b/>
                <w:bCs/>
                <w:color w:val="000000" w:themeColor="text1"/>
                <w:lang w:val="es"/>
              </w:rPr>
              <w:t>incendio</w:t>
            </w:r>
            <w:r w:rsidR="00BE6C03">
              <w:rPr>
                <w:b/>
                <w:bCs/>
                <w:color w:val="000000" w:themeColor="text1"/>
                <w:lang w:val="es"/>
              </w:rPr>
              <w:t>s</w:t>
            </w:r>
            <w:r>
              <w:rPr>
                <w:b/>
                <w:bCs/>
                <w:color w:val="000000" w:themeColor="text1"/>
                <w:lang w:val="es"/>
              </w:rPr>
              <w:t xml:space="preserve">, </w:t>
            </w:r>
            <w:r w:rsidR="000D69AE">
              <w:rPr>
                <w:b/>
                <w:bCs/>
                <w:color w:val="000000" w:themeColor="text1"/>
                <w:lang w:val="es"/>
              </w:rPr>
              <w:t xml:space="preserve">mala </w:t>
            </w:r>
            <w:r>
              <w:rPr>
                <w:b/>
                <w:bCs/>
                <w:color w:val="000000" w:themeColor="text1"/>
                <w:lang w:val="es"/>
              </w:rPr>
              <w:t xml:space="preserve">calidad del aire, </w:t>
            </w:r>
            <w:r w:rsidR="00E52506">
              <w:rPr>
                <w:b/>
                <w:bCs/>
                <w:color w:val="000000" w:themeColor="text1"/>
                <w:lang w:val="es"/>
              </w:rPr>
              <w:t>radiación ultravioleta</w:t>
            </w:r>
            <w:r>
              <w:rPr>
                <w:b/>
                <w:bCs/>
                <w:color w:val="000000" w:themeColor="text1"/>
                <w:lang w:val="es"/>
              </w:rPr>
              <w:t>, estrés hídrico)</w:t>
            </w:r>
          </w:p>
        </w:tc>
      </w:tr>
      <w:tr w:rsidR="008B72C9" w:rsidRPr="00352B1C" w14:paraId="1B22A266" w14:textId="77777777" w:rsidTr="007714A6">
        <w:trPr>
          <w:trHeight w:val="747"/>
        </w:trPr>
        <w:tc>
          <w:tcPr>
            <w:tcW w:w="883" w:type="dxa"/>
          </w:tcPr>
          <w:p w14:paraId="3DF53DCB" w14:textId="77777777" w:rsidR="008B72C9" w:rsidRPr="00D62BCD" w:rsidRDefault="008B72C9" w:rsidP="00DB21DE">
            <w:pPr>
              <w:spacing w:line="276" w:lineRule="auto"/>
              <w:rPr>
                <w:b/>
                <w:bCs/>
                <w:color w:val="000000" w:themeColor="text1"/>
                <w:lang w:val="es-ES"/>
              </w:rPr>
            </w:pPr>
          </w:p>
        </w:tc>
        <w:tc>
          <w:tcPr>
            <w:tcW w:w="8751" w:type="dxa"/>
          </w:tcPr>
          <w:p w14:paraId="04506440" w14:textId="38F08F2D" w:rsidR="008B72C9" w:rsidRPr="00D62BCD" w:rsidRDefault="008B72C9" w:rsidP="00320095">
            <w:pPr>
              <w:spacing w:line="276" w:lineRule="auto"/>
              <w:jc w:val="left"/>
              <w:rPr>
                <w:color w:val="000000" w:themeColor="text1"/>
                <w:lang w:val="es-ES"/>
              </w:rPr>
            </w:pPr>
            <w:r>
              <w:rPr>
                <w:b/>
                <w:bCs/>
                <w:color w:val="000000" w:themeColor="text1"/>
                <w:lang w:val="es"/>
              </w:rPr>
              <w:t>Desarrollo de capacidad y ampliación de intervenciones</w:t>
            </w:r>
            <w:r>
              <w:rPr>
                <w:color w:val="000000" w:themeColor="text1"/>
                <w:lang w:val="es"/>
              </w:rPr>
              <w:t xml:space="preserve"> para comprender, pronosticar y abordar los riesgos en cascada </w:t>
            </w:r>
            <w:r w:rsidR="008F2D2E">
              <w:rPr>
                <w:color w:val="000000" w:themeColor="text1"/>
                <w:lang w:val="es"/>
              </w:rPr>
              <w:t>relacionados con el</w:t>
            </w:r>
            <w:r>
              <w:rPr>
                <w:color w:val="000000" w:themeColor="text1"/>
                <w:lang w:val="es"/>
              </w:rPr>
              <w:t xml:space="preserve"> calor extremo</w:t>
            </w:r>
            <w:r w:rsidR="00211398">
              <w:rPr>
                <w:color w:val="000000" w:themeColor="text1"/>
                <w:lang w:val="es"/>
              </w:rPr>
              <w:t xml:space="preserve">, en particular </w:t>
            </w:r>
            <w:r w:rsidR="009C4283">
              <w:rPr>
                <w:color w:val="000000" w:themeColor="text1"/>
                <w:lang w:val="es"/>
              </w:rPr>
              <w:t>las</w:t>
            </w:r>
            <w:r>
              <w:rPr>
                <w:color w:val="000000" w:themeColor="text1"/>
                <w:lang w:val="es"/>
              </w:rPr>
              <w:t xml:space="preserve"> interconexiones </w:t>
            </w:r>
            <w:r w:rsidR="009C4283">
              <w:rPr>
                <w:color w:val="000000" w:themeColor="text1"/>
                <w:lang w:val="es"/>
              </w:rPr>
              <w:t>entre</w:t>
            </w:r>
            <w:r w:rsidR="00184B05">
              <w:rPr>
                <w:color w:val="000000" w:themeColor="text1"/>
                <w:lang w:val="es"/>
              </w:rPr>
              <w:t xml:space="preserve"> los riesgos para la salud </w:t>
            </w:r>
            <w:r w:rsidR="009C4283">
              <w:rPr>
                <w:color w:val="000000" w:themeColor="text1"/>
                <w:lang w:val="es"/>
              </w:rPr>
              <w:t>relacionados con</w:t>
            </w:r>
            <w:r w:rsidR="00A26BE8">
              <w:rPr>
                <w:color w:val="000000" w:themeColor="text1"/>
                <w:lang w:val="es"/>
              </w:rPr>
              <w:t xml:space="preserve"> los</w:t>
            </w:r>
            <w:r>
              <w:rPr>
                <w:color w:val="000000" w:themeColor="text1"/>
                <w:lang w:val="es"/>
              </w:rPr>
              <w:t xml:space="preserve"> incendios, </w:t>
            </w:r>
            <w:r w:rsidR="00A26BE8">
              <w:rPr>
                <w:color w:val="000000" w:themeColor="text1"/>
                <w:lang w:val="es"/>
              </w:rPr>
              <w:t xml:space="preserve">la </w:t>
            </w:r>
            <w:r w:rsidR="009C4283">
              <w:rPr>
                <w:color w:val="000000" w:themeColor="text1"/>
                <w:lang w:val="es"/>
              </w:rPr>
              <w:t xml:space="preserve">mala </w:t>
            </w:r>
            <w:r>
              <w:rPr>
                <w:color w:val="000000" w:themeColor="text1"/>
                <w:lang w:val="es"/>
              </w:rPr>
              <w:t xml:space="preserve">calidad del aire, </w:t>
            </w:r>
            <w:r w:rsidR="00A26BE8">
              <w:rPr>
                <w:color w:val="000000" w:themeColor="text1"/>
                <w:lang w:val="es"/>
              </w:rPr>
              <w:t xml:space="preserve">el </w:t>
            </w:r>
            <w:r>
              <w:rPr>
                <w:color w:val="000000" w:themeColor="text1"/>
                <w:lang w:val="es"/>
              </w:rPr>
              <w:t xml:space="preserve">agua y </w:t>
            </w:r>
            <w:r w:rsidR="009C4283">
              <w:rPr>
                <w:color w:val="000000" w:themeColor="text1"/>
                <w:lang w:val="es"/>
              </w:rPr>
              <w:t xml:space="preserve">la </w:t>
            </w:r>
            <w:r>
              <w:rPr>
                <w:color w:val="000000" w:themeColor="text1"/>
                <w:lang w:val="es"/>
              </w:rPr>
              <w:t xml:space="preserve">radiación ultravioleta en </w:t>
            </w:r>
            <w:r w:rsidR="006B1B7F">
              <w:rPr>
                <w:color w:val="000000" w:themeColor="text1"/>
                <w:lang w:val="es"/>
              </w:rPr>
              <w:t xml:space="preserve">el marco de los </w:t>
            </w:r>
            <w:r>
              <w:rPr>
                <w:color w:val="000000" w:themeColor="text1"/>
                <w:lang w:val="es"/>
              </w:rPr>
              <w:t>sistemas de alerta temprana y</w:t>
            </w:r>
            <w:r w:rsidR="00024342">
              <w:rPr>
                <w:color w:val="000000" w:themeColor="text1"/>
                <w:lang w:val="es"/>
              </w:rPr>
              <w:t xml:space="preserve"> los</w:t>
            </w:r>
            <w:r>
              <w:rPr>
                <w:color w:val="000000" w:themeColor="text1"/>
                <w:lang w:val="es"/>
              </w:rPr>
              <w:t xml:space="preserve"> planes de acción contra el calor, </w:t>
            </w:r>
            <w:r w:rsidR="00024342">
              <w:rPr>
                <w:color w:val="000000" w:themeColor="text1"/>
                <w:lang w:val="es"/>
              </w:rPr>
              <w:t xml:space="preserve">la </w:t>
            </w:r>
            <w:r>
              <w:rPr>
                <w:color w:val="000000" w:themeColor="text1"/>
                <w:lang w:val="es"/>
              </w:rPr>
              <w:t xml:space="preserve">promoción de </w:t>
            </w:r>
            <w:r w:rsidR="00A942EE">
              <w:rPr>
                <w:color w:val="000000" w:themeColor="text1"/>
                <w:lang w:val="es"/>
              </w:rPr>
              <w:t xml:space="preserve">iniciativas de </w:t>
            </w:r>
            <w:r w:rsidR="00C235A3">
              <w:rPr>
                <w:color w:val="000000" w:themeColor="text1"/>
                <w:lang w:val="es"/>
              </w:rPr>
              <w:t>índole empírica</w:t>
            </w:r>
            <w:r>
              <w:rPr>
                <w:color w:val="000000" w:themeColor="text1"/>
                <w:lang w:val="es"/>
              </w:rPr>
              <w:t xml:space="preserve"> y</w:t>
            </w:r>
            <w:r w:rsidR="00024342">
              <w:rPr>
                <w:color w:val="000000" w:themeColor="text1"/>
                <w:lang w:val="es"/>
              </w:rPr>
              <w:t xml:space="preserve"> el</w:t>
            </w:r>
            <w:r>
              <w:rPr>
                <w:color w:val="000000" w:themeColor="text1"/>
                <w:lang w:val="es"/>
              </w:rPr>
              <w:t xml:space="preserve"> monitoreo de </w:t>
            </w:r>
            <w:r w:rsidR="00CF4D0D">
              <w:rPr>
                <w:color w:val="000000" w:themeColor="text1"/>
                <w:lang w:val="es"/>
              </w:rPr>
              <w:t xml:space="preserve">los </w:t>
            </w:r>
            <w:r>
              <w:rPr>
                <w:color w:val="000000" w:themeColor="text1"/>
                <w:lang w:val="es"/>
              </w:rPr>
              <w:t xml:space="preserve">riesgos </w:t>
            </w:r>
            <w:r w:rsidR="005A094F">
              <w:rPr>
                <w:color w:val="000000" w:themeColor="text1"/>
                <w:lang w:val="es"/>
              </w:rPr>
              <w:t xml:space="preserve">y </w:t>
            </w:r>
            <w:r w:rsidR="00CF4D0D">
              <w:rPr>
                <w:color w:val="000000" w:themeColor="text1"/>
                <w:lang w:val="es"/>
              </w:rPr>
              <w:t xml:space="preserve">las </w:t>
            </w:r>
            <w:r w:rsidR="005A094F">
              <w:rPr>
                <w:color w:val="000000" w:themeColor="text1"/>
                <w:lang w:val="es"/>
              </w:rPr>
              <w:t xml:space="preserve">consecuencias </w:t>
            </w:r>
            <w:r>
              <w:rPr>
                <w:color w:val="000000" w:themeColor="text1"/>
                <w:lang w:val="es"/>
              </w:rPr>
              <w:t>relacionad</w:t>
            </w:r>
            <w:r w:rsidR="00CF4D0D">
              <w:rPr>
                <w:color w:val="000000" w:themeColor="text1"/>
                <w:lang w:val="es"/>
              </w:rPr>
              <w:t>o</w:t>
            </w:r>
            <w:r>
              <w:rPr>
                <w:color w:val="000000" w:themeColor="text1"/>
                <w:lang w:val="es"/>
              </w:rPr>
              <w:t>s con el calor</w:t>
            </w:r>
          </w:p>
        </w:tc>
      </w:tr>
      <w:tr w:rsidR="008B72C9" w:rsidRPr="00352B1C" w14:paraId="16C4FF2C" w14:textId="77777777" w:rsidTr="007714A6">
        <w:trPr>
          <w:trHeight w:val="459"/>
        </w:trPr>
        <w:tc>
          <w:tcPr>
            <w:tcW w:w="883" w:type="dxa"/>
          </w:tcPr>
          <w:p w14:paraId="1ABCF0E8" w14:textId="77777777" w:rsidR="008B72C9" w:rsidRPr="00D62BCD" w:rsidRDefault="008B72C9" w:rsidP="00DB21DE">
            <w:pPr>
              <w:spacing w:line="276" w:lineRule="auto"/>
              <w:rPr>
                <w:b/>
                <w:bCs/>
                <w:color w:val="000000" w:themeColor="text1"/>
                <w:lang w:val="es-ES"/>
              </w:rPr>
            </w:pPr>
          </w:p>
        </w:tc>
        <w:tc>
          <w:tcPr>
            <w:tcW w:w="8751" w:type="dxa"/>
          </w:tcPr>
          <w:p w14:paraId="5D72C38E" w14:textId="77777777" w:rsidR="008B72C9" w:rsidRPr="00D62BCD" w:rsidRDefault="008B72C9" w:rsidP="00320095">
            <w:pPr>
              <w:spacing w:line="276" w:lineRule="auto"/>
              <w:jc w:val="left"/>
              <w:rPr>
                <w:color w:val="000000" w:themeColor="text1"/>
                <w:lang w:val="es-ES"/>
              </w:rPr>
            </w:pPr>
            <w:r>
              <w:rPr>
                <w:b/>
                <w:bCs/>
                <w:color w:val="000000" w:themeColor="text1"/>
                <w:lang w:val="es"/>
              </w:rPr>
              <w:t>Red Mundial de Información sobre el Calor y la Salud</w:t>
            </w:r>
            <w:r>
              <w:rPr>
                <w:color w:val="000000" w:themeColor="text1"/>
                <w:lang w:val="es"/>
              </w:rPr>
              <w:t xml:space="preserve"> para el aprendizaje, la creación de capacidad y el intercambio de información sobre el calor extremo, la salud y los servicios urbanos </w:t>
            </w:r>
          </w:p>
        </w:tc>
      </w:tr>
      <w:tr w:rsidR="008B72C9" w:rsidRPr="00352B1C" w14:paraId="30C66FFB" w14:textId="77777777" w:rsidTr="007714A6">
        <w:trPr>
          <w:trHeight w:val="369"/>
        </w:trPr>
        <w:tc>
          <w:tcPr>
            <w:tcW w:w="883" w:type="dxa"/>
          </w:tcPr>
          <w:p w14:paraId="1E7DF3A2" w14:textId="77777777" w:rsidR="008B72C9" w:rsidRPr="00D62BCD" w:rsidRDefault="008B72C9" w:rsidP="00DB21DE">
            <w:pPr>
              <w:spacing w:line="276" w:lineRule="auto"/>
              <w:rPr>
                <w:b/>
                <w:bCs/>
                <w:color w:val="000000" w:themeColor="text1"/>
                <w:lang w:val="es-ES"/>
              </w:rPr>
            </w:pPr>
          </w:p>
        </w:tc>
        <w:tc>
          <w:tcPr>
            <w:tcW w:w="8751" w:type="dxa"/>
          </w:tcPr>
          <w:p w14:paraId="60F84D9D" w14:textId="5D0BA862" w:rsidR="008B72C9" w:rsidRPr="00D62BCD" w:rsidRDefault="008B72C9" w:rsidP="00320095">
            <w:pPr>
              <w:spacing w:line="276" w:lineRule="auto"/>
              <w:jc w:val="left"/>
              <w:rPr>
                <w:color w:val="000000" w:themeColor="text1"/>
                <w:lang w:val="es-ES"/>
              </w:rPr>
            </w:pPr>
            <w:r>
              <w:rPr>
                <w:color w:val="000000" w:themeColor="text1"/>
                <w:lang w:val="es"/>
              </w:rPr>
              <w:t xml:space="preserve">Desarrollar actividades apropiadas con el </w:t>
            </w:r>
            <w:r w:rsidR="000E73EF" w:rsidRPr="000E73EF">
              <w:rPr>
                <w:color w:val="000000" w:themeColor="text1"/>
                <w:lang w:val="es"/>
              </w:rPr>
              <w:t>grupo consultivo técnico en materia de contaminación atmosférica mundial y salud (GAPHTAG), dirigido por la OMS</w:t>
            </w:r>
            <w:r w:rsidR="00403A66">
              <w:rPr>
                <w:color w:val="000000" w:themeColor="text1"/>
                <w:lang w:val="es"/>
              </w:rPr>
              <w:t>,</w:t>
            </w:r>
            <w:r w:rsidR="000E73EF" w:rsidRPr="000E73EF">
              <w:rPr>
                <w:color w:val="000000" w:themeColor="text1"/>
                <w:lang w:val="es"/>
              </w:rPr>
              <w:t xml:space="preserve"> </w:t>
            </w:r>
            <w:r>
              <w:rPr>
                <w:color w:val="000000" w:themeColor="text1"/>
                <w:lang w:val="es"/>
              </w:rPr>
              <w:t xml:space="preserve">y </w:t>
            </w:r>
            <w:r w:rsidR="003D30BD">
              <w:rPr>
                <w:color w:val="000000" w:themeColor="text1"/>
                <w:lang w:val="es"/>
              </w:rPr>
              <w:t xml:space="preserve">la VAG </w:t>
            </w:r>
            <w:r>
              <w:rPr>
                <w:color w:val="000000" w:themeColor="text1"/>
                <w:lang w:val="es"/>
              </w:rPr>
              <w:t>dirigid</w:t>
            </w:r>
            <w:r w:rsidR="003D30BD">
              <w:rPr>
                <w:color w:val="000000" w:themeColor="text1"/>
                <w:lang w:val="es"/>
              </w:rPr>
              <w:t>a</w:t>
            </w:r>
            <w:r>
              <w:rPr>
                <w:color w:val="000000" w:themeColor="text1"/>
                <w:lang w:val="es"/>
              </w:rPr>
              <w:t xml:space="preserve"> por la OMM sobre la calidad del aire y la salud </w:t>
            </w:r>
          </w:p>
        </w:tc>
      </w:tr>
      <w:tr w:rsidR="008B72C9" w:rsidRPr="00352B1C" w14:paraId="20D468CB" w14:textId="77777777" w:rsidTr="007714A6">
        <w:trPr>
          <w:trHeight w:val="747"/>
        </w:trPr>
        <w:tc>
          <w:tcPr>
            <w:tcW w:w="883" w:type="dxa"/>
          </w:tcPr>
          <w:p w14:paraId="47C2B1E5" w14:textId="77777777" w:rsidR="008B72C9" w:rsidRPr="00D62BCD" w:rsidRDefault="008B72C9" w:rsidP="00DB21DE">
            <w:pPr>
              <w:spacing w:line="276" w:lineRule="auto"/>
              <w:rPr>
                <w:color w:val="000000" w:themeColor="text1"/>
                <w:lang w:val="es-ES"/>
              </w:rPr>
            </w:pPr>
          </w:p>
        </w:tc>
        <w:tc>
          <w:tcPr>
            <w:tcW w:w="8751" w:type="dxa"/>
          </w:tcPr>
          <w:p w14:paraId="132F837F" w14:textId="60D0C643" w:rsidR="008B72C9" w:rsidRPr="00D62BCD" w:rsidRDefault="008B72C9" w:rsidP="00901B8F">
            <w:pPr>
              <w:spacing w:line="276" w:lineRule="auto"/>
              <w:jc w:val="left"/>
              <w:rPr>
                <w:color w:val="000000" w:themeColor="text1"/>
                <w:lang w:val="es-ES"/>
              </w:rPr>
            </w:pPr>
            <w:r>
              <w:rPr>
                <w:b/>
                <w:bCs/>
                <w:color w:val="000000" w:themeColor="text1"/>
                <w:lang w:val="es"/>
              </w:rPr>
              <w:t>Plataformas de datos integradas para entornos urbanos</w:t>
            </w:r>
            <w:r>
              <w:rPr>
                <w:color w:val="000000" w:themeColor="text1"/>
                <w:lang w:val="es"/>
              </w:rPr>
              <w:t xml:space="preserve"> con el fin de mejorar el acceso y uso de datos urbanos, las capacidades de modelización urbana y los desafíos de resolución. Institucionalizar la colaboración entre los servicios de salud y los órganos científicos y consultivos apropiados, para mejorar los planes de acción </w:t>
            </w:r>
            <w:r w:rsidR="00C14BCF">
              <w:rPr>
                <w:color w:val="000000" w:themeColor="text1"/>
                <w:lang w:val="es"/>
              </w:rPr>
              <w:t>en materia de</w:t>
            </w:r>
            <w:r>
              <w:rPr>
                <w:color w:val="000000" w:themeColor="text1"/>
                <w:lang w:val="es"/>
              </w:rPr>
              <w:t xml:space="preserve"> adaptación, mitigación y gestión de riesgos </w:t>
            </w:r>
          </w:p>
        </w:tc>
      </w:tr>
      <w:tr w:rsidR="008B72C9" w:rsidRPr="004D0E4B" w14:paraId="1314C2C8" w14:textId="77777777" w:rsidTr="007714A6">
        <w:trPr>
          <w:trHeight w:val="177"/>
        </w:trPr>
        <w:tc>
          <w:tcPr>
            <w:tcW w:w="9634" w:type="dxa"/>
            <w:gridSpan w:val="2"/>
            <w:shd w:val="clear" w:color="auto" w:fill="FABF8F" w:themeFill="accent6" w:themeFillTint="99"/>
            <w:vAlign w:val="center"/>
          </w:tcPr>
          <w:p w14:paraId="0FC4FC6E" w14:textId="77777777" w:rsidR="008B72C9" w:rsidRPr="004D0E4B" w:rsidRDefault="008B72C9" w:rsidP="00DB21DE">
            <w:pPr>
              <w:spacing w:line="276" w:lineRule="auto"/>
              <w:rPr>
                <w:b/>
                <w:bCs/>
                <w:color w:val="000000" w:themeColor="text1"/>
              </w:rPr>
            </w:pPr>
            <w:r>
              <w:rPr>
                <w:b/>
                <w:bCs/>
                <w:color w:val="000000" w:themeColor="text1"/>
                <w:lang w:val="es"/>
              </w:rPr>
              <w:t>Enfermedades infecciosas</w:t>
            </w:r>
          </w:p>
        </w:tc>
      </w:tr>
      <w:tr w:rsidR="008B72C9" w:rsidRPr="00352B1C" w14:paraId="688B18A8" w14:textId="77777777" w:rsidTr="007714A6">
        <w:trPr>
          <w:trHeight w:val="280"/>
        </w:trPr>
        <w:tc>
          <w:tcPr>
            <w:tcW w:w="883" w:type="dxa"/>
          </w:tcPr>
          <w:p w14:paraId="1E813CB0" w14:textId="77777777" w:rsidR="008B72C9" w:rsidRPr="004D0E4B" w:rsidRDefault="008B72C9" w:rsidP="00DB21DE">
            <w:pPr>
              <w:spacing w:line="276" w:lineRule="auto"/>
              <w:rPr>
                <w:b/>
                <w:bCs/>
                <w:color w:val="000000" w:themeColor="text1"/>
              </w:rPr>
            </w:pPr>
          </w:p>
        </w:tc>
        <w:tc>
          <w:tcPr>
            <w:tcW w:w="8751" w:type="dxa"/>
          </w:tcPr>
          <w:p w14:paraId="5F01F118" w14:textId="20D2FD36" w:rsidR="008B72C9" w:rsidRPr="00D62BCD" w:rsidRDefault="008B72C9" w:rsidP="00FC075D">
            <w:pPr>
              <w:spacing w:line="276" w:lineRule="auto"/>
              <w:jc w:val="left"/>
              <w:rPr>
                <w:color w:val="000000" w:themeColor="text1"/>
                <w:lang w:val="es-ES"/>
              </w:rPr>
            </w:pPr>
            <w:r>
              <w:rPr>
                <w:b/>
                <w:bCs/>
                <w:color w:val="000000" w:themeColor="text1"/>
                <w:lang w:val="es"/>
              </w:rPr>
              <w:t xml:space="preserve">Equipo </w:t>
            </w:r>
            <w:r w:rsidR="001070AD">
              <w:rPr>
                <w:b/>
                <w:bCs/>
                <w:color w:val="000000" w:themeColor="text1"/>
                <w:lang w:val="es"/>
              </w:rPr>
              <w:t xml:space="preserve">especial </w:t>
            </w:r>
            <w:r>
              <w:rPr>
                <w:b/>
                <w:bCs/>
                <w:color w:val="000000" w:themeColor="text1"/>
                <w:lang w:val="es"/>
              </w:rPr>
              <w:t xml:space="preserve">sobre </w:t>
            </w:r>
            <w:r w:rsidR="001070AD">
              <w:rPr>
                <w:b/>
                <w:bCs/>
                <w:color w:val="000000" w:themeColor="text1"/>
                <w:lang w:val="es"/>
              </w:rPr>
              <w:t>e</w:t>
            </w:r>
            <w:r>
              <w:rPr>
                <w:b/>
                <w:bCs/>
                <w:color w:val="000000" w:themeColor="text1"/>
                <w:lang w:val="es"/>
              </w:rPr>
              <w:t xml:space="preserve">nfermedades </w:t>
            </w:r>
            <w:r w:rsidR="001070AD">
              <w:rPr>
                <w:b/>
                <w:bCs/>
                <w:color w:val="000000" w:themeColor="text1"/>
                <w:lang w:val="es"/>
              </w:rPr>
              <w:t>i</w:t>
            </w:r>
            <w:r>
              <w:rPr>
                <w:b/>
                <w:bCs/>
                <w:color w:val="000000" w:themeColor="text1"/>
                <w:lang w:val="es"/>
              </w:rPr>
              <w:t>nfecciosas</w:t>
            </w:r>
            <w:r>
              <w:rPr>
                <w:color w:val="000000" w:themeColor="text1"/>
                <w:lang w:val="es"/>
              </w:rPr>
              <w:t xml:space="preserve"> para definir el enfoque y los mecanismos necesarios</w:t>
            </w:r>
          </w:p>
        </w:tc>
      </w:tr>
      <w:tr w:rsidR="008B72C9" w:rsidRPr="00352B1C" w14:paraId="2045E552" w14:textId="77777777" w:rsidTr="007714A6">
        <w:trPr>
          <w:trHeight w:val="497"/>
        </w:trPr>
        <w:tc>
          <w:tcPr>
            <w:tcW w:w="883" w:type="dxa"/>
          </w:tcPr>
          <w:p w14:paraId="3B3DD74C" w14:textId="77777777" w:rsidR="008B72C9" w:rsidRPr="00D62BCD" w:rsidDel="00D94CEE" w:rsidRDefault="008B72C9" w:rsidP="00DB21DE">
            <w:pPr>
              <w:spacing w:line="276" w:lineRule="auto"/>
              <w:rPr>
                <w:b/>
                <w:bCs/>
                <w:color w:val="000000" w:themeColor="text1"/>
                <w:lang w:val="es-ES"/>
              </w:rPr>
            </w:pPr>
          </w:p>
        </w:tc>
        <w:tc>
          <w:tcPr>
            <w:tcW w:w="8751" w:type="dxa"/>
          </w:tcPr>
          <w:p w14:paraId="4E795886" w14:textId="57565DA3" w:rsidR="008B72C9" w:rsidRPr="00D62BCD" w:rsidRDefault="008B72C9" w:rsidP="00FC075D">
            <w:pPr>
              <w:spacing w:line="276" w:lineRule="auto"/>
              <w:jc w:val="left"/>
              <w:rPr>
                <w:b/>
                <w:bCs/>
                <w:color w:val="000000" w:themeColor="text1"/>
                <w:lang w:val="es-ES"/>
              </w:rPr>
            </w:pPr>
            <w:r>
              <w:rPr>
                <w:b/>
                <w:bCs/>
                <w:color w:val="000000" w:themeColor="text1"/>
                <w:lang w:val="es"/>
              </w:rPr>
              <w:t xml:space="preserve">Programa de </w:t>
            </w:r>
            <w:r w:rsidR="00BB1F78">
              <w:rPr>
                <w:b/>
                <w:bCs/>
                <w:color w:val="000000" w:themeColor="text1"/>
                <w:lang w:val="es"/>
              </w:rPr>
              <w:t>formación</w:t>
            </w:r>
            <w:r>
              <w:rPr>
                <w:b/>
                <w:bCs/>
                <w:color w:val="000000" w:themeColor="text1"/>
                <w:lang w:val="es"/>
              </w:rPr>
              <w:t xml:space="preserve"> </w:t>
            </w:r>
            <w:r>
              <w:rPr>
                <w:color w:val="000000" w:themeColor="text1"/>
                <w:lang w:val="es"/>
              </w:rPr>
              <w:t xml:space="preserve">para un </w:t>
            </w:r>
            <w:r w:rsidR="00BC16D9">
              <w:rPr>
                <w:color w:val="000000" w:themeColor="text1"/>
                <w:lang w:val="es"/>
              </w:rPr>
              <w:t>grupo</w:t>
            </w:r>
            <w:r>
              <w:rPr>
                <w:color w:val="000000" w:themeColor="text1"/>
                <w:lang w:val="es"/>
              </w:rPr>
              <w:t xml:space="preserve"> de epidemiólogos y profesionales de la salud equipados para integrar los servicios relacionados con </w:t>
            </w:r>
            <w:r w:rsidR="0091393B">
              <w:rPr>
                <w:color w:val="000000" w:themeColor="text1"/>
                <w:lang w:val="es"/>
              </w:rPr>
              <w:t>la meteorología</w:t>
            </w:r>
            <w:r w:rsidR="00EB2B3B">
              <w:rPr>
                <w:color w:val="000000" w:themeColor="text1"/>
                <w:lang w:val="es"/>
              </w:rPr>
              <w:t xml:space="preserve"> y el</w:t>
            </w:r>
            <w:r>
              <w:rPr>
                <w:color w:val="000000" w:themeColor="text1"/>
                <w:lang w:val="es"/>
              </w:rPr>
              <w:t xml:space="preserve"> medioambiente</w:t>
            </w:r>
            <w:r w:rsidR="00F5612B">
              <w:rPr>
                <w:color w:val="000000" w:themeColor="text1"/>
                <w:lang w:val="es"/>
              </w:rPr>
              <w:t xml:space="preserve"> con</w:t>
            </w:r>
            <w:r w:rsidR="00EB2B3B">
              <w:rPr>
                <w:color w:val="000000" w:themeColor="text1"/>
                <w:lang w:val="es"/>
              </w:rPr>
              <w:t xml:space="preserve"> </w:t>
            </w:r>
            <w:r>
              <w:rPr>
                <w:color w:val="000000" w:themeColor="text1"/>
                <w:lang w:val="es"/>
              </w:rPr>
              <w:t xml:space="preserve">los servicios de </w:t>
            </w:r>
            <w:r w:rsidR="00F5612B">
              <w:rPr>
                <w:color w:val="000000" w:themeColor="text1"/>
                <w:lang w:val="es"/>
              </w:rPr>
              <w:t xml:space="preserve">la </w:t>
            </w:r>
            <w:r>
              <w:rPr>
                <w:color w:val="000000" w:themeColor="text1"/>
                <w:lang w:val="es"/>
              </w:rPr>
              <w:t>salud</w:t>
            </w:r>
          </w:p>
        </w:tc>
      </w:tr>
      <w:tr w:rsidR="008B72C9" w:rsidRPr="00352B1C" w14:paraId="1A7CA0F5" w14:textId="77777777" w:rsidTr="007714A6">
        <w:trPr>
          <w:trHeight w:val="747"/>
        </w:trPr>
        <w:tc>
          <w:tcPr>
            <w:tcW w:w="883" w:type="dxa"/>
          </w:tcPr>
          <w:p w14:paraId="347B500F" w14:textId="77777777" w:rsidR="008B72C9" w:rsidRPr="00D62BCD" w:rsidRDefault="008B72C9" w:rsidP="00DB21DE">
            <w:pPr>
              <w:spacing w:line="276" w:lineRule="auto"/>
              <w:rPr>
                <w:b/>
                <w:bCs/>
                <w:color w:val="000000" w:themeColor="text1"/>
                <w:lang w:val="es-ES"/>
              </w:rPr>
            </w:pPr>
          </w:p>
        </w:tc>
        <w:tc>
          <w:tcPr>
            <w:tcW w:w="8751" w:type="dxa"/>
          </w:tcPr>
          <w:p w14:paraId="79BB1E0C" w14:textId="23C2CF53" w:rsidR="008B72C9" w:rsidRPr="00D62BCD" w:rsidRDefault="008B72C9" w:rsidP="00FC075D">
            <w:pPr>
              <w:spacing w:line="276" w:lineRule="auto"/>
              <w:jc w:val="left"/>
              <w:rPr>
                <w:color w:val="000000" w:themeColor="text1"/>
                <w:lang w:val="es-ES"/>
              </w:rPr>
            </w:pPr>
            <w:r>
              <w:rPr>
                <w:b/>
                <w:bCs/>
                <w:color w:val="000000" w:themeColor="text1"/>
                <w:lang w:val="es"/>
              </w:rPr>
              <w:t>Evaluar el uso de los servicios climáticos para la salud</w:t>
            </w:r>
            <w:r>
              <w:rPr>
                <w:color w:val="000000" w:themeColor="text1"/>
                <w:lang w:val="es"/>
              </w:rPr>
              <w:t xml:space="preserve"> como parte de la</w:t>
            </w:r>
            <w:r w:rsidR="00F60072">
              <w:rPr>
                <w:color w:val="000000" w:themeColor="text1"/>
                <w:lang w:val="es"/>
              </w:rPr>
              <w:t xml:space="preserve"> </w:t>
            </w:r>
            <w:r w:rsidR="00F60072">
              <w:rPr>
                <w:b/>
                <w:bCs/>
                <w:color w:val="000000" w:themeColor="text1"/>
                <w:lang w:val="es"/>
              </w:rPr>
              <w:t>capacidad en materia de salud</w:t>
            </w:r>
            <w:r>
              <w:rPr>
                <w:b/>
                <w:bCs/>
                <w:color w:val="000000" w:themeColor="text1"/>
                <w:lang w:val="es"/>
              </w:rPr>
              <w:t xml:space="preserve">, </w:t>
            </w:r>
            <w:r w:rsidR="00F60072">
              <w:rPr>
                <w:b/>
                <w:bCs/>
                <w:color w:val="000000" w:themeColor="text1"/>
                <w:lang w:val="es"/>
              </w:rPr>
              <w:t>en particular</w:t>
            </w:r>
            <w:r>
              <w:rPr>
                <w:b/>
                <w:bCs/>
                <w:color w:val="000000" w:themeColor="text1"/>
                <w:lang w:val="es"/>
              </w:rPr>
              <w:t xml:space="preserve"> para la aplicación del Reglamento Sanitario Internacional (RSI) de 2005 y los enfoques de </w:t>
            </w:r>
            <w:proofErr w:type="spellStart"/>
            <w:r>
              <w:rPr>
                <w:b/>
                <w:bCs/>
                <w:color w:val="000000" w:themeColor="text1"/>
                <w:lang w:val="es"/>
              </w:rPr>
              <w:t>OneHealth</w:t>
            </w:r>
            <w:proofErr w:type="spellEnd"/>
          </w:p>
        </w:tc>
      </w:tr>
      <w:tr w:rsidR="008B72C9" w:rsidRPr="00352B1C" w14:paraId="2BBF98C4" w14:textId="77777777" w:rsidTr="007714A6">
        <w:trPr>
          <w:trHeight w:val="214"/>
        </w:trPr>
        <w:tc>
          <w:tcPr>
            <w:tcW w:w="883" w:type="dxa"/>
          </w:tcPr>
          <w:p w14:paraId="3A378E60" w14:textId="77777777" w:rsidR="008B72C9" w:rsidRPr="00D62BCD" w:rsidRDefault="008B72C9" w:rsidP="00DB21DE">
            <w:pPr>
              <w:spacing w:line="276" w:lineRule="auto"/>
              <w:rPr>
                <w:b/>
                <w:bCs/>
                <w:color w:val="000000" w:themeColor="text1"/>
                <w:lang w:val="es-ES"/>
              </w:rPr>
            </w:pPr>
          </w:p>
        </w:tc>
        <w:tc>
          <w:tcPr>
            <w:tcW w:w="8751" w:type="dxa"/>
          </w:tcPr>
          <w:p w14:paraId="005DDBA2" w14:textId="0BA3FE9F" w:rsidR="008B72C9" w:rsidRPr="00D62BCD" w:rsidRDefault="008B72C9" w:rsidP="00FC075D">
            <w:pPr>
              <w:pStyle w:val="CommentText"/>
              <w:jc w:val="left"/>
              <w:rPr>
                <w:color w:val="000000" w:themeColor="text1"/>
                <w:lang w:val="es-ES"/>
              </w:rPr>
            </w:pPr>
            <w:r>
              <w:rPr>
                <w:b/>
                <w:bCs/>
                <w:color w:val="000000" w:themeColor="text1"/>
                <w:lang w:val="es"/>
              </w:rPr>
              <w:t xml:space="preserve">Mejorar las medidas preventivas sobre las enfermedades infecciosas con plazos más largos, mediante medidas como la creación de </w:t>
            </w:r>
            <w:r w:rsidR="0061188F">
              <w:rPr>
                <w:b/>
                <w:bCs/>
                <w:color w:val="000000" w:themeColor="text1"/>
                <w:lang w:val="es"/>
              </w:rPr>
              <w:t>canales de distribución</w:t>
            </w:r>
            <w:r>
              <w:rPr>
                <w:b/>
                <w:bCs/>
                <w:color w:val="000000" w:themeColor="text1"/>
                <w:lang w:val="es"/>
              </w:rPr>
              <w:t xml:space="preserve"> de datos </w:t>
            </w:r>
            <w:r>
              <w:rPr>
                <w:color w:val="000000" w:themeColor="text1"/>
                <w:lang w:val="es"/>
              </w:rPr>
              <w:t xml:space="preserve">que puedan utilizar los epidemiólogos de las enfermedades infecciosas y los científicos del clima para vigilar y modelizar el riesgo de enfermedades, y el uso de tecnologías de aprendizaje automático </w:t>
            </w:r>
          </w:p>
        </w:tc>
      </w:tr>
      <w:tr w:rsidR="008B72C9" w:rsidRPr="00352B1C" w14:paraId="6DEFA7B0" w14:textId="77777777" w:rsidTr="007714A6">
        <w:trPr>
          <w:trHeight w:val="221"/>
        </w:trPr>
        <w:tc>
          <w:tcPr>
            <w:tcW w:w="9634" w:type="dxa"/>
            <w:gridSpan w:val="2"/>
            <w:shd w:val="clear" w:color="auto" w:fill="FABF8F" w:themeFill="accent6" w:themeFillTint="99"/>
            <w:vAlign w:val="center"/>
          </w:tcPr>
          <w:p w14:paraId="7054528C" w14:textId="02B50D19" w:rsidR="008B72C9" w:rsidRPr="00D62BCD" w:rsidRDefault="008B72C9" w:rsidP="00DB21DE">
            <w:pPr>
              <w:spacing w:line="276" w:lineRule="auto"/>
              <w:rPr>
                <w:b/>
                <w:bCs/>
                <w:color w:val="000000" w:themeColor="text1"/>
                <w:lang w:val="es-ES"/>
              </w:rPr>
            </w:pPr>
            <w:r>
              <w:rPr>
                <w:b/>
                <w:bCs/>
                <w:color w:val="000000" w:themeColor="text1"/>
                <w:lang w:val="es"/>
              </w:rPr>
              <w:t xml:space="preserve">Fase 2 – Salud, nutrición y sequías (medios de subsistencia, nexo con el sistema </w:t>
            </w:r>
            <w:r w:rsidR="00FB28A3">
              <w:rPr>
                <w:b/>
                <w:bCs/>
                <w:color w:val="000000" w:themeColor="text1"/>
                <w:lang w:val="es"/>
              </w:rPr>
              <w:t>de alimentación</w:t>
            </w:r>
            <w:r>
              <w:rPr>
                <w:b/>
                <w:bCs/>
                <w:color w:val="000000" w:themeColor="text1"/>
                <w:lang w:val="es"/>
              </w:rPr>
              <w:t>)</w:t>
            </w:r>
          </w:p>
        </w:tc>
      </w:tr>
      <w:tr w:rsidR="008B72C9" w:rsidRPr="00352B1C" w14:paraId="5B6F0F30" w14:textId="77777777" w:rsidTr="007714A6">
        <w:trPr>
          <w:trHeight w:val="747"/>
        </w:trPr>
        <w:tc>
          <w:tcPr>
            <w:tcW w:w="883" w:type="dxa"/>
          </w:tcPr>
          <w:p w14:paraId="1E00FB42" w14:textId="77777777" w:rsidR="008B72C9" w:rsidRPr="00D62BCD" w:rsidRDefault="008B72C9" w:rsidP="00DB21DE">
            <w:pPr>
              <w:spacing w:line="276" w:lineRule="auto"/>
              <w:rPr>
                <w:b/>
                <w:bCs/>
                <w:color w:val="000000" w:themeColor="text1"/>
                <w:lang w:val="es-ES"/>
              </w:rPr>
            </w:pPr>
          </w:p>
        </w:tc>
        <w:tc>
          <w:tcPr>
            <w:tcW w:w="8751" w:type="dxa"/>
          </w:tcPr>
          <w:p w14:paraId="26B3D13E" w14:textId="511B480A" w:rsidR="008B72C9" w:rsidRPr="00CF1E94" w:rsidRDefault="008B72C9" w:rsidP="007A05D1">
            <w:pPr>
              <w:spacing w:line="276" w:lineRule="auto"/>
              <w:jc w:val="left"/>
              <w:rPr>
                <w:color w:val="000000" w:themeColor="text1"/>
                <w:lang w:val="es-ES"/>
              </w:rPr>
            </w:pPr>
            <w:r>
              <w:rPr>
                <w:color w:val="000000" w:themeColor="text1"/>
                <w:lang w:val="es"/>
              </w:rPr>
              <w:t xml:space="preserve">Colaborar con el </w:t>
            </w:r>
            <w:r>
              <w:rPr>
                <w:b/>
                <w:bCs/>
                <w:color w:val="000000" w:themeColor="text1"/>
                <w:lang w:val="es"/>
              </w:rPr>
              <w:t>Programa de Gestión Integrada de Sequías</w:t>
            </w:r>
            <w:r>
              <w:rPr>
                <w:color w:val="000000" w:themeColor="text1"/>
                <w:lang w:val="es"/>
              </w:rPr>
              <w:t xml:space="preserve"> para determinar las necesidades, la orientación, las oportunidades y los puntos de impacto críticos para mejorar los </w:t>
            </w:r>
            <w:r w:rsidR="00CF1E94">
              <w:rPr>
                <w:color w:val="000000" w:themeColor="text1"/>
                <w:lang w:val="es"/>
              </w:rPr>
              <w:t>efectos</w:t>
            </w:r>
            <w:r>
              <w:rPr>
                <w:color w:val="000000" w:themeColor="text1"/>
                <w:lang w:val="es"/>
              </w:rPr>
              <w:t xml:space="preserve"> </w:t>
            </w:r>
            <w:r w:rsidR="00B36E84">
              <w:rPr>
                <w:color w:val="000000" w:themeColor="text1"/>
                <w:lang w:val="es"/>
              </w:rPr>
              <w:t>en</w:t>
            </w:r>
            <w:r>
              <w:rPr>
                <w:color w:val="000000" w:themeColor="text1"/>
                <w:lang w:val="es"/>
              </w:rPr>
              <w:t xml:space="preserve"> </w:t>
            </w:r>
            <w:r w:rsidR="00675DC9">
              <w:rPr>
                <w:color w:val="000000" w:themeColor="text1"/>
                <w:lang w:val="es"/>
              </w:rPr>
              <w:t xml:space="preserve">la </w:t>
            </w:r>
            <w:r>
              <w:rPr>
                <w:color w:val="000000" w:themeColor="text1"/>
                <w:lang w:val="es"/>
              </w:rPr>
              <w:t xml:space="preserve">salud y </w:t>
            </w:r>
            <w:r w:rsidR="00675DC9">
              <w:rPr>
                <w:color w:val="000000" w:themeColor="text1"/>
                <w:lang w:val="es"/>
              </w:rPr>
              <w:t xml:space="preserve">la </w:t>
            </w:r>
            <w:r>
              <w:rPr>
                <w:color w:val="000000" w:themeColor="text1"/>
                <w:lang w:val="es"/>
              </w:rPr>
              <w:t xml:space="preserve">nutrición en el nexo entre el clima, la sequía, los sistemas </w:t>
            </w:r>
            <w:r w:rsidR="00E37753">
              <w:rPr>
                <w:color w:val="000000" w:themeColor="text1"/>
                <w:lang w:val="es"/>
              </w:rPr>
              <w:t>de alimentación</w:t>
            </w:r>
            <w:r>
              <w:rPr>
                <w:color w:val="000000" w:themeColor="text1"/>
                <w:lang w:val="es"/>
              </w:rPr>
              <w:t xml:space="preserve">, la salud y los medios de </w:t>
            </w:r>
            <w:r w:rsidR="00E37753">
              <w:rPr>
                <w:color w:val="000000" w:themeColor="text1"/>
                <w:lang w:val="es"/>
              </w:rPr>
              <w:t>subsistencia</w:t>
            </w:r>
            <w:r>
              <w:rPr>
                <w:color w:val="000000" w:themeColor="text1"/>
                <w:lang w:val="es"/>
              </w:rPr>
              <w:t xml:space="preserve">. </w:t>
            </w:r>
            <w:r>
              <w:rPr>
                <w:color w:val="000000" w:themeColor="text1"/>
                <w:lang w:val="es"/>
              </w:rPr>
              <w:lastRenderedPageBreak/>
              <w:t xml:space="preserve">(Establecer un </w:t>
            </w:r>
            <w:r w:rsidR="00675DC9">
              <w:rPr>
                <w:color w:val="000000" w:themeColor="text1"/>
                <w:lang w:val="es"/>
              </w:rPr>
              <w:t>equipo especial</w:t>
            </w:r>
            <w:r>
              <w:rPr>
                <w:color w:val="000000" w:themeColor="text1"/>
                <w:lang w:val="es"/>
              </w:rPr>
              <w:t xml:space="preserve"> </w:t>
            </w:r>
            <w:r w:rsidR="00386F08" w:rsidRPr="00386F08">
              <w:rPr>
                <w:color w:val="000000" w:themeColor="text1"/>
                <w:lang w:val="es"/>
              </w:rPr>
              <w:t xml:space="preserve">con el Programa de Gestión Integrada de la Sequía en </w:t>
            </w:r>
            <w:r w:rsidR="005D7A60">
              <w:rPr>
                <w:color w:val="000000" w:themeColor="text1"/>
                <w:lang w:val="es"/>
              </w:rPr>
              <w:t>materia de s</w:t>
            </w:r>
            <w:r w:rsidR="00386F08" w:rsidRPr="00386F08">
              <w:rPr>
                <w:color w:val="000000" w:themeColor="text1"/>
                <w:lang w:val="es"/>
              </w:rPr>
              <w:t>alud</w:t>
            </w:r>
            <w:r>
              <w:rPr>
                <w:color w:val="000000" w:themeColor="text1"/>
                <w:lang w:val="es"/>
              </w:rPr>
              <w:t>)</w:t>
            </w:r>
          </w:p>
        </w:tc>
      </w:tr>
      <w:tr w:rsidR="008B72C9" w:rsidRPr="00352B1C" w14:paraId="6743D910" w14:textId="77777777" w:rsidTr="007714A6">
        <w:trPr>
          <w:trHeight w:val="219"/>
        </w:trPr>
        <w:tc>
          <w:tcPr>
            <w:tcW w:w="9634" w:type="dxa"/>
            <w:gridSpan w:val="2"/>
            <w:shd w:val="clear" w:color="auto" w:fill="FABF8F" w:themeFill="accent6" w:themeFillTint="99"/>
            <w:vAlign w:val="center"/>
          </w:tcPr>
          <w:p w14:paraId="4EA69235" w14:textId="66EBEB1F" w:rsidR="008B72C9" w:rsidRPr="00D62BCD" w:rsidRDefault="008B72C9" w:rsidP="00DB21DE">
            <w:pPr>
              <w:spacing w:line="276" w:lineRule="auto"/>
              <w:rPr>
                <w:b/>
                <w:bCs/>
                <w:color w:val="000000" w:themeColor="text1"/>
                <w:lang w:val="es-ES"/>
              </w:rPr>
            </w:pPr>
            <w:r>
              <w:rPr>
                <w:b/>
                <w:bCs/>
                <w:color w:val="000000" w:themeColor="text1"/>
                <w:lang w:val="es"/>
              </w:rPr>
              <w:lastRenderedPageBreak/>
              <w:t xml:space="preserve">Fase 2 – Sistemas de salud </w:t>
            </w:r>
            <w:r w:rsidR="00E2707C">
              <w:rPr>
                <w:b/>
                <w:bCs/>
                <w:color w:val="000000" w:themeColor="text1"/>
                <w:lang w:val="es"/>
              </w:rPr>
              <w:t xml:space="preserve">Net Zero y </w:t>
            </w:r>
            <w:r>
              <w:rPr>
                <w:b/>
                <w:bCs/>
                <w:color w:val="000000" w:themeColor="text1"/>
                <w:lang w:val="es"/>
              </w:rPr>
              <w:t xml:space="preserve">resilientes al clima </w:t>
            </w:r>
          </w:p>
        </w:tc>
      </w:tr>
      <w:tr w:rsidR="008B72C9" w:rsidRPr="00352B1C" w14:paraId="4A8FBFD1" w14:textId="77777777" w:rsidTr="007714A6">
        <w:trPr>
          <w:trHeight w:val="747"/>
        </w:trPr>
        <w:tc>
          <w:tcPr>
            <w:tcW w:w="883" w:type="dxa"/>
          </w:tcPr>
          <w:p w14:paraId="30EB248A" w14:textId="77777777" w:rsidR="008B72C9" w:rsidRPr="00D62BCD" w:rsidRDefault="008B72C9" w:rsidP="00DB21DE">
            <w:pPr>
              <w:spacing w:line="276" w:lineRule="auto"/>
              <w:rPr>
                <w:b/>
                <w:bCs/>
                <w:color w:val="000000" w:themeColor="text1"/>
                <w:lang w:val="es-ES"/>
              </w:rPr>
            </w:pPr>
          </w:p>
        </w:tc>
        <w:tc>
          <w:tcPr>
            <w:tcW w:w="8751" w:type="dxa"/>
          </w:tcPr>
          <w:p w14:paraId="47E580EC" w14:textId="06F3C3E7" w:rsidR="008B72C9" w:rsidRPr="00F07120" w:rsidRDefault="008B72C9" w:rsidP="007A05D1">
            <w:pPr>
              <w:spacing w:line="276" w:lineRule="auto"/>
              <w:jc w:val="left"/>
              <w:rPr>
                <w:color w:val="000000" w:themeColor="text1"/>
                <w:lang w:val="es-ES"/>
              </w:rPr>
            </w:pPr>
            <w:r>
              <w:rPr>
                <w:b/>
                <w:bCs/>
                <w:color w:val="000000" w:themeColor="text1"/>
                <w:lang w:val="es"/>
              </w:rPr>
              <w:t>Colaborar con la Alianza para la Acción Transformadora sobre Clima y Salud (ATACH), dirigida por la OMS</w:t>
            </w:r>
            <w:r>
              <w:rPr>
                <w:color w:val="000000" w:themeColor="text1"/>
                <w:lang w:val="es"/>
              </w:rPr>
              <w:t xml:space="preserve">, para definir la ciencia del clima y el apoyo a los servicios para permitir </w:t>
            </w:r>
            <w:r w:rsidR="00A566FD">
              <w:rPr>
                <w:color w:val="000000" w:themeColor="text1"/>
                <w:lang w:val="es"/>
              </w:rPr>
              <w:t>emisiones</w:t>
            </w:r>
            <w:r>
              <w:rPr>
                <w:color w:val="000000" w:themeColor="text1"/>
                <w:lang w:val="es"/>
              </w:rPr>
              <w:t xml:space="preserve"> netas cero en el sector de la salud, incluidos los bienes y servicios de salud pública que dependen de la energía, como las instalaciones de</w:t>
            </w:r>
            <w:r w:rsidR="00A566FD">
              <w:rPr>
                <w:color w:val="000000" w:themeColor="text1"/>
                <w:lang w:val="es"/>
              </w:rPr>
              <w:t>l ámbito de la</w:t>
            </w:r>
            <w:r>
              <w:rPr>
                <w:color w:val="000000" w:themeColor="text1"/>
                <w:lang w:val="es"/>
              </w:rPr>
              <w:t xml:space="preserve"> salud, la infraestructura de</w:t>
            </w:r>
            <w:r w:rsidR="006C5A53">
              <w:rPr>
                <w:color w:val="000000" w:themeColor="text1"/>
                <w:lang w:val="es"/>
              </w:rPr>
              <w:t>l</w:t>
            </w:r>
            <w:r>
              <w:rPr>
                <w:color w:val="000000" w:themeColor="text1"/>
                <w:lang w:val="es"/>
              </w:rPr>
              <w:t xml:space="preserve"> agua y </w:t>
            </w:r>
            <w:r w:rsidR="006C5A53">
              <w:rPr>
                <w:color w:val="000000" w:themeColor="text1"/>
                <w:lang w:val="es"/>
              </w:rPr>
              <w:t xml:space="preserve">el </w:t>
            </w:r>
            <w:r>
              <w:rPr>
                <w:color w:val="000000" w:themeColor="text1"/>
                <w:lang w:val="es"/>
              </w:rPr>
              <w:t xml:space="preserve">saneamiento, la refrigeración, </w:t>
            </w:r>
            <w:r w:rsidR="00612847">
              <w:rPr>
                <w:color w:val="000000" w:themeColor="text1"/>
                <w:lang w:val="es"/>
              </w:rPr>
              <w:t xml:space="preserve">el alojamiento </w:t>
            </w:r>
            <w:r>
              <w:rPr>
                <w:color w:val="000000" w:themeColor="text1"/>
                <w:lang w:val="es"/>
              </w:rPr>
              <w:t xml:space="preserve">y el transporte. (Establecer un </w:t>
            </w:r>
            <w:r w:rsidR="00612847">
              <w:rPr>
                <w:color w:val="000000" w:themeColor="text1"/>
                <w:lang w:val="es"/>
              </w:rPr>
              <w:t>equipo especial</w:t>
            </w:r>
            <w:r>
              <w:rPr>
                <w:color w:val="000000" w:themeColor="text1"/>
                <w:lang w:val="es"/>
              </w:rPr>
              <w:t xml:space="preserve"> </w:t>
            </w:r>
            <w:r w:rsidR="00612847">
              <w:rPr>
                <w:color w:val="000000" w:themeColor="text1"/>
                <w:lang w:val="es"/>
              </w:rPr>
              <w:t>en materia de s</w:t>
            </w:r>
            <w:r>
              <w:rPr>
                <w:color w:val="000000" w:themeColor="text1"/>
                <w:lang w:val="es"/>
              </w:rPr>
              <w:t xml:space="preserve">alud con </w:t>
            </w:r>
            <w:r w:rsidR="00A37A3F">
              <w:rPr>
                <w:color w:val="000000" w:themeColor="text1"/>
                <w:lang w:val="es"/>
              </w:rPr>
              <w:t>un grupo de estudio sobre la energía</w:t>
            </w:r>
            <w:r>
              <w:rPr>
                <w:color w:val="000000" w:themeColor="text1"/>
                <w:lang w:val="es"/>
              </w:rPr>
              <w:t xml:space="preserve">) </w:t>
            </w:r>
          </w:p>
        </w:tc>
      </w:tr>
    </w:tbl>
    <w:p w14:paraId="07BE85DA" w14:textId="13447295" w:rsidR="003045D1" w:rsidRPr="004D0E4B" w:rsidRDefault="00AA683D" w:rsidP="00AA683D">
      <w:pPr>
        <w:pStyle w:val="WMOBodyText"/>
        <w:spacing w:before="360" w:after="240"/>
        <w:jc w:val="center"/>
      </w:pPr>
      <w:r>
        <w:rPr>
          <w:lang w:val="es"/>
        </w:rPr>
        <w:t>_______________</w:t>
      </w:r>
    </w:p>
    <w:sectPr w:rsidR="003045D1" w:rsidRPr="004D0E4B" w:rsidSect="0020095E">
      <w:headerReference w:type="even" r:id="rId15"/>
      <w:headerReference w:type="default" r:id="rId16"/>
      <w:footerReference w:type="default" r:id="rId17"/>
      <w:headerReference w:type="firs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2DBF" w14:textId="77777777" w:rsidR="008A7950" w:rsidRDefault="008A7950">
      <w:r>
        <w:separator/>
      </w:r>
    </w:p>
    <w:p w14:paraId="4349C08B" w14:textId="77777777" w:rsidR="008A7950" w:rsidRDefault="008A7950"/>
    <w:p w14:paraId="7F6C6B42" w14:textId="77777777" w:rsidR="008A7950" w:rsidRDefault="008A7950"/>
  </w:endnote>
  <w:endnote w:type="continuationSeparator" w:id="0">
    <w:p w14:paraId="464FB6F4" w14:textId="77777777" w:rsidR="008A7950" w:rsidRDefault="008A7950">
      <w:r>
        <w:continuationSeparator/>
      </w:r>
    </w:p>
    <w:p w14:paraId="7B2A9AE9" w14:textId="77777777" w:rsidR="008A7950" w:rsidRDefault="008A7950"/>
    <w:p w14:paraId="2C85C88B" w14:textId="77777777" w:rsidR="008A7950" w:rsidRDefault="008A7950"/>
  </w:endnote>
  <w:endnote w:type="continuationNotice" w:id="1">
    <w:p w14:paraId="65580FE2" w14:textId="77777777" w:rsidR="008A7950" w:rsidRDefault="008A7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0E9" w14:textId="77777777" w:rsidR="003D0A2B" w:rsidRDefault="003D0A2B">
    <w:pPr>
      <w:pStyle w:val="Footer"/>
      <w:jc w:val="right"/>
    </w:pPr>
  </w:p>
  <w:p w14:paraId="3C94ABB6" w14:textId="77777777" w:rsidR="003D0A2B" w:rsidRDefault="003D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E834" w14:textId="77777777" w:rsidR="008A7950" w:rsidRDefault="008A7950">
      <w:r>
        <w:separator/>
      </w:r>
    </w:p>
  </w:footnote>
  <w:footnote w:type="continuationSeparator" w:id="0">
    <w:p w14:paraId="46991A55" w14:textId="77777777" w:rsidR="008A7950" w:rsidRDefault="008A7950">
      <w:r>
        <w:continuationSeparator/>
      </w:r>
    </w:p>
    <w:p w14:paraId="7A93F861" w14:textId="77777777" w:rsidR="008A7950" w:rsidRDefault="008A7950"/>
    <w:p w14:paraId="19ACA8B6" w14:textId="77777777" w:rsidR="008A7950" w:rsidRDefault="008A7950"/>
  </w:footnote>
  <w:footnote w:type="continuationNotice" w:id="1">
    <w:p w14:paraId="628CDAFD" w14:textId="77777777" w:rsidR="008A7950" w:rsidRDefault="008A7950"/>
  </w:footnote>
  <w:footnote w:id="2">
    <w:p w14:paraId="019FD123" w14:textId="34767316" w:rsidR="008B72C9" w:rsidRPr="008060B7" w:rsidRDefault="00E1278B" w:rsidP="00D63E04">
      <w:pPr>
        <w:pStyle w:val="EndnoteText"/>
        <w:ind w:right="-170"/>
        <w:rPr>
          <w:rFonts w:ascii="Verdana" w:hAnsi="Verdana" w:cs="Arial"/>
          <w:sz w:val="18"/>
          <w:szCs w:val="18"/>
        </w:rPr>
      </w:pPr>
      <w:r>
        <w:rPr>
          <w:rStyle w:val="FootnoteReference"/>
          <w:rFonts w:ascii="Verdana" w:hAnsi="Verdana"/>
          <w:sz w:val="18"/>
          <w:szCs w:val="18"/>
          <w:lang w:val="es"/>
        </w:rPr>
        <w:footnoteRef/>
      </w:r>
      <w:r w:rsidR="008B72C9">
        <w:rPr>
          <w:rFonts w:ascii="Verdana" w:hAnsi="Verdana"/>
          <w:sz w:val="18"/>
          <w:szCs w:val="18"/>
          <w:lang w:val="es"/>
        </w:rPr>
        <w:t xml:space="preserve"> Grupo Intergubernamental de Expertos sobre el Cambio Climático. Cambio climático 2022: Impactos, adaptación y vulnerabilidad. Contribución del Grupo de Trabajo II al Sexto Informe de Evaluación del </w:t>
      </w:r>
      <w:r w:rsidR="008B72C9">
        <w:rPr>
          <w:lang w:val="es"/>
        </w:rPr>
        <w:t>IPCC.</w:t>
      </w:r>
      <w:hyperlink r:id="rId1" w:history="1">
        <w:r w:rsidR="008B72C9">
          <w:rPr>
            <w:rStyle w:val="Hyperlink"/>
            <w:rFonts w:ascii="Verdana" w:hAnsi="Verdana" w:cs="Arial"/>
            <w:sz w:val="18"/>
            <w:szCs w:val="18"/>
            <w:lang w:val="es"/>
          </w:rPr>
          <w:t xml:space="preserve"> </w:t>
        </w:r>
        <w:r w:rsidR="008B72C9" w:rsidRPr="008060B7">
          <w:rPr>
            <w:rStyle w:val="Hyperlink"/>
            <w:rFonts w:ascii="Verdana" w:hAnsi="Verdana" w:cs="Arial"/>
            <w:sz w:val="18"/>
            <w:szCs w:val="18"/>
          </w:rPr>
          <w:t>https://www.ipcc.ch/report/ar6/wg2/</w:t>
        </w:r>
      </w:hyperlink>
    </w:p>
  </w:footnote>
  <w:footnote w:id="3">
    <w:p w14:paraId="6B26D3F3" w14:textId="150A3051" w:rsidR="008B72C9" w:rsidRPr="00D62BCD" w:rsidRDefault="00BB3ACC" w:rsidP="00414AA1">
      <w:pPr>
        <w:pStyle w:val="FootnoteText"/>
        <w:ind w:right="-170"/>
        <w:rPr>
          <w:lang w:val="es-ES"/>
        </w:rPr>
      </w:pPr>
      <w:r>
        <w:rPr>
          <w:rStyle w:val="FootnoteReference"/>
          <w:lang w:val="es"/>
        </w:rPr>
        <w:footnoteRef/>
      </w:r>
      <w:r w:rsidRPr="00CA1CF3">
        <w:rPr>
          <w:lang w:val="en-US"/>
        </w:rPr>
        <w:t xml:space="preserve"> </w:t>
      </w:r>
      <w:r w:rsidR="00CA1CF3" w:rsidRPr="00CA1CF3">
        <w:rPr>
          <w:lang w:val="en-US"/>
        </w:rPr>
        <w:t xml:space="preserve">GBD 2019 Diseases and Injuries Collaborators. </w:t>
      </w:r>
      <w:r w:rsidR="00CA1CF3" w:rsidRPr="004C6B1F">
        <w:rPr>
          <w:lang w:val="en-US"/>
        </w:rPr>
        <w:t xml:space="preserve">Global burden of 369 diseases and injuries in 204 countries and territories, 1990–2019: a systematic analysis for the Global Burden of Disease Study 2019. </w:t>
      </w:r>
      <w:r w:rsidR="00CA1CF3" w:rsidRPr="00CA1CF3">
        <w:rPr>
          <w:lang w:val="es"/>
        </w:rPr>
        <w:t xml:space="preserve">Lancet. 2020 Oct 17; 396(10258):1204–1222. </w:t>
      </w:r>
      <w:proofErr w:type="spellStart"/>
      <w:r w:rsidR="00CA1CF3" w:rsidRPr="00CA1CF3">
        <w:rPr>
          <w:lang w:val="es"/>
        </w:rPr>
        <w:t>doi</w:t>
      </w:r>
      <w:proofErr w:type="spellEnd"/>
      <w:r w:rsidR="00CA1CF3" w:rsidRPr="00CA1CF3">
        <w:rPr>
          <w:lang w:val="es"/>
        </w:rPr>
        <w:t>: 10.1016/S0140–6736(20)30925–9.</w:t>
      </w:r>
    </w:p>
  </w:footnote>
  <w:footnote w:id="4">
    <w:p w14:paraId="4B9DFFDF" w14:textId="77777777" w:rsidR="008B72C9" w:rsidRPr="00D62BCD" w:rsidRDefault="008B72C9" w:rsidP="00DE3E2E">
      <w:pPr>
        <w:pStyle w:val="EndnoteText"/>
        <w:ind w:right="-170"/>
        <w:rPr>
          <w:rFonts w:ascii="Arial" w:hAnsi="Arial" w:cs="Arial"/>
          <w:sz w:val="18"/>
          <w:szCs w:val="18"/>
          <w:lang w:val="es-ES"/>
        </w:rPr>
      </w:pPr>
      <w:r>
        <w:rPr>
          <w:rStyle w:val="FootnoteReference"/>
          <w:rFonts w:ascii="Verdana" w:hAnsi="Verdana"/>
          <w:sz w:val="18"/>
          <w:szCs w:val="18"/>
          <w:lang w:val="es"/>
        </w:rPr>
        <w:footnoteRef/>
      </w:r>
      <w:r>
        <w:rPr>
          <w:rFonts w:ascii="Verdana" w:hAnsi="Verdana"/>
          <w:sz w:val="18"/>
          <w:szCs w:val="18"/>
          <w:lang w:val="es"/>
        </w:rPr>
        <w:t xml:space="preserve"> Lloyd, 2018: Un modelo a nivel mundial de los posibles efectos del cambio climático en el retraso del crecimiento infantil a través de los ingresos y el precio de los alimentos en 2030. </w:t>
      </w:r>
      <w:proofErr w:type="spellStart"/>
      <w:r>
        <w:rPr>
          <w:rFonts w:ascii="Verdana" w:hAnsi="Verdana"/>
          <w:sz w:val="18"/>
          <w:szCs w:val="18"/>
          <w:lang w:val="es"/>
        </w:rPr>
        <w:t>Environmental</w:t>
      </w:r>
      <w:proofErr w:type="spellEnd"/>
      <w:r>
        <w:rPr>
          <w:rFonts w:ascii="Verdana" w:hAnsi="Verdana"/>
          <w:sz w:val="18"/>
          <w:szCs w:val="18"/>
          <w:lang w:val="es"/>
        </w:rPr>
        <w:t xml:space="preserve"> </w:t>
      </w:r>
      <w:proofErr w:type="spellStart"/>
      <w:r>
        <w:rPr>
          <w:rFonts w:ascii="Verdana" w:hAnsi="Verdana"/>
          <w:sz w:val="18"/>
          <w:szCs w:val="18"/>
          <w:lang w:val="es"/>
        </w:rPr>
        <w:t>Health</w:t>
      </w:r>
      <w:proofErr w:type="spellEnd"/>
      <w:r>
        <w:rPr>
          <w:rFonts w:ascii="Verdana" w:hAnsi="Verdana"/>
          <w:sz w:val="18"/>
          <w:szCs w:val="18"/>
          <w:lang w:val="es"/>
        </w:rPr>
        <w:t xml:space="preserve"> </w:t>
      </w:r>
      <w:proofErr w:type="spellStart"/>
      <w:r>
        <w:rPr>
          <w:rFonts w:ascii="Verdana" w:hAnsi="Verdana"/>
          <w:sz w:val="18"/>
          <w:szCs w:val="18"/>
          <w:lang w:val="es"/>
        </w:rPr>
        <w:t>Perspectives</w:t>
      </w:r>
      <w:proofErr w:type="spellEnd"/>
      <w:r>
        <w:rPr>
          <w:rFonts w:ascii="Arial" w:hAnsi="Arial"/>
          <w:sz w:val="18"/>
          <w:szCs w:val="18"/>
          <w:lang w:val="es"/>
        </w:rPr>
        <w:t>, 126(9), 097007, doi:10.1289/ehp2916.</w:t>
      </w:r>
    </w:p>
  </w:footnote>
  <w:footnote w:id="5">
    <w:p w14:paraId="076DF74A" w14:textId="77777777" w:rsidR="008B72C9" w:rsidRPr="00D62BCD" w:rsidRDefault="008B72C9" w:rsidP="008B72C9">
      <w:pPr>
        <w:pStyle w:val="FootnoteText"/>
        <w:rPr>
          <w:lang w:val="es-ES"/>
        </w:rPr>
      </w:pPr>
      <w:r>
        <w:rPr>
          <w:lang w:val="es"/>
        </w:rPr>
        <w:t xml:space="preserve">Cuidado </w:t>
      </w:r>
      <w:r>
        <w:rPr>
          <w:rStyle w:val="FootnoteReference"/>
          <w:lang w:val="es"/>
        </w:rPr>
        <w:footnoteRef/>
      </w:r>
      <w:r>
        <w:rPr>
          <w:lang w:val="es"/>
        </w:rPr>
        <w:t xml:space="preserve"> de la salud sin daños Serie de atención de la salud climáticamente inteligente. Libro Verde Número Uno (2019). </w:t>
      </w:r>
      <w:hyperlink r:id="rId2" w:history="1">
        <w:r>
          <w:rPr>
            <w:rStyle w:val="Hyperlink"/>
            <w:lang w:val="es"/>
          </w:rPr>
          <w:t>https://noharm-global.org/documents/health-care-climate-footprint-report</w:t>
        </w:r>
      </w:hyperlink>
    </w:p>
  </w:footnote>
  <w:footnote w:id="6">
    <w:p w14:paraId="20B48D3A" w14:textId="3860D8A8" w:rsidR="008B72C9" w:rsidRPr="00D62BCD" w:rsidRDefault="008B72C9" w:rsidP="008B72C9">
      <w:pPr>
        <w:pStyle w:val="FootnoteText"/>
        <w:rPr>
          <w:lang w:val="es-ES"/>
        </w:rPr>
      </w:pPr>
      <w:r>
        <w:rPr>
          <w:rStyle w:val="FootnoteReference"/>
          <w:lang w:val="es"/>
        </w:rPr>
        <w:footnoteRef/>
      </w:r>
      <w:r>
        <w:rPr>
          <w:lang w:val="es"/>
        </w:rPr>
        <w:t xml:space="preserve"> OMS, Encuesta </w:t>
      </w:r>
      <w:r w:rsidR="0030346C">
        <w:rPr>
          <w:lang w:val="es"/>
        </w:rPr>
        <w:t>mundial sobre salud y cambio climático</w:t>
      </w:r>
      <w:r>
        <w:rPr>
          <w:lang w:val="es"/>
        </w:rPr>
        <w:t xml:space="preserve"> 2021</w:t>
      </w:r>
    </w:p>
  </w:footnote>
  <w:footnote w:id="7">
    <w:p w14:paraId="499ABE84" w14:textId="6A4B5758" w:rsidR="008B72C9" w:rsidRPr="00295901" w:rsidRDefault="007B6234" w:rsidP="00295901">
      <w:pPr>
        <w:pStyle w:val="EndnoteText"/>
        <w:ind w:right="-170"/>
        <w:rPr>
          <w:rFonts w:ascii="Verdana" w:hAnsi="Verdana" w:cs="Arial"/>
          <w:sz w:val="18"/>
          <w:szCs w:val="18"/>
        </w:rPr>
      </w:pPr>
      <w:r>
        <w:rPr>
          <w:rStyle w:val="FootnoteReference"/>
          <w:rFonts w:ascii="Verdana" w:hAnsi="Verdana"/>
          <w:sz w:val="18"/>
          <w:szCs w:val="18"/>
          <w:lang w:val="es"/>
        </w:rPr>
        <w:footnoteRef/>
      </w:r>
      <w:r w:rsidR="008B72C9">
        <w:rPr>
          <w:rFonts w:ascii="Verdana" w:hAnsi="Verdana" w:cs="Arial"/>
          <w:sz w:val="18"/>
          <w:szCs w:val="18"/>
          <w:lang w:val="es"/>
        </w:rPr>
        <w:t xml:space="preserve"> Plan de trabajo conjunto OMS/OMM y servicios de salud integrados. </w:t>
      </w:r>
      <w:hyperlink r:id="rId3" w:history="1">
        <w:r w:rsidR="008B72C9" w:rsidRPr="00D62BCD">
          <w:rPr>
            <w:rStyle w:val="Hyperlink"/>
            <w:rFonts w:ascii="Verdana" w:hAnsi="Verdana" w:cs="Arial"/>
            <w:sz w:val="18"/>
            <w:szCs w:val="18"/>
          </w:rPr>
          <w:t>https://community.wmo.int/meetings/whowmo-joint-workplan-and-integrated-health-services</w:t>
        </w:r>
      </w:hyperlink>
    </w:p>
  </w:footnote>
  <w:footnote w:id="8">
    <w:p w14:paraId="45A874F2" w14:textId="77777777" w:rsidR="005F0558" w:rsidRPr="00295901" w:rsidRDefault="005F0558" w:rsidP="005F0558">
      <w:pPr>
        <w:pStyle w:val="EndnoteText"/>
        <w:ind w:right="-170"/>
        <w:rPr>
          <w:rFonts w:ascii="Verdana" w:hAnsi="Verdana" w:cs="Arial"/>
          <w:sz w:val="18"/>
          <w:szCs w:val="18"/>
        </w:rPr>
      </w:pPr>
      <w:r>
        <w:rPr>
          <w:rStyle w:val="FootnoteReference"/>
          <w:rFonts w:ascii="Verdana" w:hAnsi="Verdana"/>
          <w:sz w:val="18"/>
          <w:szCs w:val="18"/>
          <w:lang w:val="es"/>
        </w:rPr>
        <w:footnoteRef/>
      </w:r>
      <w:r>
        <w:rPr>
          <w:rFonts w:ascii="Verdana" w:hAnsi="Verdana"/>
          <w:sz w:val="18"/>
          <w:szCs w:val="18"/>
          <w:lang w:val="es"/>
        </w:rPr>
        <w:t xml:space="preserve"> Decimoctavo Congreso Meteorológico Mundial (Cg-18). </w:t>
      </w:r>
      <w:hyperlink r:id="rId4" w:history="1">
        <w:r w:rsidRPr="00D62BCD">
          <w:rPr>
            <w:rStyle w:val="Hyperlink"/>
            <w:rFonts w:ascii="Verdana" w:hAnsi="Verdana" w:cs="Arial"/>
            <w:sz w:val="18"/>
            <w:szCs w:val="18"/>
          </w:rPr>
          <w:t>https://public.wmo.int/en/eighteenth-world-meteorological-congress-cg-18</w:t>
        </w:r>
      </w:hyperlink>
    </w:p>
    <w:p w14:paraId="6A9B30D1" w14:textId="77777777" w:rsidR="005F0558" w:rsidRPr="00D40F6B" w:rsidRDefault="005F0558" w:rsidP="005F0558">
      <w:pPr>
        <w:pStyle w:val="FootnoteText"/>
      </w:pPr>
    </w:p>
  </w:footnote>
  <w:footnote w:id="9">
    <w:p w14:paraId="26D5888E" w14:textId="77777777" w:rsidR="008B72C9" w:rsidRPr="00402DFC" w:rsidRDefault="008B72C9" w:rsidP="00706CE4">
      <w:pPr>
        <w:pStyle w:val="FootnoteText"/>
        <w:ind w:right="-170"/>
      </w:pPr>
      <w:r>
        <w:rPr>
          <w:rStyle w:val="FootnoteReference"/>
          <w:lang w:val="es"/>
        </w:rPr>
        <w:footnoteRef/>
      </w:r>
      <w:r w:rsidRPr="00D62BCD">
        <w:rPr>
          <w:lang w:val="en-US"/>
        </w:rPr>
        <w:t xml:space="preserve"> </w:t>
      </w:r>
      <w:proofErr w:type="spellStart"/>
      <w:r w:rsidRPr="00D62BCD">
        <w:rPr>
          <w:lang w:val="en-US"/>
        </w:rPr>
        <w:t>Berrang</w:t>
      </w:r>
      <w:proofErr w:type="spellEnd"/>
      <w:r w:rsidRPr="00D62BCD">
        <w:rPr>
          <w:lang w:val="en-US"/>
        </w:rPr>
        <w:t xml:space="preserve">-Ford L, </w:t>
      </w:r>
      <w:proofErr w:type="spellStart"/>
      <w:r w:rsidRPr="00D62BCD">
        <w:rPr>
          <w:lang w:val="en-US"/>
        </w:rPr>
        <w:t>Sietsma</w:t>
      </w:r>
      <w:proofErr w:type="spellEnd"/>
      <w:r w:rsidRPr="00D62BCD">
        <w:rPr>
          <w:lang w:val="en-US"/>
        </w:rPr>
        <w:t xml:space="preserve"> AJ, Callaghan M, Minx JC, </w:t>
      </w:r>
      <w:proofErr w:type="spellStart"/>
      <w:r w:rsidRPr="00D62BCD">
        <w:rPr>
          <w:lang w:val="en-US"/>
        </w:rPr>
        <w:t>Scheelbeek</w:t>
      </w:r>
      <w:proofErr w:type="spellEnd"/>
      <w:r w:rsidRPr="00D62BCD">
        <w:rPr>
          <w:lang w:val="en-US"/>
        </w:rPr>
        <w:t xml:space="preserve"> PF, </w:t>
      </w:r>
      <w:proofErr w:type="spellStart"/>
      <w:r w:rsidRPr="00D62BCD">
        <w:rPr>
          <w:lang w:val="en-US"/>
        </w:rPr>
        <w:t>Haddaway</w:t>
      </w:r>
      <w:proofErr w:type="spellEnd"/>
      <w:r w:rsidRPr="00D62BCD">
        <w:rPr>
          <w:lang w:val="en-US"/>
        </w:rPr>
        <w:t xml:space="preserve"> NR, Haines A, </w:t>
      </w:r>
      <w:proofErr w:type="spellStart"/>
      <w:r w:rsidRPr="00D62BCD">
        <w:rPr>
          <w:lang w:val="en-US"/>
        </w:rPr>
        <w:t>Dangour</w:t>
      </w:r>
      <w:proofErr w:type="spellEnd"/>
      <w:r w:rsidRPr="00D62BCD">
        <w:rPr>
          <w:lang w:val="en-US"/>
        </w:rPr>
        <w:t xml:space="preserve"> AD. </w:t>
      </w:r>
      <w:r>
        <w:rPr>
          <w:lang w:val="es"/>
        </w:rPr>
        <w:t xml:space="preserve">Mapeo sistemático de la investigación global sobre el clima y la salud: una revisión del aprendizaje automático. </w:t>
      </w:r>
      <w:proofErr w:type="spellStart"/>
      <w:r>
        <w:rPr>
          <w:lang w:val="es"/>
        </w:rPr>
        <w:t>The</w:t>
      </w:r>
      <w:proofErr w:type="spellEnd"/>
      <w:r>
        <w:rPr>
          <w:lang w:val="es"/>
        </w:rPr>
        <w:t xml:space="preserve"> Lancet </w:t>
      </w:r>
      <w:proofErr w:type="spellStart"/>
      <w:r>
        <w:rPr>
          <w:lang w:val="es"/>
        </w:rPr>
        <w:t>Planetary</w:t>
      </w:r>
      <w:proofErr w:type="spellEnd"/>
      <w:r>
        <w:rPr>
          <w:lang w:val="es"/>
        </w:rPr>
        <w:t xml:space="preserve"> </w:t>
      </w:r>
      <w:proofErr w:type="spellStart"/>
      <w:r>
        <w:rPr>
          <w:lang w:val="es"/>
        </w:rPr>
        <w:t>Health</w:t>
      </w:r>
      <w:proofErr w:type="spellEnd"/>
      <w:r>
        <w:rPr>
          <w:lang w:val="es"/>
        </w:rPr>
        <w:t>. 1 de agosto de 2021; 5(8):e514–25.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8758" w14:textId="77777777" w:rsidR="00CE2EA2" w:rsidRDefault="007E4B7C">
    <w:pPr>
      <w:pStyle w:val="Header"/>
    </w:pPr>
    <w:r>
      <w:rPr>
        <w:noProof/>
        <w:lang w:val="es"/>
      </w:rPr>
      <w:pict w14:anchorId="241180CD">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4E86F83C">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5E1E66" w14:textId="77777777" w:rsidR="009904C5" w:rsidRDefault="009904C5"/>
  <w:p w14:paraId="6BC10A51" w14:textId="77777777" w:rsidR="00CE2EA2" w:rsidRDefault="007E4B7C">
    <w:pPr>
      <w:pStyle w:val="Header"/>
    </w:pPr>
    <w:r>
      <w:rPr>
        <w:noProof/>
        <w:lang w:val="es"/>
      </w:rPr>
      <w:pict w14:anchorId="2AEE05BE">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085F0BBD">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7B5A867" w14:textId="77777777" w:rsidR="009904C5" w:rsidRDefault="009904C5"/>
  <w:p w14:paraId="3F0A75AC" w14:textId="77777777" w:rsidR="00CE2EA2" w:rsidRDefault="007E4B7C">
    <w:pPr>
      <w:pStyle w:val="Header"/>
    </w:pPr>
    <w:r>
      <w:rPr>
        <w:noProof/>
        <w:lang w:val="es"/>
      </w:rPr>
      <w:pict w14:anchorId="4152109A">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0453AD9B">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1A8F" w14:textId="340014DD" w:rsidR="00A432CD" w:rsidRDefault="003045D1" w:rsidP="00B72444">
    <w:pPr>
      <w:pStyle w:val="Header"/>
    </w:pPr>
    <w:r>
      <w:rPr>
        <w:lang w:val="es"/>
      </w:rPr>
      <w:t xml:space="preserve">SERCOM-2/INF. 5.10(3a), p. </w:t>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6</w:t>
    </w:r>
    <w:r>
      <w:rPr>
        <w:rStyle w:val="PageNumber"/>
        <w:lang w:val="es"/>
      </w:rPr>
      <w:fldChar w:fldCharType="end"/>
    </w:r>
    <w:r w:rsidR="007E4B7C">
      <w:rPr>
        <w:lang w:val="es"/>
      </w:rPr>
      <w:pict w14:anchorId="1937B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7E4B7C">
      <w:rPr>
        <w:lang w:val="es"/>
      </w:rPr>
      <w:pict w14:anchorId="685C4CBA">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E856" w14:textId="5C05E6FB" w:rsidR="00CE2EA2" w:rsidRDefault="007E4B7C" w:rsidP="00596154">
    <w:pPr>
      <w:pStyle w:val="Header"/>
      <w:spacing w:after="120"/>
      <w:jc w:val="left"/>
    </w:pPr>
    <w:r>
      <w:rPr>
        <w:lang w:val="es"/>
      </w:rPr>
      <w:pict w14:anchorId="4F97D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rPr>
        <w:lang w:val="es"/>
      </w:rPr>
      <w:pict w14:anchorId="4CA5DE81">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7264"/>
    <w:multiLevelType w:val="hybridMultilevel"/>
    <w:tmpl w:val="F4F8952C"/>
    <w:lvl w:ilvl="0" w:tplc="31A4E8D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122D56"/>
    <w:multiLevelType w:val="hybridMultilevel"/>
    <w:tmpl w:val="F4F8952C"/>
    <w:lvl w:ilvl="0" w:tplc="31A4E8D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00AA2"/>
    <w:multiLevelType w:val="hybridMultilevel"/>
    <w:tmpl w:val="2AE60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5D4A86"/>
    <w:multiLevelType w:val="hybridMultilevel"/>
    <w:tmpl w:val="F4F8952C"/>
    <w:lvl w:ilvl="0" w:tplc="31A4E8D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659D2"/>
    <w:multiLevelType w:val="hybridMultilevel"/>
    <w:tmpl w:val="4F68D9E4"/>
    <w:lvl w:ilvl="0" w:tplc="79CAD76A">
      <w:start w:val="1"/>
      <w:numFmt w:val="decimal"/>
      <w:lvlText w:val="%1."/>
      <w:lvlJc w:val="left"/>
      <w:pPr>
        <w:ind w:left="72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80C5C93"/>
    <w:multiLevelType w:val="multilevel"/>
    <w:tmpl w:val="501EE8E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361F23"/>
    <w:multiLevelType w:val="hybridMultilevel"/>
    <w:tmpl w:val="18F0248A"/>
    <w:lvl w:ilvl="0" w:tplc="B77CBCC2">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F7A5B0C"/>
    <w:multiLevelType w:val="hybridMultilevel"/>
    <w:tmpl w:val="F4F8952C"/>
    <w:lvl w:ilvl="0" w:tplc="31A4E8D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A20869"/>
    <w:multiLevelType w:val="hybridMultilevel"/>
    <w:tmpl w:val="8D08F2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59A54FE"/>
    <w:multiLevelType w:val="multilevel"/>
    <w:tmpl w:val="25CE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3859A6"/>
    <w:multiLevelType w:val="hybridMultilevel"/>
    <w:tmpl w:val="E0E42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5A2B3F"/>
    <w:multiLevelType w:val="hybridMultilevel"/>
    <w:tmpl w:val="B3869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5EF5FDF"/>
    <w:multiLevelType w:val="hybridMultilevel"/>
    <w:tmpl w:val="F4F8952C"/>
    <w:lvl w:ilvl="0" w:tplc="31A4E8D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9E52C0"/>
    <w:multiLevelType w:val="hybridMultilevel"/>
    <w:tmpl w:val="F0A44E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CB601B"/>
    <w:multiLevelType w:val="hybridMultilevel"/>
    <w:tmpl w:val="99945A4E"/>
    <w:lvl w:ilvl="0" w:tplc="DE40D136">
      <w:start w:val="1"/>
      <w:numFmt w:val="decimal"/>
      <w:lvlText w:val="%1)"/>
      <w:lvlJc w:val="left"/>
      <w:pPr>
        <w:ind w:left="720" w:hanging="360"/>
      </w:pPr>
      <w:rPr>
        <w:rFonts w:hint="default"/>
        <w:b w:val="0"/>
        <w:bCs w:val="0"/>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1CD0C26"/>
    <w:multiLevelType w:val="hybridMultilevel"/>
    <w:tmpl w:val="93B8A5B8"/>
    <w:lvl w:ilvl="0" w:tplc="6F101FBA">
      <w:start w:val="1"/>
      <w:numFmt w:val="decimal"/>
      <w:lvlText w:val="(%1)"/>
      <w:lvlJc w:val="left"/>
      <w:pPr>
        <w:ind w:left="720" w:hanging="360"/>
      </w:pPr>
      <w:rPr>
        <w:rFonts w:hint="default"/>
        <w:b/>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5B3279F"/>
    <w:multiLevelType w:val="hybridMultilevel"/>
    <w:tmpl w:val="978076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44275861">
    <w:abstractNumId w:val="15"/>
  </w:num>
  <w:num w:numId="2" w16cid:durableId="1847670553">
    <w:abstractNumId w:val="14"/>
  </w:num>
  <w:num w:numId="3" w16cid:durableId="1895699353">
    <w:abstractNumId w:val="6"/>
  </w:num>
  <w:num w:numId="4" w16cid:durableId="1366559014">
    <w:abstractNumId w:val="9"/>
  </w:num>
  <w:num w:numId="5" w16cid:durableId="1392002208">
    <w:abstractNumId w:val="11"/>
  </w:num>
  <w:num w:numId="6" w16cid:durableId="1983542086">
    <w:abstractNumId w:val="10"/>
  </w:num>
  <w:num w:numId="7" w16cid:durableId="1126309597">
    <w:abstractNumId w:val="2"/>
  </w:num>
  <w:num w:numId="8" w16cid:durableId="504589629">
    <w:abstractNumId w:val="13"/>
  </w:num>
  <w:num w:numId="9" w16cid:durableId="1324553341">
    <w:abstractNumId w:val="16"/>
  </w:num>
  <w:num w:numId="10" w16cid:durableId="1804083164">
    <w:abstractNumId w:val="8"/>
  </w:num>
  <w:num w:numId="11" w16cid:durableId="1667316198">
    <w:abstractNumId w:val="4"/>
  </w:num>
  <w:num w:numId="12" w16cid:durableId="832375256">
    <w:abstractNumId w:val="5"/>
  </w:num>
  <w:num w:numId="13" w16cid:durableId="757601795">
    <w:abstractNumId w:val="7"/>
  </w:num>
  <w:num w:numId="14" w16cid:durableId="2077043000">
    <w:abstractNumId w:val="3"/>
  </w:num>
  <w:num w:numId="15" w16cid:durableId="1871146741">
    <w:abstractNumId w:val="1"/>
  </w:num>
  <w:num w:numId="16" w16cid:durableId="1371877550">
    <w:abstractNumId w:val="12"/>
  </w:num>
  <w:num w:numId="17" w16cid:durableId="15605543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D1"/>
    <w:rsid w:val="00005301"/>
    <w:rsid w:val="0001102A"/>
    <w:rsid w:val="000133EE"/>
    <w:rsid w:val="000166CD"/>
    <w:rsid w:val="000206A8"/>
    <w:rsid w:val="00024342"/>
    <w:rsid w:val="00025530"/>
    <w:rsid w:val="00027205"/>
    <w:rsid w:val="0003137A"/>
    <w:rsid w:val="00031A71"/>
    <w:rsid w:val="000361C8"/>
    <w:rsid w:val="00041171"/>
    <w:rsid w:val="00041727"/>
    <w:rsid w:val="0004226F"/>
    <w:rsid w:val="00043358"/>
    <w:rsid w:val="00043F3F"/>
    <w:rsid w:val="0004407F"/>
    <w:rsid w:val="00046276"/>
    <w:rsid w:val="00050F8E"/>
    <w:rsid w:val="000518BB"/>
    <w:rsid w:val="00052FB4"/>
    <w:rsid w:val="00053962"/>
    <w:rsid w:val="00056FD4"/>
    <w:rsid w:val="000573AD"/>
    <w:rsid w:val="00057A7E"/>
    <w:rsid w:val="0006123B"/>
    <w:rsid w:val="00064F6B"/>
    <w:rsid w:val="00072F17"/>
    <w:rsid w:val="00073195"/>
    <w:rsid w:val="000731AA"/>
    <w:rsid w:val="000806D8"/>
    <w:rsid w:val="00080978"/>
    <w:rsid w:val="00082C80"/>
    <w:rsid w:val="00083847"/>
    <w:rsid w:val="00083C36"/>
    <w:rsid w:val="00084D58"/>
    <w:rsid w:val="00085037"/>
    <w:rsid w:val="00092CAE"/>
    <w:rsid w:val="00095E48"/>
    <w:rsid w:val="000A2E8E"/>
    <w:rsid w:val="000A372F"/>
    <w:rsid w:val="000A4F1C"/>
    <w:rsid w:val="000A69BF"/>
    <w:rsid w:val="000A6F83"/>
    <w:rsid w:val="000B4D3D"/>
    <w:rsid w:val="000C225A"/>
    <w:rsid w:val="000C6781"/>
    <w:rsid w:val="000D0753"/>
    <w:rsid w:val="000D28F0"/>
    <w:rsid w:val="000D6452"/>
    <w:rsid w:val="000D69AE"/>
    <w:rsid w:val="000E73EF"/>
    <w:rsid w:val="000F5E49"/>
    <w:rsid w:val="000F75F4"/>
    <w:rsid w:val="000F7A87"/>
    <w:rsid w:val="001029C2"/>
    <w:rsid w:val="00102EAE"/>
    <w:rsid w:val="001047DC"/>
    <w:rsid w:val="00105D2E"/>
    <w:rsid w:val="001070AD"/>
    <w:rsid w:val="00111BFD"/>
    <w:rsid w:val="00111E3B"/>
    <w:rsid w:val="0011498B"/>
    <w:rsid w:val="00120147"/>
    <w:rsid w:val="00123140"/>
    <w:rsid w:val="00123D94"/>
    <w:rsid w:val="0012575A"/>
    <w:rsid w:val="00130BBC"/>
    <w:rsid w:val="00132B68"/>
    <w:rsid w:val="00133A89"/>
    <w:rsid w:val="00133D13"/>
    <w:rsid w:val="00133F9D"/>
    <w:rsid w:val="00142BEC"/>
    <w:rsid w:val="00150DBD"/>
    <w:rsid w:val="00151E97"/>
    <w:rsid w:val="00153B8B"/>
    <w:rsid w:val="00154D09"/>
    <w:rsid w:val="00156437"/>
    <w:rsid w:val="00156BF8"/>
    <w:rsid w:val="00156F9B"/>
    <w:rsid w:val="00163BA3"/>
    <w:rsid w:val="00166B31"/>
    <w:rsid w:val="00167CEA"/>
    <w:rsid w:val="00167D54"/>
    <w:rsid w:val="00174CE9"/>
    <w:rsid w:val="0017692F"/>
    <w:rsid w:val="00176AB5"/>
    <w:rsid w:val="0017750A"/>
    <w:rsid w:val="00180771"/>
    <w:rsid w:val="00181FC4"/>
    <w:rsid w:val="00184B05"/>
    <w:rsid w:val="001875A6"/>
    <w:rsid w:val="00190854"/>
    <w:rsid w:val="00190974"/>
    <w:rsid w:val="001930A3"/>
    <w:rsid w:val="00196EB8"/>
    <w:rsid w:val="00197ECE"/>
    <w:rsid w:val="001A25F0"/>
    <w:rsid w:val="001A2BE8"/>
    <w:rsid w:val="001A2FC6"/>
    <w:rsid w:val="001A341E"/>
    <w:rsid w:val="001B0EA6"/>
    <w:rsid w:val="001B1CDF"/>
    <w:rsid w:val="001B2EC4"/>
    <w:rsid w:val="001B3C90"/>
    <w:rsid w:val="001B56F4"/>
    <w:rsid w:val="001B787A"/>
    <w:rsid w:val="001C3BEA"/>
    <w:rsid w:val="001C5462"/>
    <w:rsid w:val="001D265C"/>
    <w:rsid w:val="001D3062"/>
    <w:rsid w:val="001D3447"/>
    <w:rsid w:val="001D3CFB"/>
    <w:rsid w:val="001D559B"/>
    <w:rsid w:val="001D62AA"/>
    <w:rsid w:val="001D6302"/>
    <w:rsid w:val="001E16B1"/>
    <w:rsid w:val="001E2C22"/>
    <w:rsid w:val="001E5CEC"/>
    <w:rsid w:val="001E740C"/>
    <w:rsid w:val="001E7DD0"/>
    <w:rsid w:val="001F1BDA"/>
    <w:rsid w:val="001F72EC"/>
    <w:rsid w:val="0020095E"/>
    <w:rsid w:val="00210BFE"/>
    <w:rsid w:val="00210D30"/>
    <w:rsid w:val="00211398"/>
    <w:rsid w:val="00211A83"/>
    <w:rsid w:val="00211B6C"/>
    <w:rsid w:val="00214612"/>
    <w:rsid w:val="0021518D"/>
    <w:rsid w:val="002204FD"/>
    <w:rsid w:val="00221020"/>
    <w:rsid w:val="00221E26"/>
    <w:rsid w:val="00224112"/>
    <w:rsid w:val="002244D5"/>
    <w:rsid w:val="00227029"/>
    <w:rsid w:val="002308B5"/>
    <w:rsid w:val="00233C0B"/>
    <w:rsid w:val="00234A34"/>
    <w:rsid w:val="00236CAF"/>
    <w:rsid w:val="0024223B"/>
    <w:rsid w:val="0025255D"/>
    <w:rsid w:val="00252E1A"/>
    <w:rsid w:val="00255EE3"/>
    <w:rsid w:val="00256B3D"/>
    <w:rsid w:val="0026182E"/>
    <w:rsid w:val="0026515E"/>
    <w:rsid w:val="0026743C"/>
    <w:rsid w:val="00270480"/>
    <w:rsid w:val="002779AF"/>
    <w:rsid w:val="002823D8"/>
    <w:rsid w:val="0028531A"/>
    <w:rsid w:val="00285446"/>
    <w:rsid w:val="00290082"/>
    <w:rsid w:val="00291079"/>
    <w:rsid w:val="00292F3A"/>
    <w:rsid w:val="00293A4C"/>
    <w:rsid w:val="00294630"/>
    <w:rsid w:val="00295593"/>
    <w:rsid w:val="00295901"/>
    <w:rsid w:val="002A0A27"/>
    <w:rsid w:val="002A1377"/>
    <w:rsid w:val="002A354F"/>
    <w:rsid w:val="002A386C"/>
    <w:rsid w:val="002B09DF"/>
    <w:rsid w:val="002B18FB"/>
    <w:rsid w:val="002B3F2D"/>
    <w:rsid w:val="002B540D"/>
    <w:rsid w:val="002B7A7E"/>
    <w:rsid w:val="002C283A"/>
    <w:rsid w:val="002C30BC"/>
    <w:rsid w:val="002C5965"/>
    <w:rsid w:val="002C5E15"/>
    <w:rsid w:val="002C7A88"/>
    <w:rsid w:val="002C7AB9"/>
    <w:rsid w:val="002D232B"/>
    <w:rsid w:val="002D2759"/>
    <w:rsid w:val="002D5E00"/>
    <w:rsid w:val="002D6DAC"/>
    <w:rsid w:val="002E261D"/>
    <w:rsid w:val="002E3FAD"/>
    <w:rsid w:val="002E4E16"/>
    <w:rsid w:val="002F17EC"/>
    <w:rsid w:val="002F53B9"/>
    <w:rsid w:val="002F6DAC"/>
    <w:rsid w:val="00300A3D"/>
    <w:rsid w:val="00301E8C"/>
    <w:rsid w:val="0030339C"/>
    <w:rsid w:val="0030346C"/>
    <w:rsid w:val="003045D1"/>
    <w:rsid w:val="00306C37"/>
    <w:rsid w:val="00307DDD"/>
    <w:rsid w:val="00307F78"/>
    <w:rsid w:val="00310744"/>
    <w:rsid w:val="003115AA"/>
    <w:rsid w:val="003142C0"/>
    <w:rsid w:val="003143C9"/>
    <w:rsid w:val="003146E9"/>
    <w:rsid w:val="00314D5D"/>
    <w:rsid w:val="00320009"/>
    <w:rsid w:val="00320095"/>
    <w:rsid w:val="0032424A"/>
    <w:rsid w:val="003245D3"/>
    <w:rsid w:val="00330AA3"/>
    <w:rsid w:val="00331584"/>
    <w:rsid w:val="00331964"/>
    <w:rsid w:val="00334987"/>
    <w:rsid w:val="00340C69"/>
    <w:rsid w:val="00342E34"/>
    <w:rsid w:val="003437D6"/>
    <w:rsid w:val="00344893"/>
    <w:rsid w:val="003516C8"/>
    <w:rsid w:val="00352B1C"/>
    <w:rsid w:val="00352F40"/>
    <w:rsid w:val="00354920"/>
    <w:rsid w:val="00354DC0"/>
    <w:rsid w:val="003629CD"/>
    <w:rsid w:val="00370C18"/>
    <w:rsid w:val="00371CF1"/>
    <w:rsid w:val="0037222D"/>
    <w:rsid w:val="00373128"/>
    <w:rsid w:val="003745C8"/>
    <w:rsid w:val="003750C1"/>
    <w:rsid w:val="00375F48"/>
    <w:rsid w:val="003774D0"/>
    <w:rsid w:val="0038051E"/>
    <w:rsid w:val="00380AF7"/>
    <w:rsid w:val="00386F08"/>
    <w:rsid w:val="00393665"/>
    <w:rsid w:val="00394A05"/>
    <w:rsid w:val="003954BD"/>
    <w:rsid w:val="00397770"/>
    <w:rsid w:val="00397880"/>
    <w:rsid w:val="003A2C28"/>
    <w:rsid w:val="003A7016"/>
    <w:rsid w:val="003B0C08"/>
    <w:rsid w:val="003C0889"/>
    <w:rsid w:val="003C17A5"/>
    <w:rsid w:val="003C1843"/>
    <w:rsid w:val="003C3045"/>
    <w:rsid w:val="003C37BD"/>
    <w:rsid w:val="003D0A2B"/>
    <w:rsid w:val="003D1552"/>
    <w:rsid w:val="003D1904"/>
    <w:rsid w:val="003D30BD"/>
    <w:rsid w:val="003D7765"/>
    <w:rsid w:val="003E381F"/>
    <w:rsid w:val="003E4046"/>
    <w:rsid w:val="003F003A"/>
    <w:rsid w:val="003F125B"/>
    <w:rsid w:val="003F7B3F"/>
    <w:rsid w:val="00400503"/>
    <w:rsid w:val="00402DFC"/>
    <w:rsid w:val="00403A66"/>
    <w:rsid w:val="004058AD"/>
    <w:rsid w:val="00406CCD"/>
    <w:rsid w:val="0041078D"/>
    <w:rsid w:val="00412DEA"/>
    <w:rsid w:val="00414AA1"/>
    <w:rsid w:val="00416F97"/>
    <w:rsid w:val="00417C0D"/>
    <w:rsid w:val="00420A01"/>
    <w:rsid w:val="00421D0F"/>
    <w:rsid w:val="00425173"/>
    <w:rsid w:val="0043039B"/>
    <w:rsid w:val="00431A69"/>
    <w:rsid w:val="00436197"/>
    <w:rsid w:val="004421D8"/>
    <w:rsid w:val="00442386"/>
    <w:rsid w:val="004423FE"/>
    <w:rsid w:val="00445C35"/>
    <w:rsid w:val="00454B41"/>
    <w:rsid w:val="00455B85"/>
    <w:rsid w:val="0045663A"/>
    <w:rsid w:val="00462551"/>
    <w:rsid w:val="0046344E"/>
    <w:rsid w:val="00465C88"/>
    <w:rsid w:val="004667E7"/>
    <w:rsid w:val="004672CF"/>
    <w:rsid w:val="00470DEF"/>
    <w:rsid w:val="0047336D"/>
    <w:rsid w:val="00475797"/>
    <w:rsid w:val="00476D0A"/>
    <w:rsid w:val="004836EE"/>
    <w:rsid w:val="0049064A"/>
    <w:rsid w:val="00491024"/>
    <w:rsid w:val="00491858"/>
    <w:rsid w:val="0049253B"/>
    <w:rsid w:val="0049766F"/>
    <w:rsid w:val="004A140B"/>
    <w:rsid w:val="004A2886"/>
    <w:rsid w:val="004A397A"/>
    <w:rsid w:val="004A4B47"/>
    <w:rsid w:val="004A5D76"/>
    <w:rsid w:val="004B0EC9"/>
    <w:rsid w:val="004B437D"/>
    <w:rsid w:val="004B7BAA"/>
    <w:rsid w:val="004C2DF7"/>
    <w:rsid w:val="004C4E0B"/>
    <w:rsid w:val="004C63D3"/>
    <w:rsid w:val="004C6B1F"/>
    <w:rsid w:val="004D0E4B"/>
    <w:rsid w:val="004D497E"/>
    <w:rsid w:val="004D49B6"/>
    <w:rsid w:val="004D7299"/>
    <w:rsid w:val="004E0A34"/>
    <w:rsid w:val="004E1DF4"/>
    <w:rsid w:val="004E3761"/>
    <w:rsid w:val="004E4809"/>
    <w:rsid w:val="004E4CC3"/>
    <w:rsid w:val="004E52AC"/>
    <w:rsid w:val="004E5985"/>
    <w:rsid w:val="004E5DF6"/>
    <w:rsid w:val="004E6352"/>
    <w:rsid w:val="004E6460"/>
    <w:rsid w:val="004F143C"/>
    <w:rsid w:val="004F447C"/>
    <w:rsid w:val="004F6708"/>
    <w:rsid w:val="004F6B46"/>
    <w:rsid w:val="0050110F"/>
    <w:rsid w:val="0050425E"/>
    <w:rsid w:val="00507685"/>
    <w:rsid w:val="00511999"/>
    <w:rsid w:val="005143CA"/>
    <w:rsid w:val="00514417"/>
    <w:rsid w:val="005145D6"/>
    <w:rsid w:val="00515F5E"/>
    <w:rsid w:val="00521EA5"/>
    <w:rsid w:val="00525B80"/>
    <w:rsid w:val="0053098F"/>
    <w:rsid w:val="00536B2E"/>
    <w:rsid w:val="0054671D"/>
    <w:rsid w:val="00546D8E"/>
    <w:rsid w:val="005470C4"/>
    <w:rsid w:val="005521AD"/>
    <w:rsid w:val="00553738"/>
    <w:rsid w:val="00553F7E"/>
    <w:rsid w:val="00556F53"/>
    <w:rsid w:val="0056646F"/>
    <w:rsid w:val="00571AE1"/>
    <w:rsid w:val="00575845"/>
    <w:rsid w:val="00581B28"/>
    <w:rsid w:val="00583C53"/>
    <w:rsid w:val="005859C2"/>
    <w:rsid w:val="00587325"/>
    <w:rsid w:val="00587684"/>
    <w:rsid w:val="00592267"/>
    <w:rsid w:val="005928C8"/>
    <w:rsid w:val="0059421F"/>
    <w:rsid w:val="0059535E"/>
    <w:rsid w:val="00596154"/>
    <w:rsid w:val="005977C8"/>
    <w:rsid w:val="005A094F"/>
    <w:rsid w:val="005A136D"/>
    <w:rsid w:val="005A5D90"/>
    <w:rsid w:val="005A7475"/>
    <w:rsid w:val="005B0AE2"/>
    <w:rsid w:val="005B0FFD"/>
    <w:rsid w:val="005B1335"/>
    <w:rsid w:val="005B1F2C"/>
    <w:rsid w:val="005B21F8"/>
    <w:rsid w:val="005B2651"/>
    <w:rsid w:val="005B4DCF"/>
    <w:rsid w:val="005B5F3C"/>
    <w:rsid w:val="005B6287"/>
    <w:rsid w:val="005C41F2"/>
    <w:rsid w:val="005D03D9"/>
    <w:rsid w:val="005D1EE8"/>
    <w:rsid w:val="005D3FBD"/>
    <w:rsid w:val="005D56AE"/>
    <w:rsid w:val="005D666D"/>
    <w:rsid w:val="005D7A60"/>
    <w:rsid w:val="005E3A59"/>
    <w:rsid w:val="005E3D43"/>
    <w:rsid w:val="005F0558"/>
    <w:rsid w:val="005F146B"/>
    <w:rsid w:val="005F7FD6"/>
    <w:rsid w:val="00604802"/>
    <w:rsid w:val="0061188F"/>
    <w:rsid w:val="00612847"/>
    <w:rsid w:val="0061317D"/>
    <w:rsid w:val="0061589E"/>
    <w:rsid w:val="00615AB0"/>
    <w:rsid w:val="00616247"/>
    <w:rsid w:val="00617560"/>
    <w:rsid w:val="0061778C"/>
    <w:rsid w:val="00624225"/>
    <w:rsid w:val="00624A12"/>
    <w:rsid w:val="00627C6C"/>
    <w:rsid w:val="0063187B"/>
    <w:rsid w:val="00636B90"/>
    <w:rsid w:val="0064294C"/>
    <w:rsid w:val="006448BF"/>
    <w:rsid w:val="0064738B"/>
    <w:rsid w:val="006508EA"/>
    <w:rsid w:val="00652703"/>
    <w:rsid w:val="00653150"/>
    <w:rsid w:val="00657A1E"/>
    <w:rsid w:val="006607B7"/>
    <w:rsid w:val="00662EAA"/>
    <w:rsid w:val="00667E86"/>
    <w:rsid w:val="00670002"/>
    <w:rsid w:val="00675DC9"/>
    <w:rsid w:val="00681F79"/>
    <w:rsid w:val="00683333"/>
    <w:rsid w:val="006836EE"/>
    <w:rsid w:val="0068376B"/>
    <w:rsid w:val="0068392D"/>
    <w:rsid w:val="00694C1E"/>
    <w:rsid w:val="006973B5"/>
    <w:rsid w:val="00697B07"/>
    <w:rsid w:val="00697DB5"/>
    <w:rsid w:val="006A1B33"/>
    <w:rsid w:val="006A432D"/>
    <w:rsid w:val="006A492A"/>
    <w:rsid w:val="006B1B7F"/>
    <w:rsid w:val="006B5C72"/>
    <w:rsid w:val="006B7C5A"/>
    <w:rsid w:val="006C289D"/>
    <w:rsid w:val="006C5A53"/>
    <w:rsid w:val="006D0310"/>
    <w:rsid w:val="006D13FF"/>
    <w:rsid w:val="006D2009"/>
    <w:rsid w:val="006D3D85"/>
    <w:rsid w:val="006D5576"/>
    <w:rsid w:val="006E614D"/>
    <w:rsid w:val="006E766D"/>
    <w:rsid w:val="006F2E0E"/>
    <w:rsid w:val="006F4B29"/>
    <w:rsid w:val="006F6CE9"/>
    <w:rsid w:val="00700080"/>
    <w:rsid w:val="0070517C"/>
    <w:rsid w:val="00705C9F"/>
    <w:rsid w:val="00706C27"/>
    <w:rsid w:val="00706CE4"/>
    <w:rsid w:val="00710D41"/>
    <w:rsid w:val="007119E5"/>
    <w:rsid w:val="00716951"/>
    <w:rsid w:val="00720F6B"/>
    <w:rsid w:val="00730ADA"/>
    <w:rsid w:val="00732C37"/>
    <w:rsid w:val="00735D9E"/>
    <w:rsid w:val="00745A09"/>
    <w:rsid w:val="00745CD0"/>
    <w:rsid w:val="00751EAF"/>
    <w:rsid w:val="00754CF7"/>
    <w:rsid w:val="00757B0D"/>
    <w:rsid w:val="00757E4A"/>
    <w:rsid w:val="00761320"/>
    <w:rsid w:val="007619E1"/>
    <w:rsid w:val="007651B1"/>
    <w:rsid w:val="00767CE1"/>
    <w:rsid w:val="00770675"/>
    <w:rsid w:val="007714A6"/>
    <w:rsid w:val="00771A68"/>
    <w:rsid w:val="007724EE"/>
    <w:rsid w:val="007744D2"/>
    <w:rsid w:val="00774E07"/>
    <w:rsid w:val="00776EC0"/>
    <w:rsid w:val="00786136"/>
    <w:rsid w:val="007A05D1"/>
    <w:rsid w:val="007A7EEC"/>
    <w:rsid w:val="007B05CF"/>
    <w:rsid w:val="007B1437"/>
    <w:rsid w:val="007B1635"/>
    <w:rsid w:val="007B45EC"/>
    <w:rsid w:val="007B54A7"/>
    <w:rsid w:val="007B6234"/>
    <w:rsid w:val="007B72B8"/>
    <w:rsid w:val="007C212A"/>
    <w:rsid w:val="007C6101"/>
    <w:rsid w:val="007D271A"/>
    <w:rsid w:val="007D2F92"/>
    <w:rsid w:val="007D41B2"/>
    <w:rsid w:val="007D5B3C"/>
    <w:rsid w:val="007D5F6A"/>
    <w:rsid w:val="007D7989"/>
    <w:rsid w:val="007E1474"/>
    <w:rsid w:val="007E168D"/>
    <w:rsid w:val="007E4B7C"/>
    <w:rsid w:val="007E7D21"/>
    <w:rsid w:val="007E7DBD"/>
    <w:rsid w:val="007F444B"/>
    <w:rsid w:val="007F465F"/>
    <w:rsid w:val="007F482F"/>
    <w:rsid w:val="007F7C94"/>
    <w:rsid w:val="0080398D"/>
    <w:rsid w:val="00805174"/>
    <w:rsid w:val="008060B7"/>
    <w:rsid w:val="00806385"/>
    <w:rsid w:val="00807CC5"/>
    <w:rsid w:val="00807ED7"/>
    <w:rsid w:val="00810D00"/>
    <w:rsid w:val="00814CC6"/>
    <w:rsid w:val="0081738C"/>
    <w:rsid w:val="00821D4B"/>
    <w:rsid w:val="008223B2"/>
    <w:rsid w:val="008238F9"/>
    <w:rsid w:val="00825086"/>
    <w:rsid w:val="00826D53"/>
    <w:rsid w:val="008273AA"/>
    <w:rsid w:val="00830C18"/>
    <w:rsid w:val="00831751"/>
    <w:rsid w:val="00833369"/>
    <w:rsid w:val="00835B42"/>
    <w:rsid w:val="00836866"/>
    <w:rsid w:val="00841EC3"/>
    <w:rsid w:val="00842A4E"/>
    <w:rsid w:val="00847AC7"/>
    <w:rsid w:val="00847D99"/>
    <w:rsid w:val="0085038E"/>
    <w:rsid w:val="00850486"/>
    <w:rsid w:val="00851F42"/>
    <w:rsid w:val="0085230A"/>
    <w:rsid w:val="008539EC"/>
    <w:rsid w:val="008540F1"/>
    <w:rsid w:val="00854AF1"/>
    <w:rsid w:val="00855757"/>
    <w:rsid w:val="00860B9A"/>
    <w:rsid w:val="0086271D"/>
    <w:rsid w:val="00862865"/>
    <w:rsid w:val="0086420B"/>
    <w:rsid w:val="00864645"/>
    <w:rsid w:val="00864DBF"/>
    <w:rsid w:val="00865AE2"/>
    <w:rsid w:val="008663C8"/>
    <w:rsid w:val="00870816"/>
    <w:rsid w:val="00870AEB"/>
    <w:rsid w:val="00872BB4"/>
    <w:rsid w:val="00874D4B"/>
    <w:rsid w:val="0088163A"/>
    <w:rsid w:val="008831CD"/>
    <w:rsid w:val="00893376"/>
    <w:rsid w:val="0089601F"/>
    <w:rsid w:val="008970B8"/>
    <w:rsid w:val="008A2857"/>
    <w:rsid w:val="008A3939"/>
    <w:rsid w:val="008A7313"/>
    <w:rsid w:val="008A7950"/>
    <w:rsid w:val="008A7D91"/>
    <w:rsid w:val="008B1D5B"/>
    <w:rsid w:val="008B72C9"/>
    <w:rsid w:val="008B7FC7"/>
    <w:rsid w:val="008C38CB"/>
    <w:rsid w:val="008C4040"/>
    <w:rsid w:val="008C4337"/>
    <w:rsid w:val="008C4F06"/>
    <w:rsid w:val="008C5389"/>
    <w:rsid w:val="008C6955"/>
    <w:rsid w:val="008D0C90"/>
    <w:rsid w:val="008D3BC0"/>
    <w:rsid w:val="008E1E4A"/>
    <w:rsid w:val="008F0615"/>
    <w:rsid w:val="008F103E"/>
    <w:rsid w:val="008F1FDB"/>
    <w:rsid w:val="008F2D2E"/>
    <w:rsid w:val="008F36FB"/>
    <w:rsid w:val="00901B8F"/>
    <w:rsid w:val="00902EA9"/>
    <w:rsid w:val="0090427F"/>
    <w:rsid w:val="00911C9F"/>
    <w:rsid w:val="0091393B"/>
    <w:rsid w:val="00920506"/>
    <w:rsid w:val="00923985"/>
    <w:rsid w:val="00924105"/>
    <w:rsid w:val="00930383"/>
    <w:rsid w:val="00931DEB"/>
    <w:rsid w:val="00933957"/>
    <w:rsid w:val="009356FA"/>
    <w:rsid w:val="00935A04"/>
    <w:rsid w:val="009406F6"/>
    <w:rsid w:val="0094603B"/>
    <w:rsid w:val="009504A1"/>
    <w:rsid w:val="00950605"/>
    <w:rsid w:val="00952233"/>
    <w:rsid w:val="0095384D"/>
    <w:rsid w:val="00954D66"/>
    <w:rsid w:val="00955DBA"/>
    <w:rsid w:val="0095773C"/>
    <w:rsid w:val="00963F8F"/>
    <w:rsid w:val="0097347D"/>
    <w:rsid w:val="00973C62"/>
    <w:rsid w:val="00975D76"/>
    <w:rsid w:val="00982E51"/>
    <w:rsid w:val="009874B9"/>
    <w:rsid w:val="009904C5"/>
    <w:rsid w:val="00991A5C"/>
    <w:rsid w:val="00993581"/>
    <w:rsid w:val="009A288C"/>
    <w:rsid w:val="009A64C1"/>
    <w:rsid w:val="009B191D"/>
    <w:rsid w:val="009B2836"/>
    <w:rsid w:val="009B6697"/>
    <w:rsid w:val="009C2B43"/>
    <w:rsid w:val="009C2EA4"/>
    <w:rsid w:val="009C4283"/>
    <w:rsid w:val="009C4C04"/>
    <w:rsid w:val="009C6181"/>
    <w:rsid w:val="009D15E0"/>
    <w:rsid w:val="009D2FFF"/>
    <w:rsid w:val="009D5213"/>
    <w:rsid w:val="009E113C"/>
    <w:rsid w:val="009E1C95"/>
    <w:rsid w:val="009F196A"/>
    <w:rsid w:val="009F669B"/>
    <w:rsid w:val="009F7566"/>
    <w:rsid w:val="009F7F18"/>
    <w:rsid w:val="00A00F0E"/>
    <w:rsid w:val="00A02A72"/>
    <w:rsid w:val="00A050DE"/>
    <w:rsid w:val="00A06BFE"/>
    <w:rsid w:val="00A06D2D"/>
    <w:rsid w:val="00A06F24"/>
    <w:rsid w:val="00A10F5D"/>
    <w:rsid w:val="00A1199A"/>
    <w:rsid w:val="00A1243C"/>
    <w:rsid w:val="00A135AE"/>
    <w:rsid w:val="00A14973"/>
    <w:rsid w:val="00A14AF1"/>
    <w:rsid w:val="00A16891"/>
    <w:rsid w:val="00A268CE"/>
    <w:rsid w:val="00A26BE8"/>
    <w:rsid w:val="00A2759A"/>
    <w:rsid w:val="00A331E8"/>
    <w:rsid w:val="00A332E8"/>
    <w:rsid w:val="00A35AF5"/>
    <w:rsid w:val="00A35DDF"/>
    <w:rsid w:val="00A36CBA"/>
    <w:rsid w:val="00A37A3F"/>
    <w:rsid w:val="00A42B6E"/>
    <w:rsid w:val="00A432CD"/>
    <w:rsid w:val="00A43DD4"/>
    <w:rsid w:val="00A45741"/>
    <w:rsid w:val="00A47141"/>
    <w:rsid w:val="00A47EF6"/>
    <w:rsid w:val="00A50291"/>
    <w:rsid w:val="00A51A12"/>
    <w:rsid w:val="00A530E4"/>
    <w:rsid w:val="00A53760"/>
    <w:rsid w:val="00A566FD"/>
    <w:rsid w:val="00A604CD"/>
    <w:rsid w:val="00A60FE6"/>
    <w:rsid w:val="00A6216C"/>
    <w:rsid w:val="00A622F5"/>
    <w:rsid w:val="00A65182"/>
    <w:rsid w:val="00A654BE"/>
    <w:rsid w:val="00A66DD6"/>
    <w:rsid w:val="00A671CE"/>
    <w:rsid w:val="00A735DD"/>
    <w:rsid w:val="00A75018"/>
    <w:rsid w:val="00A771FD"/>
    <w:rsid w:val="00A77CCB"/>
    <w:rsid w:val="00A80767"/>
    <w:rsid w:val="00A816E7"/>
    <w:rsid w:val="00A81C90"/>
    <w:rsid w:val="00A8239C"/>
    <w:rsid w:val="00A84102"/>
    <w:rsid w:val="00A8456B"/>
    <w:rsid w:val="00A86036"/>
    <w:rsid w:val="00A874EF"/>
    <w:rsid w:val="00A942EE"/>
    <w:rsid w:val="00A95415"/>
    <w:rsid w:val="00AA3C89"/>
    <w:rsid w:val="00AA576B"/>
    <w:rsid w:val="00AA6584"/>
    <w:rsid w:val="00AA683D"/>
    <w:rsid w:val="00AB32BD"/>
    <w:rsid w:val="00AB4723"/>
    <w:rsid w:val="00AC4CDB"/>
    <w:rsid w:val="00AC5D3E"/>
    <w:rsid w:val="00AC70FE"/>
    <w:rsid w:val="00AC7593"/>
    <w:rsid w:val="00AD3AA3"/>
    <w:rsid w:val="00AD4358"/>
    <w:rsid w:val="00AD56C9"/>
    <w:rsid w:val="00AE3CD1"/>
    <w:rsid w:val="00AF61E1"/>
    <w:rsid w:val="00AF638A"/>
    <w:rsid w:val="00B00141"/>
    <w:rsid w:val="00B009AA"/>
    <w:rsid w:val="00B00ECE"/>
    <w:rsid w:val="00B030C8"/>
    <w:rsid w:val="00B039C0"/>
    <w:rsid w:val="00B03A09"/>
    <w:rsid w:val="00B056E7"/>
    <w:rsid w:val="00B05B71"/>
    <w:rsid w:val="00B10035"/>
    <w:rsid w:val="00B10BF7"/>
    <w:rsid w:val="00B15C76"/>
    <w:rsid w:val="00B165E6"/>
    <w:rsid w:val="00B235DB"/>
    <w:rsid w:val="00B31BB6"/>
    <w:rsid w:val="00B328F5"/>
    <w:rsid w:val="00B32CFB"/>
    <w:rsid w:val="00B36E84"/>
    <w:rsid w:val="00B415D8"/>
    <w:rsid w:val="00B424D9"/>
    <w:rsid w:val="00B43D98"/>
    <w:rsid w:val="00B447C0"/>
    <w:rsid w:val="00B51B86"/>
    <w:rsid w:val="00B52510"/>
    <w:rsid w:val="00B52562"/>
    <w:rsid w:val="00B53E53"/>
    <w:rsid w:val="00B548A2"/>
    <w:rsid w:val="00B56934"/>
    <w:rsid w:val="00B56DF1"/>
    <w:rsid w:val="00B62E8F"/>
    <w:rsid w:val="00B62F03"/>
    <w:rsid w:val="00B64DFB"/>
    <w:rsid w:val="00B67227"/>
    <w:rsid w:val="00B722F7"/>
    <w:rsid w:val="00B72444"/>
    <w:rsid w:val="00B935D1"/>
    <w:rsid w:val="00B93B62"/>
    <w:rsid w:val="00B951AC"/>
    <w:rsid w:val="00B953D1"/>
    <w:rsid w:val="00B96D93"/>
    <w:rsid w:val="00B97843"/>
    <w:rsid w:val="00BA30D0"/>
    <w:rsid w:val="00BA506E"/>
    <w:rsid w:val="00BB0D32"/>
    <w:rsid w:val="00BB1F78"/>
    <w:rsid w:val="00BB3ACC"/>
    <w:rsid w:val="00BB4245"/>
    <w:rsid w:val="00BB715A"/>
    <w:rsid w:val="00BC0298"/>
    <w:rsid w:val="00BC0DBF"/>
    <w:rsid w:val="00BC11B5"/>
    <w:rsid w:val="00BC16D9"/>
    <w:rsid w:val="00BC66F8"/>
    <w:rsid w:val="00BC76B5"/>
    <w:rsid w:val="00BD484C"/>
    <w:rsid w:val="00BD5420"/>
    <w:rsid w:val="00BE031C"/>
    <w:rsid w:val="00BE1E5E"/>
    <w:rsid w:val="00BE3D9E"/>
    <w:rsid w:val="00BE5E58"/>
    <w:rsid w:val="00BE6C03"/>
    <w:rsid w:val="00BE6E18"/>
    <w:rsid w:val="00BE7635"/>
    <w:rsid w:val="00BF3CD3"/>
    <w:rsid w:val="00BF5191"/>
    <w:rsid w:val="00BF7CA2"/>
    <w:rsid w:val="00C04BD2"/>
    <w:rsid w:val="00C0644F"/>
    <w:rsid w:val="00C13EEC"/>
    <w:rsid w:val="00C14689"/>
    <w:rsid w:val="00C14BCF"/>
    <w:rsid w:val="00C156A4"/>
    <w:rsid w:val="00C20FAA"/>
    <w:rsid w:val="00C23509"/>
    <w:rsid w:val="00C235A3"/>
    <w:rsid w:val="00C2459D"/>
    <w:rsid w:val="00C25828"/>
    <w:rsid w:val="00C2696C"/>
    <w:rsid w:val="00C2755A"/>
    <w:rsid w:val="00C316F1"/>
    <w:rsid w:val="00C35D1C"/>
    <w:rsid w:val="00C42C95"/>
    <w:rsid w:val="00C4470F"/>
    <w:rsid w:val="00C474AB"/>
    <w:rsid w:val="00C50727"/>
    <w:rsid w:val="00C5209A"/>
    <w:rsid w:val="00C55E5B"/>
    <w:rsid w:val="00C6121B"/>
    <w:rsid w:val="00C62739"/>
    <w:rsid w:val="00C718F0"/>
    <w:rsid w:val="00C720A4"/>
    <w:rsid w:val="00C74F59"/>
    <w:rsid w:val="00C7611C"/>
    <w:rsid w:val="00C82138"/>
    <w:rsid w:val="00C83891"/>
    <w:rsid w:val="00C94097"/>
    <w:rsid w:val="00CA1CF3"/>
    <w:rsid w:val="00CA4269"/>
    <w:rsid w:val="00CA48CA"/>
    <w:rsid w:val="00CA7330"/>
    <w:rsid w:val="00CA735E"/>
    <w:rsid w:val="00CB0C96"/>
    <w:rsid w:val="00CB1C84"/>
    <w:rsid w:val="00CB2617"/>
    <w:rsid w:val="00CB2A1F"/>
    <w:rsid w:val="00CB43BD"/>
    <w:rsid w:val="00CB5363"/>
    <w:rsid w:val="00CB64F0"/>
    <w:rsid w:val="00CC2909"/>
    <w:rsid w:val="00CD0549"/>
    <w:rsid w:val="00CD5D5A"/>
    <w:rsid w:val="00CE1E0E"/>
    <w:rsid w:val="00CE2EA2"/>
    <w:rsid w:val="00CE4B8C"/>
    <w:rsid w:val="00CE5FD2"/>
    <w:rsid w:val="00CE6B3C"/>
    <w:rsid w:val="00CF01BF"/>
    <w:rsid w:val="00CF1E94"/>
    <w:rsid w:val="00CF425F"/>
    <w:rsid w:val="00CF4CF4"/>
    <w:rsid w:val="00CF4D0D"/>
    <w:rsid w:val="00CF5F5D"/>
    <w:rsid w:val="00CF7DAC"/>
    <w:rsid w:val="00D05E6F"/>
    <w:rsid w:val="00D12FA6"/>
    <w:rsid w:val="00D15714"/>
    <w:rsid w:val="00D160D9"/>
    <w:rsid w:val="00D20296"/>
    <w:rsid w:val="00D2231A"/>
    <w:rsid w:val="00D276BD"/>
    <w:rsid w:val="00D27929"/>
    <w:rsid w:val="00D31289"/>
    <w:rsid w:val="00D33442"/>
    <w:rsid w:val="00D34FF7"/>
    <w:rsid w:val="00D40F6B"/>
    <w:rsid w:val="00D419C6"/>
    <w:rsid w:val="00D44BAD"/>
    <w:rsid w:val="00D44CAF"/>
    <w:rsid w:val="00D45B55"/>
    <w:rsid w:val="00D476F8"/>
    <w:rsid w:val="00D4785A"/>
    <w:rsid w:val="00D52008"/>
    <w:rsid w:val="00D52E43"/>
    <w:rsid w:val="00D62BCD"/>
    <w:rsid w:val="00D63E04"/>
    <w:rsid w:val="00D6583F"/>
    <w:rsid w:val="00D664D7"/>
    <w:rsid w:val="00D67E1E"/>
    <w:rsid w:val="00D700AF"/>
    <w:rsid w:val="00D7097B"/>
    <w:rsid w:val="00D7197D"/>
    <w:rsid w:val="00D72BC4"/>
    <w:rsid w:val="00D815FC"/>
    <w:rsid w:val="00D84244"/>
    <w:rsid w:val="00D8517B"/>
    <w:rsid w:val="00D874E6"/>
    <w:rsid w:val="00D90D40"/>
    <w:rsid w:val="00D91DFA"/>
    <w:rsid w:val="00D96C0D"/>
    <w:rsid w:val="00DA0902"/>
    <w:rsid w:val="00DA159A"/>
    <w:rsid w:val="00DA3137"/>
    <w:rsid w:val="00DA65F6"/>
    <w:rsid w:val="00DA6A74"/>
    <w:rsid w:val="00DB0F50"/>
    <w:rsid w:val="00DB1AB2"/>
    <w:rsid w:val="00DC17C2"/>
    <w:rsid w:val="00DC4FDF"/>
    <w:rsid w:val="00DC66F0"/>
    <w:rsid w:val="00DD1E2F"/>
    <w:rsid w:val="00DD3105"/>
    <w:rsid w:val="00DD3A65"/>
    <w:rsid w:val="00DD5474"/>
    <w:rsid w:val="00DD62C6"/>
    <w:rsid w:val="00DE11F0"/>
    <w:rsid w:val="00DE3B92"/>
    <w:rsid w:val="00DE3E2E"/>
    <w:rsid w:val="00DE48B4"/>
    <w:rsid w:val="00DE5ACA"/>
    <w:rsid w:val="00DE7137"/>
    <w:rsid w:val="00DF18E4"/>
    <w:rsid w:val="00DF327A"/>
    <w:rsid w:val="00E00498"/>
    <w:rsid w:val="00E006CD"/>
    <w:rsid w:val="00E01F53"/>
    <w:rsid w:val="00E03560"/>
    <w:rsid w:val="00E04711"/>
    <w:rsid w:val="00E1278B"/>
    <w:rsid w:val="00E12A16"/>
    <w:rsid w:val="00E13763"/>
    <w:rsid w:val="00E13F94"/>
    <w:rsid w:val="00E1464C"/>
    <w:rsid w:val="00E14ADB"/>
    <w:rsid w:val="00E22F78"/>
    <w:rsid w:val="00E2425D"/>
    <w:rsid w:val="00E24F87"/>
    <w:rsid w:val="00E2617A"/>
    <w:rsid w:val="00E2707C"/>
    <w:rsid w:val="00E273FB"/>
    <w:rsid w:val="00E31CD4"/>
    <w:rsid w:val="00E3387B"/>
    <w:rsid w:val="00E3406C"/>
    <w:rsid w:val="00E37704"/>
    <w:rsid w:val="00E37753"/>
    <w:rsid w:val="00E46A19"/>
    <w:rsid w:val="00E5231D"/>
    <w:rsid w:val="00E52506"/>
    <w:rsid w:val="00E538E6"/>
    <w:rsid w:val="00E55544"/>
    <w:rsid w:val="00E56696"/>
    <w:rsid w:val="00E57106"/>
    <w:rsid w:val="00E651C2"/>
    <w:rsid w:val="00E74332"/>
    <w:rsid w:val="00E74CED"/>
    <w:rsid w:val="00E768A9"/>
    <w:rsid w:val="00E802A2"/>
    <w:rsid w:val="00E8410F"/>
    <w:rsid w:val="00E85C0B"/>
    <w:rsid w:val="00E908DB"/>
    <w:rsid w:val="00E91458"/>
    <w:rsid w:val="00E92248"/>
    <w:rsid w:val="00E9271C"/>
    <w:rsid w:val="00E9682C"/>
    <w:rsid w:val="00EA1F9E"/>
    <w:rsid w:val="00EA4BEA"/>
    <w:rsid w:val="00EA6293"/>
    <w:rsid w:val="00EA7089"/>
    <w:rsid w:val="00EB13D7"/>
    <w:rsid w:val="00EB1E83"/>
    <w:rsid w:val="00EB2A8D"/>
    <w:rsid w:val="00EB2B3B"/>
    <w:rsid w:val="00EB72A9"/>
    <w:rsid w:val="00EC71F0"/>
    <w:rsid w:val="00ED135A"/>
    <w:rsid w:val="00ED22CB"/>
    <w:rsid w:val="00ED4BB1"/>
    <w:rsid w:val="00ED5FE1"/>
    <w:rsid w:val="00ED67AF"/>
    <w:rsid w:val="00EE11F0"/>
    <w:rsid w:val="00EE128C"/>
    <w:rsid w:val="00EE43B5"/>
    <w:rsid w:val="00EE4C48"/>
    <w:rsid w:val="00EE58EC"/>
    <w:rsid w:val="00EE5D2E"/>
    <w:rsid w:val="00EE7E6F"/>
    <w:rsid w:val="00EF66D9"/>
    <w:rsid w:val="00EF68E3"/>
    <w:rsid w:val="00EF6BA5"/>
    <w:rsid w:val="00EF780D"/>
    <w:rsid w:val="00EF7A98"/>
    <w:rsid w:val="00F0042A"/>
    <w:rsid w:val="00F0267E"/>
    <w:rsid w:val="00F07120"/>
    <w:rsid w:val="00F071B2"/>
    <w:rsid w:val="00F11B47"/>
    <w:rsid w:val="00F1754B"/>
    <w:rsid w:val="00F21201"/>
    <w:rsid w:val="00F2412D"/>
    <w:rsid w:val="00F25D8D"/>
    <w:rsid w:val="00F3069C"/>
    <w:rsid w:val="00F320CE"/>
    <w:rsid w:val="00F3603E"/>
    <w:rsid w:val="00F36618"/>
    <w:rsid w:val="00F3772A"/>
    <w:rsid w:val="00F37EF7"/>
    <w:rsid w:val="00F40528"/>
    <w:rsid w:val="00F441A2"/>
    <w:rsid w:val="00F44CCB"/>
    <w:rsid w:val="00F474C9"/>
    <w:rsid w:val="00F5126B"/>
    <w:rsid w:val="00F54EA3"/>
    <w:rsid w:val="00F5612B"/>
    <w:rsid w:val="00F568B4"/>
    <w:rsid w:val="00F60072"/>
    <w:rsid w:val="00F61675"/>
    <w:rsid w:val="00F64F87"/>
    <w:rsid w:val="00F6686B"/>
    <w:rsid w:val="00F67F74"/>
    <w:rsid w:val="00F708A8"/>
    <w:rsid w:val="00F712B3"/>
    <w:rsid w:val="00F71E24"/>
    <w:rsid w:val="00F71E9F"/>
    <w:rsid w:val="00F73DE3"/>
    <w:rsid w:val="00F744BF"/>
    <w:rsid w:val="00F75E47"/>
    <w:rsid w:val="00F7632C"/>
    <w:rsid w:val="00F77219"/>
    <w:rsid w:val="00F84DD2"/>
    <w:rsid w:val="00F85A51"/>
    <w:rsid w:val="00F92CB2"/>
    <w:rsid w:val="00F92E3B"/>
    <w:rsid w:val="00F945AB"/>
    <w:rsid w:val="00F95156"/>
    <w:rsid w:val="00F951A8"/>
    <w:rsid w:val="00F95439"/>
    <w:rsid w:val="00F97D9C"/>
    <w:rsid w:val="00FA1E34"/>
    <w:rsid w:val="00FA2AED"/>
    <w:rsid w:val="00FA57EF"/>
    <w:rsid w:val="00FA63B7"/>
    <w:rsid w:val="00FB00FD"/>
    <w:rsid w:val="00FB04D2"/>
    <w:rsid w:val="00FB0872"/>
    <w:rsid w:val="00FB28A3"/>
    <w:rsid w:val="00FB34CE"/>
    <w:rsid w:val="00FB4B7F"/>
    <w:rsid w:val="00FB54CC"/>
    <w:rsid w:val="00FC075D"/>
    <w:rsid w:val="00FC531A"/>
    <w:rsid w:val="00FD1A37"/>
    <w:rsid w:val="00FD4E5B"/>
    <w:rsid w:val="00FE4EE0"/>
    <w:rsid w:val="00FF0F9A"/>
    <w:rsid w:val="00FF582E"/>
    <w:rsid w:val="00FF7AF5"/>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546EE0"/>
  <w15:docId w15:val="{C82F0E5E-1237-4058-9703-5029D88F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B72C9"/>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character" w:customStyle="1" w:styleId="normaltextrun">
    <w:name w:val="normaltextrun"/>
    <w:basedOn w:val="DefaultParagraphFont"/>
    <w:rsid w:val="008B72C9"/>
  </w:style>
  <w:style w:type="character" w:customStyle="1" w:styleId="CommentTextChar">
    <w:name w:val="Comment Text Char"/>
    <w:basedOn w:val="DefaultParagraphFont"/>
    <w:link w:val="CommentText"/>
    <w:uiPriority w:val="99"/>
    <w:rsid w:val="008B72C9"/>
    <w:rPr>
      <w:rFonts w:ascii="Verdana" w:eastAsia="Arial" w:hAnsi="Verdana" w:cs="Arial"/>
      <w:lang w:val="en-GB" w:eastAsia="en-US"/>
    </w:rPr>
  </w:style>
  <w:style w:type="paragraph" w:customStyle="1" w:styleId="paragraph">
    <w:name w:val="paragraph"/>
    <w:basedOn w:val="Normal"/>
    <w:rsid w:val="008B72C9"/>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8B72C9"/>
  </w:style>
  <w:style w:type="paragraph" w:styleId="EndnoteText">
    <w:name w:val="endnote text"/>
    <w:basedOn w:val="Normal"/>
    <w:link w:val="EndnoteTextChar"/>
    <w:uiPriority w:val="99"/>
    <w:unhideWhenUsed/>
    <w:rsid w:val="008B72C9"/>
    <w:pPr>
      <w:tabs>
        <w:tab w:val="clear" w:pos="1134"/>
      </w:tabs>
      <w:jc w:val="left"/>
    </w:pPr>
    <w:rPr>
      <w:rFonts w:asciiTheme="minorHAnsi" w:eastAsiaTheme="minorHAnsi" w:hAnsiTheme="minorHAnsi" w:cstheme="minorBidi"/>
      <w:lang w:val="en-US"/>
    </w:rPr>
  </w:style>
  <w:style w:type="character" w:customStyle="1" w:styleId="EndnoteTextChar">
    <w:name w:val="Endnote Text Char"/>
    <w:basedOn w:val="DefaultParagraphFont"/>
    <w:link w:val="EndnoteText"/>
    <w:uiPriority w:val="99"/>
    <w:rsid w:val="008B72C9"/>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3D0A2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450705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875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community.wmo.int/meetings/whowmo-joint-workplan-and-integrated-health-services" TargetMode="External"/><Relationship Id="rId2" Type="http://schemas.openxmlformats.org/officeDocument/2006/relationships/hyperlink" Target="https://noharm-global.org/documents/health-care-climate-footprint-report" TargetMode="External"/><Relationship Id="rId1" Type="http://schemas.openxmlformats.org/officeDocument/2006/relationships/hyperlink" Target="https://www.ipcc.ch/report/ar6/wg2/" TargetMode="External"/><Relationship Id="rId4" Type="http://schemas.openxmlformats.org/officeDocument/2006/relationships/hyperlink" Target="https://public.wmo.int/en/eighteenth-world-meteorological-congress-cg-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3679bf0f-1d7e-438f-afa5-6ebf1e20f9b8"/>
    <ds:schemaRef ds:uri="http://schemas.microsoft.com/office/2006/metadata/properties"/>
    <ds:schemaRef ds:uri="ce21bc6c-711a-4065-a01c-a8f0e29e3ad8"/>
    <ds:schemaRef ds:uri="http://www.w3.org/XML/1998/namespace"/>
    <ds:schemaRef ds:uri="http://purl.org/dc/dcmitype/"/>
  </ds:schemaRefs>
</ds:datastoreItem>
</file>

<file path=customXml/itemProps3.xml><?xml version="1.0" encoding="utf-8"?>
<ds:datastoreItem xmlns:ds="http://schemas.openxmlformats.org/officeDocument/2006/customXml" ds:itemID="{F7CD78AD-9367-451A-ACB9-8E77F42B931D}"/>
</file>

<file path=customXml/itemProps4.xml><?xml version="1.0" encoding="utf-8"?>
<ds:datastoreItem xmlns:ds="http://schemas.openxmlformats.org/officeDocument/2006/customXml" ds:itemID="{10A9E137-4C09-4989-893D-F61A975D9DB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18</Pages>
  <Words>7072</Words>
  <Characters>38899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45880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Joy Shumake-Guillemot</dc:creator>
  <cp:lastModifiedBy>Fabian Rubiolo</cp:lastModifiedBy>
  <cp:revision>372</cp:revision>
  <cp:lastPrinted>2013-03-12T09:27:00Z</cp:lastPrinted>
  <dcterms:created xsi:type="dcterms:W3CDTF">2022-10-10T13:45:00Z</dcterms:created>
  <dcterms:modified xsi:type="dcterms:W3CDTF">2022-10-14T13:39:00Z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