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1B7DDB" w:rsidRPr="002859D9" w14:paraId="34242F42" w14:textId="77777777" w:rsidTr="001E276E">
        <w:trPr>
          <w:trHeight w:val="282"/>
        </w:trPr>
        <w:tc>
          <w:tcPr>
            <w:tcW w:w="500" w:type="dxa"/>
            <w:vMerge w:val="restart"/>
            <w:tcBorders>
              <w:bottom w:val="nil"/>
            </w:tcBorders>
            <w:textDirection w:val="btLr"/>
          </w:tcPr>
          <w:p w14:paraId="12441356" w14:textId="77777777" w:rsidR="001B7DDB" w:rsidRPr="004D5030" w:rsidRDefault="001B7DDB" w:rsidP="00DD20B2">
            <w:pPr>
              <w:tabs>
                <w:tab w:val="clear" w:pos="1134"/>
                <w:tab w:val="left" w:pos="6946"/>
              </w:tabs>
              <w:suppressAutoHyphens/>
              <w:spacing w:after="120"/>
              <w:ind w:left="175" w:right="113"/>
              <w:jc w:val="right"/>
              <w:rPr>
                <w:color w:val="365F91" w:themeColor="accent1" w:themeShade="BF"/>
                <w:sz w:val="10"/>
                <w:szCs w:val="10"/>
              </w:rPr>
            </w:pPr>
            <w:r w:rsidRPr="002859D9">
              <w:rPr>
                <w:color w:val="365F91"/>
                <w:sz w:val="10"/>
                <w:szCs w:val="10"/>
                <w:lang w:val="fr-FR"/>
              </w:rPr>
              <w:t>TEMPS CLIMAT EAU</w:t>
            </w:r>
          </w:p>
        </w:tc>
        <w:tc>
          <w:tcPr>
            <w:tcW w:w="6852" w:type="dxa"/>
            <w:vMerge w:val="restart"/>
          </w:tcPr>
          <w:p w14:paraId="58A68788" w14:textId="77777777" w:rsidR="001B7DDB" w:rsidRPr="008054F4" w:rsidRDefault="001B7DDB" w:rsidP="00DD20B2">
            <w:pPr>
              <w:tabs>
                <w:tab w:val="left" w:pos="6946"/>
              </w:tabs>
              <w:suppressAutoHyphens/>
              <w:spacing w:after="120"/>
              <w:ind w:left="1134"/>
              <w:jc w:val="left"/>
              <w:rPr>
                <w:rFonts w:cs="Tahoma"/>
                <w:b/>
                <w:bCs/>
                <w:color w:val="365F91" w:themeColor="accent1" w:themeShade="BF"/>
                <w:szCs w:val="22"/>
                <w:lang w:val="fr-FR"/>
              </w:rPr>
            </w:pPr>
            <w:r w:rsidRPr="002859D9">
              <w:rPr>
                <w:noProof/>
                <w:color w:val="365F91"/>
                <w:szCs w:val="22"/>
                <w:lang w:val="fr-FR" w:eastAsia="zh-CN"/>
              </w:rPr>
              <w:drawing>
                <wp:anchor distT="0" distB="0" distL="114300" distR="114300" simplePos="0" relativeHeight="251665408" behindDoc="1" locked="1" layoutInCell="1" allowOverlap="1" wp14:anchorId="25A2E014" wp14:editId="747B2E8A">
                  <wp:simplePos x="0" y="0"/>
                  <wp:positionH relativeFrom="page">
                    <wp:posOffset>8255</wp:posOffset>
                  </wp:positionH>
                  <wp:positionV relativeFrom="page">
                    <wp:posOffset>-13970</wp:posOffset>
                  </wp:positionV>
                  <wp:extent cx="613410" cy="673100"/>
                  <wp:effectExtent l="0" t="0" r="0" b="0"/>
                  <wp:wrapNone/>
                  <wp:docPr id="4" name="Picture 4"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9D9">
              <w:rPr>
                <w:b/>
                <w:bCs/>
                <w:color w:val="365F91"/>
                <w:lang w:val="fr-FR"/>
              </w:rPr>
              <w:t>Organisation météorologique mondiale</w:t>
            </w:r>
          </w:p>
          <w:p w14:paraId="07AA5C94" w14:textId="56687B96" w:rsidR="001B7DDB" w:rsidRPr="002859D9" w:rsidRDefault="001B7DDB" w:rsidP="00DD20B2">
            <w:pPr>
              <w:tabs>
                <w:tab w:val="left" w:pos="6946"/>
              </w:tabs>
              <w:suppressAutoHyphens/>
              <w:spacing w:after="120"/>
              <w:ind w:left="1134"/>
              <w:jc w:val="left"/>
              <w:rPr>
                <w:rFonts w:cs="Tahoma"/>
                <w:b/>
                <w:color w:val="365F91"/>
                <w:spacing w:val="-2"/>
                <w:szCs w:val="22"/>
                <w:lang w:val="fr-FR"/>
              </w:rPr>
            </w:pPr>
            <w:r w:rsidRPr="002859D9">
              <w:rPr>
                <w:b/>
                <w:bCs/>
                <w:color w:val="365F91"/>
                <w:lang w:val="fr-FR"/>
              </w:rPr>
              <w:t>COMMISSION DES SERVICES ET APPLICATIONS SE RAPPORTANT AU TEMPS, AU CLIMAT, À L</w:t>
            </w:r>
            <w:r w:rsidR="00B34E4F">
              <w:rPr>
                <w:b/>
                <w:bCs/>
                <w:color w:val="365F91"/>
                <w:lang w:val="fr-FR"/>
              </w:rPr>
              <w:t>’</w:t>
            </w:r>
            <w:r w:rsidRPr="002859D9">
              <w:rPr>
                <w:b/>
                <w:bCs/>
                <w:color w:val="365F91"/>
                <w:lang w:val="fr-FR"/>
              </w:rPr>
              <w:t>EAU ET À L</w:t>
            </w:r>
            <w:r w:rsidR="00B34E4F">
              <w:rPr>
                <w:b/>
                <w:bCs/>
                <w:color w:val="365F91"/>
                <w:lang w:val="fr-FR"/>
              </w:rPr>
              <w:t>’</w:t>
            </w:r>
            <w:r w:rsidRPr="002859D9">
              <w:rPr>
                <w:b/>
                <w:bCs/>
                <w:color w:val="365F91"/>
                <w:lang w:val="fr-FR"/>
              </w:rPr>
              <w:t>ENVIRONNEMENT</w:t>
            </w:r>
          </w:p>
          <w:p w14:paraId="2DAE4A05" w14:textId="77777777" w:rsidR="001B7DDB" w:rsidRPr="002859D9" w:rsidRDefault="001B7DDB" w:rsidP="00DD20B2">
            <w:pPr>
              <w:tabs>
                <w:tab w:val="left" w:pos="6946"/>
              </w:tabs>
              <w:suppressAutoHyphens/>
              <w:spacing w:after="120"/>
              <w:ind w:left="1134"/>
              <w:jc w:val="left"/>
              <w:rPr>
                <w:color w:val="365F91"/>
                <w:lang w:val="fr-FR"/>
              </w:rPr>
            </w:pPr>
            <w:r w:rsidRPr="002859D9">
              <w:rPr>
                <w:b/>
                <w:bCs/>
                <w:color w:val="365F91"/>
                <w:lang w:val="fr-FR"/>
              </w:rPr>
              <w:t>Deuxième session</w:t>
            </w:r>
            <w:r>
              <w:rPr>
                <w:color w:val="365F91"/>
                <w:lang w:val="fr-FR"/>
              </w:rPr>
              <w:br/>
            </w:r>
            <w:r w:rsidRPr="002859D9">
              <w:rPr>
                <w:color w:val="365F91"/>
                <w:lang w:val="fr-FR"/>
              </w:rPr>
              <w:t>17-21 octobre 2022, Genève</w:t>
            </w:r>
          </w:p>
        </w:tc>
        <w:tc>
          <w:tcPr>
            <w:tcW w:w="2962" w:type="dxa"/>
          </w:tcPr>
          <w:p w14:paraId="125A7AC2" w14:textId="445E38A2" w:rsidR="001B7DDB" w:rsidRPr="00367D17" w:rsidRDefault="001B7DDB" w:rsidP="00DD20B2">
            <w:pPr>
              <w:tabs>
                <w:tab w:val="clear" w:pos="1134"/>
              </w:tabs>
              <w:spacing w:after="60"/>
              <w:ind w:left="-54" w:right="-108"/>
              <w:jc w:val="right"/>
              <w:rPr>
                <w:rFonts w:ascii="Verdana Bold" w:hAnsi="Verdana Bold" w:cs="Tahoma"/>
                <w:b/>
                <w:bCs/>
                <w:color w:val="365F91"/>
                <w:spacing w:val="-2"/>
                <w:szCs w:val="22"/>
              </w:rPr>
            </w:pPr>
            <w:proofErr w:type="spellStart"/>
            <w:r w:rsidRPr="00367D17">
              <w:rPr>
                <w:rFonts w:ascii="Verdana Bold" w:hAnsi="Verdana Bold"/>
                <w:b/>
                <w:bCs/>
                <w:color w:val="365F91"/>
                <w:spacing w:val="-2"/>
                <w:lang w:val="fr-FR"/>
              </w:rPr>
              <w:t>SERCOM</w:t>
            </w:r>
            <w:proofErr w:type="spellEnd"/>
            <w:r w:rsidRPr="00367D17">
              <w:rPr>
                <w:rFonts w:ascii="Verdana Bold" w:hAnsi="Verdana Bold"/>
                <w:b/>
                <w:bCs/>
                <w:color w:val="365F91"/>
                <w:spacing w:val="-2"/>
                <w:lang w:val="fr-FR"/>
              </w:rPr>
              <w:t xml:space="preserve">-2/INF. </w:t>
            </w:r>
            <w:r w:rsidRPr="00367D17">
              <w:rPr>
                <w:rFonts w:ascii="Verdana Bold" w:hAnsi="Verdana Bold"/>
                <w:b/>
                <w:bCs/>
                <w:color w:val="365F91"/>
                <w:spacing w:val="-2"/>
                <w:lang w:val="fr-FR"/>
              </w:rPr>
              <w:t>5.10(</w:t>
            </w:r>
            <w:proofErr w:type="spellStart"/>
            <w:r w:rsidRPr="00367D17">
              <w:rPr>
                <w:rFonts w:ascii="Verdana Bold" w:hAnsi="Verdana Bold"/>
                <w:b/>
                <w:bCs/>
                <w:color w:val="365F91"/>
                <w:spacing w:val="-2"/>
                <w:lang w:val="fr-FR"/>
              </w:rPr>
              <w:t>1</w:t>
            </w:r>
            <w:r w:rsidRPr="00367D17">
              <w:rPr>
                <w:rFonts w:ascii="Verdana Bold" w:hAnsi="Verdana Bold"/>
                <w:b/>
                <w:bCs/>
                <w:color w:val="365F91"/>
                <w:spacing w:val="-2"/>
                <w:lang w:val="fr-FR"/>
              </w:rPr>
              <w:t>b</w:t>
            </w:r>
            <w:proofErr w:type="spellEnd"/>
            <w:r w:rsidRPr="00367D17">
              <w:rPr>
                <w:rFonts w:ascii="Verdana Bold" w:hAnsi="Verdana Bold"/>
                <w:b/>
                <w:bCs/>
                <w:color w:val="365F91"/>
                <w:spacing w:val="-2"/>
                <w:lang w:val="fr-FR"/>
              </w:rPr>
              <w:t>)</w:t>
            </w:r>
          </w:p>
        </w:tc>
      </w:tr>
      <w:tr w:rsidR="001B7DDB" w:rsidRPr="001B7DDB" w14:paraId="7EC90F1B" w14:textId="77777777" w:rsidTr="001E276E">
        <w:trPr>
          <w:trHeight w:val="730"/>
        </w:trPr>
        <w:tc>
          <w:tcPr>
            <w:tcW w:w="500" w:type="dxa"/>
            <w:vMerge/>
            <w:tcBorders>
              <w:bottom w:val="nil"/>
            </w:tcBorders>
          </w:tcPr>
          <w:p w14:paraId="6B35B517" w14:textId="77777777" w:rsidR="001B7DDB" w:rsidRPr="00FA3986" w:rsidRDefault="001B7DDB" w:rsidP="00DD20B2">
            <w:pPr>
              <w:tabs>
                <w:tab w:val="left" w:pos="6946"/>
              </w:tabs>
              <w:suppressAutoHyphens/>
              <w:spacing w:after="120"/>
              <w:ind w:left="1134"/>
              <w:jc w:val="left"/>
              <w:rPr>
                <w:color w:val="365F91" w:themeColor="accent1" w:themeShade="BF"/>
                <w:szCs w:val="22"/>
                <w:lang w:val="fr-FR" w:eastAsia="zh-CN"/>
              </w:rPr>
            </w:pPr>
          </w:p>
        </w:tc>
        <w:tc>
          <w:tcPr>
            <w:tcW w:w="6852" w:type="dxa"/>
            <w:vMerge/>
          </w:tcPr>
          <w:p w14:paraId="06712374" w14:textId="77777777" w:rsidR="001B7DDB" w:rsidRPr="00FA3986" w:rsidRDefault="001B7DDB" w:rsidP="00DD20B2">
            <w:pPr>
              <w:tabs>
                <w:tab w:val="left" w:pos="6946"/>
              </w:tabs>
              <w:suppressAutoHyphens/>
              <w:spacing w:after="120"/>
              <w:ind w:left="1134"/>
              <w:jc w:val="left"/>
              <w:rPr>
                <w:color w:val="365F91" w:themeColor="accent1" w:themeShade="BF"/>
                <w:szCs w:val="22"/>
                <w:lang w:val="fr-FR" w:eastAsia="zh-CN"/>
              </w:rPr>
            </w:pPr>
          </w:p>
        </w:tc>
        <w:tc>
          <w:tcPr>
            <w:tcW w:w="2962" w:type="dxa"/>
          </w:tcPr>
          <w:p w14:paraId="3D69C26D" w14:textId="2F5AC250" w:rsidR="001B7DDB" w:rsidRPr="002859D9" w:rsidRDefault="001B7DDB" w:rsidP="00DD20B2">
            <w:pPr>
              <w:tabs>
                <w:tab w:val="clear" w:pos="1134"/>
              </w:tabs>
              <w:spacing w:before="120" w:after="60"/>
              <w:ind w:right="-108"/>
              <w:jc w:val="right"/>
              <w:rPr>
                <w:rFonts w:cs="Tahoma"/>
                <w:color w:val="365F91"/>
                <w:szCs w:val="22"/>
                <w:lang w:val="fr-FR"/>
              </w:rPr>
            </w:pPr>
            <w:r w:rsidRPr="002859D9">
              <w:rPr>
                <w:color w:val="365F91"/>
                <w:lang w:val="fr-FR"/>
              </w:rPr>
              <w:t>Présenté par:</w:t>
            </w:r>
            <w:r w:rsidRPr="002859D9">
              <w:rPr>
                <w:color w:val="365F91"/>
                <w:lang w:val="fr-FR"/>
              </w:rPr>
              <w:br/>
            </w:r>
            <w:r w:rsidRPr="001B7DDB">
              <w:rPr>
                <w:color w:val="365F91"/>
                <w:lang w:val="fr-FR"/>
              </w:rPr>
              <w:t>Présidents du SG-</w:t>
            </w:r>
            <w:proofErr w:type="spellStart"/>
            <w:r w:rsidRPr="001B7DDB">
              <w:rPr>
                <w:color w:val="365F91"/>
                <w:lang w:val="fr-FR"/>
              </w:rPr>
              <w:t>HEA</w:t>
            </w:r>
            <w:proofErr w:type="spellEnd"/>
            <w:r w:rsidRPr="002859D9">
              <w:rPr>
                <w:color w:val="365F91"/>
                <w:lang w:val="fr-FR"/>
              </w:rPr>
              <w:t xml:space="preserve"> </w:t>
            </w:r>
          </w:p>
          <w:p w14:paraId="1D54ACA9" w14:textId="57B097F0" w:rsidR="001B7DDB" w:rsidRPr="002859D9" w:rsidRDefault="00404B75" w:rsidP="00DD20B2">
            <w:pPr>
              <w:tabs>
                <w:tab w:val="clear" w:pos="1134"/>
              </w:tabs>
              <w:spacing w:before="120" w:after="60"/>
              <w:ind w:right="-108"/>
              <w:jc w:val="right"/>
              <w:rPr>
                <w:rFonts w:cs="Tahoma"/>
                <w:color w:val="365F91"/>
                <w:szCs w:val="22"/>
                <w:lang w:val="fr-FR"/>
              </w:rPr>
            </w:pPr>
            <w:proofErr w:type="spellStart"/>
            <w:r>
              <w:rPr>
                <w:color w:val="365F91"/>
                <w:lang w:val="fr-FR"/>
              </w:rPr>
              <w:t>4</w:t>
            </w:r>
            <w:r w:rsidR="001B7DDB" w:rsidRPr="002859D9">
              <w:rPr>
                <w:color w:val="365F91"/>
                <w:lang w:val="fr-FR"/>
              </w:rPr>
              <w:t>.X.2022</w:t>
            </w:r>
            <w:proofErr w:type="spellEnd"/>
          </w:p>
          <w:p w14:paraId="547099CC" w14:textId="77777777" w:rsidR="001B7DDB" w:rsidRPr="002859D9" w:rsidRDefault="001B7DDB" w:rsidP="00DD20B2">
            <w:pPr>
              <w:tabs>
                <w:tab w:val="clear" w:pos="1134"/>
              </w:tabs>
              <w:spacing w:before="120" w:after="60"/>
              <w:ind w:right="-108"/>
              <w:jc w:val="right"/>
              <w:rPr>
                <w:rFonts w:cs="Tahoma"/>
                <w:b/>
                <w:bCs/>
                <w:color w:val="365F91"/>
                <w:szCs w:val="22"/>
                <w:lang w:val="fr-FR"/>
              </w:rPr>
            </w:pPr>
          </w:p>
        </w:tc>
      </w:tr>
    </w:tbl>
    <w:p w14:paraId="02558383" w14:textId="64999264" w:rsidR="001B7DDB" w:rsidRDefault="001B7DDB" w:rsidP="00DD20B2">
      <w:pPr>
        <w:tabs>
          <w:tab w:val="left" w:pos="720"/>
        </w:tabs>
        <w:spacing w:before="360"/>
        <w:ind w:right="-142"/>
        <w:jc w:val="left"/>
        <w:rPr>
          <w:rFonts w:eastAsia="Times New Roman" w:cs="Verdana"/>
          <w:i/>
          <w:iCs/>
          <w:color w:val="FF0000"/>
          <w:lang w:val="fr-FR" w:eastAsia="zh-TW"/>
        </w:rPr>
      </w:pPr>
      <w:r>
        <w:rPr>
          <w:rFonts w:eastAsia="Times New Roman" w:cs="Verdana"/>
          <w:i/>
          <w:color w:val="FF0000"/>
          <w:lang w:val="fr-FR"/>
        </w:rPr>
        <w:t>[Ce document a été traduit à titre indicatif à l</w:t>
      </w:r>
      <w:r w:rsidR="00B34E4F">
        <w:rPr>
          <w:rFonts w:eastAsia="Times New Roman" w:cs="Verdana"/>
          <w:i/>
          <w:color w:val="FF0000"/>
          <w:lang w:val="fr-FR"/>
        </w:rPr>
        <w:t>’</w:t>
      </w:r>
      <w:r>
        <w:rPr>
          <w:rFonts w:eastAsia="Times New Roman" w:cs="Verdana"/>
          <w:i/>
          <w:color w:val="FF0000"/>
          <w:lang w:val="fr-FR"/>
        </w:rPr>
        <w:t>aide d</w:t>
      </w:r>
      <w:r w:rsidR="00B34E4F">
        <w:rPr>
          <w:rFonts w:eastAsia="Times New Roman" w:cs="Verdana"/>
          <w:i/>
          <w:color w:val="FF0000"/>
          <w:lang w:val="fr-FR"/>
        </w:rPr>
        <w:t>’</w:t>
      </w:r>
      <w:r>
        <w:rPr>
          <w:rFonts w:eastAsia="Times New Roman" w:cs="Verdana"/>
          <w:i/>
          <w:color w:val="FF0000"/>
          <w:lang w:val="fr-FR"/>
        </w:rPr>
        <w:t>un système de traduction automatique associé à des mémoires de traduction. Si des efforts raisonnables ont été déployés par l</w:t>
      </w:r>
      <w:r w:rsidR="00B34E4F">
        <w:rPr>
          <w:rFonts w:eastAsia="Times New Roman" w:cs="Verdana"/>
          <w:i/>
          <w:color w:val="FF0000"/>
          <w:lang w:val="fr-FR"/>
        </w:rPr>
        <w:t>’</w:t>
      </w:r>
      <w:r>
        <w:rPr>
          <w:rFonts w:eastAsia="Times New Roman" w:cs="Verdana"/>
          <w:i/>
          <w:color w:val="FF0000"/>
          <w:lang w:val="fr-FR"/>
        </w:rPr>
        <w:t>OMM pour améliorer la qualité de la traduction ainsi produite, aucune garantie, expresse ou implicite, n</w:t>
      </w:r>
      <w:r w:rsidR="00B34E4F">
        <w:rPr>
          <w:rFonts w:eastAsia="Times New Roman" w:cs="Verdana"/>
          <w:i/>
          <w:color w:val="FF0000"/>
          <w:lang w:val="fr-FR"/>
        </w:rPr>
        <w:t>’</w:t>
      </w:r>
      <w:r>
        <w:rPr>
          <w:rFonts w:eastAsia="Times New Roman" w:cs="Verdana"/>
          <w:i/>
          <w:color w:val="FF0000"/>
          <w:lang w:val="fr-FR"/>
        </w:rPr>
        <w:t>est toutefois donnée quant à son exactitude, sa fiabilité ou sa précision. Les divergences ou différences ayant pu résulter de la traduction vers le français du contenu du document original ne créent aucune obligation et n</w:t>
      </w:r>
      <w:r w:rsidR="00B34E4F">
        <w:rPr>
          <w:rFonts w:eastAsia="Times New Roman" w:cs="Verdana"/>
          <w:i/>
          <w:color w:val="FF0000"/>
          <w:lang w:val="fr-FR"/>
        </w:rPr>
        <w:t>’</w:t>
      </w:r>
      <w:r>
        <w:rPr>
          <w:rFonts w:eastAsia="Times New Roman" w:cs="Verdana"/>
          <w:i/>
          <w:color w:val="FF0000"/>
          <w:lang w:val="fr-FR"/>
        </w:rPr>
        <w:t>ont aucun effet juridique en termes de conformité, d</w:t>
      </w:r>
      <w:r w:rsidR="00B34E4F">
        <w:rPr>
          <w:rFonts w:eastAsia="Times New Roman" w:cs="Verdana"/>
          <w:i/>
          <w:color w:val="FF0000"/>
          <w:lang w:val="fr-FR"/>
        </w:rPr>
        <w:t>’</w:t>
      </w:r>
      <w:r>
        <w:rPr>
          <w:rFonts w:eastAsia="Times New Roman" w:cs="Verdana"/>
          <w:i/>
          <w:color w:val="FF0000"/>
          <w:lang w:val="fr-FR"/>
        </w:rPr>
        <w:t>exécution ou à toute autre fin. Il se peut que certains contenus (tels que les images) n</w:t>
      </w:r>
      <w:r w:rsidR="00B34E4F">
        <w:rPr>
          <w:rFonts w:eastAsia="Times New Roman" w:cs="Verdana"/>
          <w:i/>
          <w:color w:val="FF0000"/>
          <w:lang w:val="fr-FR"/>
        </w:rPr>
        <w:t>’</w:t>
      </w:r>
      <w:r>
        <w:rPr>
          <w:rFonts w:eastAsia="Times New Roman" w:cs="Verdana"/>
          <w:i/>
          <w:color w:val="FF0000"/>
          <w:lang w:val="fr-FR"/>
        </w:rPr>
        <w:t>aient pu être traduits en raison des limites techniques du système. En cas de doute sur l</w:t>
      </w:r>
      <w:r w:rsidR="00B34E4F">
        <w:rPr>
          <w:rFonts w:eastAsia="Times New Roman" w:cs="Verdana"/>
          <w:i/>
          <w:color w:val="FF0000"/>
          <w:lang w:val="fr-FR"/>
        </w:rPr>
        <w:t>’</w:t>
      </w:r>
      <w:r>
        <w:rPr>
          <w:rFonts w:eastAsia="Times New Roman" w:cs="Verdana"/>
          <w:i/>
          <w:color w:val="FF0000"/>
          <w:lang w:val="fr-FR"/>
        </w:rPr>
        <w:t xml:space="preserve">exactitude des informations contenues dans la traduction, </w:t>
      </w:r>
      <w:proofErr w:type="spellStart"/>
      <w:r>
        <w:rPr>
          <w:rFonts w:eastAsia="Times New Roman" w:cs="Verdana"/>
          <w:i/>
          <w:color w:val="FF0000"/>
          <w:lang w:val="fr-FR"/>
        </w:rPr>
        <w:t>veuillez vous</w:t>
      </w:r>
      <w:proofErr w:type="spellEnd"/>
      <w:r>
        <w:rPr>
          <w:rFonts w:eastAsia="Times New Roman" w:cs="Verdana"/>
          <w:i/>
          <w:color w:val="FF0000"/>
          <w:lang w:val="fr-FR"/>
        </w:rPr>
        <w:t xml:space="preserve"> reporter à l</w:t>
      </w:r>
      <w:r w:rsidR="00B34E4F">
        <w:rPr>
          <w:rFonts w:eastAsia="Times New Roman" w:cs="Verdana"/>
          <w:i/>
          <w:color w:val="FF0000"/>
          <w:lang w:val="fr-FR"/>
        </w:rPr>
        <w:t>’</w:t>
      </w:r>
      <w:r>
        <w:rPr>
          <w:rFonts w:eastAsia="Times New Roman" w:cs="Verdana"/>
          <w:i/>
          <w:color w:val="FF0000"/>
          <w:lang w:val="fr-FR"/>
        </w:rPr>
        <w:t>original anglais qui constitue la version officielle du document].</w:t>
      </w:r>
    </w:p>
    <w:p w14:paraId="192CA729" w14:textId="61C1BE3F" w:rsidR="0073714A" w:rsidRPr="00DD28CE" w:rsidRDefault="0073714A" w:rsidP="00DD20B2">
      <w:pPr>
        <w:pStyle w:val="Heading2"/>
        <w:rPr>
          <w:lang w:val="fr-FR"/>
        </w:rPr>
      </w:pPr>
      <w:r>
        <w:rPr>
          <w:lang w:val="fr-FR"/>
        </w:rPr>
        <w:t>ORIENTATION OPÉRATIONNELLE POUR LE RÉSEAU MONDIAL D</w:t>
      </w:r>
      <w:r w:rsidR="00B34E4F">
        <w:rPr>
          <w:lang w:val="fr-FR"/>
        </w:rPr>
        <w:t>’</w:t>
      </w:r>
      <w:r>
        <w:rPr>
          <w:lang w:val="fr-FR"/>
        </w:rPr>
        <w:t>INFORMATION SUR LES EFFETS SANITAIRES DE LA CHALEUR</w:t>
      </w:r>
    </w:p>
    <w:p w14:paraId="61158DDC" w14:textId="77777777" w:rsidR="0016755A" w:rsidRPr="00DD28CE" w:rsidRDefault="0016755A" w:rsidP="00DD20B2">
      <w:pPr>
        <w:pStyle w:val="Title"/>
        <w:rPr>
          <w:rFonts w:eastAsia="Times New Roman"/>
          <w:sz w:val="16"/>
          <w:szCs w:val="16"/>
          <w:lang w:val="fr-FR"/>
        </w:rPr>
      </w:pPr>
      <w:r w:rsidRPr="00DD28CE">
        <w:rPr>
          <w:sz w:val="22"/>
          <w:szCs w:val="22"/>
          <w:lang w:val="fr-FR"/>
        </w:rPr>
        <w:t>(Mise à jour 2022)</w:t>
      </w:r>
    </w:p>
    <w:p w14:paraId="12F01315" w14:textId="77777777" w:rsidR="0016755A" w:rsidRPr="000926D4" w:rsidRDefault="0016755A" w:rsidP="00DD20B2">
      <w:pPr>
        <w:pStyle w:val="Heading1"/>
        <w:jc w:val="left"/>
        <w:rPr>
          <w:rFonts w:eastAsia="Times New Roman"/>
          <w:b w:val="0"/>
          <w:bCs w:val="0"/>
          <w:sz w:val="16"/>
          <w:szCs w:val="16"/>
          <w:lang w:val="fr-FR"/>
        </w:rPr>
      </w:pPr>
      <w:r w:rsidRPr="000926D4">
        <w:rPr>
          <w:sz w:val="20"/>
          <w:szCs w:val="20"/>
          <w:lang w:val="fr-FR"/>
        </w:rPr>
        <w:t>Section 1: Contexte</w:t>
      </w:r>
    </w:p>
    <w:p w14:paraId="1F18BE29" w14:textId="0CC69A1F" w:rsidR="0016755A" w:rsidRPr="00DD28CE" w:rsidRDefault="0016755A" w:rsidP="00DD20B2">
      <w:pPr>
        <w:spacing w:before="240" w:after="240"/>
        <w:jc w:val="left"/>
        <w:rPr>
          <w:rFonts w:eastAsia="Verdana" w:cs="Verdana"/>
          <w:lang w:val="fr-FR"/>
        </w:rPr>
      </w:pPr>
      <w:r>
        <w:rPr>
          <w:lang w:val="fr-FR"/>
        </w:rPr>
        <w:t>Le changement climatique accroît rapidement l</w:t>
      </w:r>
      <w:r w:rsidR="00B34E4F">
        <w:rPr>
          <w:lang w:val="fr-FR"/>
        </w:rPr>
        <w:t>’</w:t>
      </w:r>
      <w:r>
        <w:rPr>
          <w:lang w:val="fr-FR"/>
        </w:rPr>
        <w:t>exposition humaine à des conditions de température et de chaleur extrêmes dans toutes les régions du monde. Le stress thermique est la principale cause de décès liés aux conditions météorologiques et peut exacerber des maladies sous-jacentes, notamment les maladies cardiovasculaires, le diabète, la santé mentale et l</w:t>
      </w:r>
      <w:r w:rsidR="00B34E4F">
        <w:rPr>
          <w:lang w:val="fr-FR"/>
        </w:rPr>
        <w:t>’</w:t>
      </w:r>
      <w:r>
        <w:rPr>
          <w:lang w:val="fr-FR"/>
        </w:rPr>
        <w:t>asthme, augmenter le risque d</w:t>
      </w:r>
      <w:r w:rsidR="00B34E4F">
        <w:rPr>
          <w:lang w:val="fr-FR"/>
        </w:rPr>
        <w:t>’</w:t>
      </w:r>
      <w:r>
        <w:rPr>
          <w:lang w:val="fr-FR"/>
        </w:rPr>
        <w:t>accidents et de maladies infectieuses et avoir un impact sur la santé maternelle et infantile. Une action accélérée pour atténuer le changement climatique, associée à une prévention, une préparation et une gestion des risques liées à la chaleur extrême complètes et fondées sur des données probantes, est nécessaire dans le monde entier pour sauver des vies aujourd</w:t>
      </w:r>
      <w:r w:rsidR="00B34E4F">
        <w:rPr>
          <w:lang w:val="fr-FR"/>
        </w:rPr>
        <w:t>’</w:t>
      </w:r>
      <w:r>
        <w:rPr>
          <w:lang w:val="fr-FR"/>
        </w:rPr>
        <w:t>hui et à l</w:t>
      </w:r>
      <w:r w:rsidR="00B34E4F">
        <w:rPr>
          <w:lang w:val="fr-FR"/>
        </w:rPr>
        <w:t>’</w:t>
      </w:r>
      <w:r>
        <w:rPr>
          <w:lang w:val="fr-FR"/>
        </w:rPr>
        <w:t>avenir.</w:t>
      </w:r>
    </w:p>
    <w:p w14:paraId="1343E0D9" w14:textId="34C91E07" w:rsidR="0016755A" w:rsidRPr="00DD28CE" w:rsidRDefault="0016755A" w:rsidP="00DD20B2">
      <w:pPr>
        <w:spacing w:before="240" w:after="240"/>
        <w:jc w:val="left"/>
        <w:rPr>
          <w:rFonts w:eastAsia="Times New Roman" w:cstheme="majorBidi"/>
          <w:lang w:val="fr-FR"/>
        </w:rPr>
      </w:pPr>
      <w:r>
        <w:rPr>
          <w:lang w:val="fr-FR"/>
        </w:rPr>
        <w:t>En 2015</w:t>
      </w:r>
      <w:r w:rsidR="00B23CD8">
        <w:rPr>
          <w:rStyle w:val="FootnoteReference"/>
          <w:lang w:val="fr-FR"/>
        </w:rPr>
        <w:footnoteReference w:id="2"/>
      </w:r>
      <w:r>
        <w:rPr>
          <w:lang w:val="fr-FR"/>
        </w:rPr>
        <w:t>, des experts internationaux issus d</w:t>
      </w:r>
      <w:r w:rsidR="00B34E4F">
        <w:rPr>
          <w:lang w:val="fr-FR"/>
        </w:rPr>
        <w:t>’</w:t>
      </w:r>
      <w:r>
        <w:rPr>
          <w:lang w:val="fr-FR"/>
        </w:rPr>
        <w:t>agences de santé publique et de services météorologiques du monde entier ont appelé à la mise en place d</w:t>
      </w:r>
      <w:r w:rsidR="00B34E4F">
        <w:rPr>
          <w:lang w:val="fr-FR"/>
        </w:rPr>
        <w:t>’</w:t>
      </w:r>
      <w:r>
        <w:rPr>
          <w:lang w:val="fr-FR"/>
        </w:rPr>
        <w:t>une capacité de coordination internationale de la santé par la chaleur afin de faciliter le partage d</w:t>
      </w:r>
      <w:r w:rsidR="00B34E4F">
        <w:rPr>
          <w:lang w:val="fr-FR"/>
        </w:rPr>
        <w:t>’</w:t>
      </w:r>
      <w:r>
        <w:rPr>
          <w:lang w:val="fr-FR"/>
        </w:rPr>
        <w:t>informations, de méthodes et d</w:t>
      </w:r>
      <w:r w:rsidR="00B34E4F">
        <w:rPr>
          <w:lang w:val="fr-FR"/>
        </w:rPr>
        <w:t>’</w:t>
      </w:r>
      <w:r>
        <w:rPr>
          <w:lang w:val="fr-FR"/>
        </w:rPr>
        <w:t>outils scientifiques et opérationnels pour une gestion et une évaluation plus efficaces des effets de la chaleur sur la santé; pour soutenir la convocation d</w:t>
      </w:r>
      <w:r w:rsidR="00B34E4F">
        <w:rPr>
          <w:lang w:val="fr-FR"/>
        </w:rPr>
        <w:t>’</w:t>
      </w:r>
      <w:r>
        <w:rPr>
          <w:lang w:val="fr-FR"/>
        </w:rPr>
        <w:t>un Forum mondial; pour coordonner les efforts internationaux en matière de vagues de chaleur et de veille sanitaire; et de devenir une ressource mondiale pour la diffusion de preuves et de bonnes pratiques.</w:t>
      </w:r>
    </w:p>
    <w:p w14:paraId="5DA2BF4D" w14:textId="30F5C571" w:rsidR="00C648C8" w:rsidRDefault="0016755A" w:rsidP="00DD20B2">
      <w:pPr>
        <w:spacing w:before="240" w:after="240"/>
        <w:jc w:val="left"/>
        <w:rPr>
          <w:lang w:val="fr-FR"/>
        </w:rPr>
      </w:pPr>
      <w:r>
        <w:rPr>
          <w:lang w:val="fr-FR"/>
        </w:rPr>
        <w:t>En réponse, le Réseau mondial d</w:t>
      </w:r>
      <w:r w:rsidR="00B34E4F">
        <w:rPr>
          <w:lang w:val="fr-FR"/>
        </w:rPr>
        <w:t>’</w:t>
      </w:r>
      <w:r>
        <w:rPr>
          <w:lang w:val="fr-FR"/>
        </w:rPr>
        <w:t>informations sur les effets sanitaires de la chaleur (</w:t>
      </w:r>
      <w:proofErr w:type="spellStart"/>
      <w:r>
        <w:rPr>
          <w:lang w:val="fr-FR"/>
        </w:rPr>
        <w:t>GHHIN</w:t>
      </w:r>
      <w:proofErr w:type="spellEnd"/>
      <w:r>
        <w:rPr>
          <w:lang w:val="fr-FR"/>
        </w:rPr>
        <w:t>), ci-après dénommé «le Réseau», a été fondé en 2016 par des représentants de multiples agences météorologiques nationales, d</w:t>
      </w:r>
      <w:r w:rsidR="00B34E4F">
        <w:rPr>
          <w:lang w:val="fr-FR"/>
        </w:rPr>
        <w:t>’</w:t>
      </w:r>
      <w:r>
        <w:rPr>
          <w:lang w:val="fr-FR"/>
        </w:rPr>
        <w:t>agences de santé publique et de partenaires</w:t>
      </w:r>
    </w:p>
    <w:p w14:paraId="412B4CB7" w14:textId="77777777" w:rsidR="00C648C8" w:rsidRDefault="00C648C8" w:rsidP="00C648C8">
      <w:pPr>
        <w:pStyle w:val="WMOBodyText"/>
        <w:rPr>
          <w:lang w:val="fr-FR"/>
        </w:rPr>
      </w:pPr>
      <w:r>
        <w:rPr>
          <w:lang w:val="fr-FR"/>
        </w:rPr>
        <w:br w:type="page"/>
      </w:r>
    </w:p>
    <w:p w14:paraId="2E158FEB" w14:textId="4791D87F" w:rsidR="0016755A" w:rsidRPr="00B23CD8" w:rsidRDefault="0016755A" w:rsidP="00DD20B2">
      <w:pPr>
        <w:spacing w:before="240" w:after="240"/>
        <w:jc w:val="left"/>
        <w:rPr>
          <w:rFonts w:eastAsia="Verdana" w:cs="Verdana"/>
          <w:lang w:val="fr-FR"/>
        </w:rPr>
      </w:pPr>
      <w:r>
        <w:rPr>
          <w:lang w:val="fr-FR"/>
        </w:rPr>
        <w:lastRenderedPageBreak/>
        <w:t>universitaires et de la société civile</w:t>
      </w:r>
      <w:r w:rsidRPr="001006A3">
        <w:rPr>
          <w:rStyle w:val="FootnoteReference"/>
          <w:rFonts w:eastAsia="Times New Roman" w:cstheme="majorBidi"/>
          <w:lang w:val="fr-FR"/>
        </w:rPr>
        <w:footnoteReference w:id="3"/>
      </w:r>
      <w:r>
        <w:rPr>
          <w:lang w:val="fr-FR"/>
        </w:rPr>
        <w:t>, et présenté comme suit:</w:t>
      </w:r>
    </w:p>
    <w:p w14:paraId="0C3EEEDC" w14:textId="09E85010" w:rsidR="0016755A" w:rsidRPr="00DD28CE" w:rsidRDefault="0016755A" w:rsidP="00DD20B2">
      <w:pPr>
        <w:spacing w:before="240" w:after="240"/>
        <w:jc w:val="left"/>
        <w:rPr>
          <w:rFonts w:eastAsia="Times New Roman" w:cstheme="majorBidi"/>
          <w:i/>
          <w:iCs/>
          <w:lang w:val="fr-FR"/>
        </w:rPr>
      </w:pPr>
      <w:r>
        <w:rPr>
          <w:i/>
          <w:iCs/>
          <w:lang w:val="fr-FR"/>
        </w:rPr>
        <w:t>Le Réseau mondial d</w:t>
      </w:r>
      <w:r w:rsidR="00B34E4F">
        <w:rPr>
          <w:i/>
          <w:iCs/>
          <w:lang w:val="fr-FR"/>
        </w:rPr>
        <w:t>’</w:t>
      </w:r>
      <w:r>
        <w:rPr>
          <w:i/>
          <w:iCs/>
          <w:lang w:val="fr-FR"/>
        </w:rPr>
        <w:t>information sur les effets sanitaires de la chaleur est un forum indépendant et bénévole, dirigé par ses membres, qui réunit des scientifiques, des praticiens et des décideurs politiques afin d</w:t>
      </w:r>
      <w:r w:rsidR="00B34E4F">
        <w:rPr>
          <w:i/>
          <w:iCs/>
          <w:lang w:val="fr-FR"/>
        </w:rPr>
        <w:t>’</w:t>
      </w:r>
      <w:r>
        <w:rPr>
          <w:i/>
          <w:iCs/>
          <w:lang w:val="fr-FR"/>
        </w:rPr>
        <w:t>améliorer la capacité des populations de se protéger contre les risques sanitaires évitables causés par la chaleur extrême dans le contexte du changement climatique.</w:t>
      </w:r>
    </w:p>
    <w:p w14:paraId="655E2225" w14:textId="380D5C79" w:rsidR="0016755A" w:rsidRPr="00DD28CE" w:rsidRDefault="0016755A" w:rsidP="00DD20B2">
      <w:pPr>
        <w:spacing w:before="240" w:after="240"/>
        <w:jc w:val="left"/>
        <w:rPr>
          <w:rFonts w:eastAsia="Times New Roman" w:cs="Times New Roman"/>
          <w:lang w:val="fr-FR"/>
        </w:rPr>
      </w:pPr>
      <w:r>
        <w:rPr>
          <w:lang w:val="fr-FR"/>
        </w:rPr>
        <w:t>Le Réseau a été lancé publiquement en 2018 en tant qu</w:t>
      </w:r>
      <w:r w:rsidR="00B34E4F">
        <w:rPr>
          <w:lang w:val="fr-FR"/>
        </w:rPr>
        <w:t>’</w:t>
      </w:r>
      <w:r>
        <w:rPr>
          <w:lang w:val="fr-FR"/>
        </w:rPr>
        <w:t>initiative conjointe de l</w:t>
      </w:r>
      <w:r w:rsidR="00B34E4F">
        <w:rPr>
          <w:lang w:val="fr-FR"/>
        </w:rPr>
        <w:t>’</w:t>
      </w:r>
      <w:r>
        <w:rPr>
          <w:lang w:val="fr-FR"/>
        </w:rPr>
        <w:t>OMM, de l</w:t>
      </w:r>
      <w:r w:rsidR="00B34E4F">
        <w:rPr>
          <w:lang w:val="fr-FR"/>
        </w:rPr>
        <w:t>’</w:t>
      </w:r>
      <w:r>
        <w:rPr>
          <w:lang w:val="fr-FR"/>
        </w:rPr>
        <w:t xml:space="preserve">Organisation mondiale de la santé (OMS) et de la </w:t>
      </w:r>
      <w:proofErr w:type="spellStart"/>
      <w:r>
        <w:rPr>
          <w:lang w:val="fr-FR"/>
        </w:rPr>
        <w:t>NOAA</w:t>
      </w:r>
      <w:proofErr w:type="spellEnd"/>
      <w:r>
        <w:rPr>
          <w:lang w:val="fr-FR"/>
        </w:rPr>
        <w:t>, pour combler les disparités en matière de coordination et de conseil technique identifiées par les communautés météorologiques et de santé publique mondiales. Les structures opérationnelles et de gouvernance du réseau ont été mises à jour en 2021 pour permettre la croissance du réseau et répondre aux besoins émergents des principaux constituants à l</w:t>
      </w:r>
      <w:r w:rsidR="00B34E4F">
        <w:rPr>
          <w:lang w:val="fr-FR"/>
        </w:rPr>
        <w:t>’</w:t>
      </w:r>
      <w:r>
        <w:rPr>
          <w:lang w:val="fr-FR"/>
        </w:rPr>
        <w:t>échelle nationale et locale.</w:t>
      </w:r>
    </w:p>
    <w:p w14:paraId="6750D66E" w14:textId="6393AB47" w:rsidR="0016755A" w:rsidRPr="00DD28CE" w:rsidRDefault="0016755A" w:rsidP="00DD20B2">
      <w:pPr>
        <w:spacing w:before="240" w:after="240"/>
        <w:jc w:val="left"/>
        <w:rPr>
          <w:rFonts w:eastAsia="Times New Roman" w:cs="Times New Roman"/>
          <w:lang w:val="fr-FR"/>
        </w:rPr>
      </w:pPr>
      <w:r>
        <w:rPr>
          <w:lang w:val="fr-FR"/>
        </w:rPr>
        <w:t>L</w:t>
      </w:r>
      <w:r w:rsidR="00B34E4F">
        <w:rPr>
          <w:lang w:val="fr-FR"/>
        </w:rPr>
        <w:t>’</w:t>
      </w:r>
      <w:r>
        <w:rPr>
          <w:lang w:val="fr-FR"/>
        </w:rPr>
        <w:t>objectif du réseau est de réunir une communauté de pratique et de mettre en commun les connaissances des institutions et des individus issus d</w:t>
      </w:r>
      <w:r w:rsidR="00B34E4F">
        <w:rPr>
          <w:lang w:val="fr-FR"/>
        </w:rPr>
        <w:t>’</w:t>
      </w:r>
      <w:r>
        <w:rPr>
          <w:lang w:val="fr-FR"/>
        </w:rPr>
        <w:t>un large éventail de disciplines qui s</w:t>
      </w:r>
      <w:r w:rsidR="00B34E4F">
        <w:rPr>
          <w:lang w:val="fr-FR"/>
        </w:rPr>
        <w:t>’</w:t>
      </w:r>
      <w:r>
        <w:rPr>
          <w:lang w:val="fr-FR"/>
        </w:rPr>
        <w:t>intéressent aux risques pour la santé humaine posés par la chaleur extrême à différentes échelles de temps. Les principaux publics et partenaires sont les services météorologiques et hydrologiques nationaux, les autorités gouvernementales chargées de la santé publique et de la gestion des catastrophes, le monde universitaire, les médias et les partenaires de la société civile issus d</w:t>
      </w:r>
      <w:r w:rsidR="00B34E4F">
        <w:rPr>
          <w:lang w:val="fr-FR"/>
        </w:rPr>
        <w:t>’</w:t>
      </w:r>
      <w:r>
        <w:rPr>
          <w:lang w:val="fr-FR"/>
        </w:rPr>
        <w:t>un large éventail de disciplines. Ces entités ont demandé l</w:t>
      </w:r>
      <w:r w:rsidR="00B34E4F">
        <w:rPr>
          <w:lang w:val="fr-FR"/>
        </w:rPr>
        <w:t>’</w:t>
      </w:r>
      <w:r>
        <w:rPr>
          <w:lang w:val="fr-FR"/>
        </w:rPr>
        <w:t>amélioration des systèmes d</w:t>
      </w:r>
      <w:r w:rsidR="00B34E4F">
        <w:rPr>
          <w:lang w:val="fr-FR"/>
        </w:rPr>
        <w:t>’</w:t>
      </w:r>
      <w:r>
        <w:rPr>
          <w:lang w:val="fr-FR"/>
        </w:rPr>
        <w:t>alerte précoce aux vagues de chaleur et de veille sanitaire, des plans d</w:t>
      </w:r>
      <w:r w:rsidR="00B34E4F">
        <w:rPr>
          <w:lang w:val="fr-FR"/>
        </w:rPr>
        <w:t>’</w:t>
      </w:r>
      <w:r>
        <w:rPr>
          <w:lang w:val="fr-FR"/>
        </w:rPr>
        <w:t>action contre la chaleur et des cadres politiques adaptés; une meilleure utilisation de la science et de la technologie; les bonnes pratiques en matière de communication des risques; l</w:t>
      </w:r>
      <w:r w:rsidR="00B34E4F">
        <w:rPr>
          <w:lang w:val="fr-FR"/>
        </w:rPr>
        <w:t>’</w:t>
      </w:r>
      <w:r>
        <w:rPr>
          <w:lang w:val="fr-FR"/>
        </w:rPr>
        <w:t>établissement d</w:t>
      </w:r>
      <w:r w:rsidR="00B34E4F">
        <w:rPr>
          <w:lang w:val="fr-FR"/>
        </w:rPr>
        <w:t>’</w:t>
      </w:r>
      <w:r>
        <w:rPr>
          <w:lang w:val="fr-FR"/>
        </w:rPr>
        <w:t>un programme de recherche sur les risques et les impacts; et l</w:t>
      </w:r>
      <w:r w:rsidR="00B34E4F">
        <w:rPr>
          <w:lang w:val="fr-FR"/>
        </w:rPr>
        <w:t>’</w:t>
      </w:r>
      <w:r>
        <w:rPr>
          <w:lang w:val="fr-FR"/>
        </w:rPr>
        <w:t>application des résultats de la recherche au moyen d</w:t>
      </w:r>
      <w:r w:rsidR="00B34E4F">
        <w:rPr>
          <w:lang w:val="fr-FR"/>
        </w:rPr>
        <w:t>’</w:t>
      </w:r>
      <w:r>
        <w:rPr>
          <w:lang w:val="fr-FR"/>
        </w:rPr>
        <w:t>outils décisionnels robustes et de services climatologiques, sanitaires et urbains intégrés.</w:t>
      </w:r>
    </w:p>
    <w:p w14:paraId="233F36DE" w14:textId="07D45A99" w:rsidR="0016755A" w:rsidRPr="00DD28CE" w:rsidRDefault="0016755A" w:rsidP="00DD20B2">
      <w:pPr>
        <w:spacing w:before="240" w:after="240"/>
        <w:jc w:val="left"/>
        <w:textAlignment w:val="baseline"/>
        <w:rPr>
          <w:lang w:val="fr-FR"/>
        </w:rPr>
      </w:pPr>
      <w:r>
        <w:rPr>
          <w:lang w:val="fr-FR"/>
        </w:rPr>
        <w:t>Le Réseau s</w:t>
      </w:r>
      <w:r w:rsidR="00B34E4F">
        <w:rPr>
          <w:lang w:val="fr-FR"/>
        </w:rPr>
        <w:t>’</w:t>
      </w:r>
      <w:r>
        <w:rPr>
          <w:lang w:val="fr-FR"/>
        </w:rPr>
        <w:t>efforce d</w:t>
      </w:r>
      <w:r w:rsidR="00B34E4F">
        <w:rPr>
          <w:lang w:val="fr-FR"/>
        </w:rPr>
        <w:t>’</w:t>
      </w:r>
      <w:r>
        <w:rPr>
          <w:lang w:val="fr-FR"/>
        </w:rPr>
        <w:t>atteindre cinq objectifs communs, tels que définis dans l</w:t>
      </w:r>
      <w:r w:rsidR="00B34E4F">
        <w:rPr>
          <w:lang w:val="fr-FR"/>
        </w:rPr>
        <w:t>’</w:t>
      </w:r>
      <w:r>
        <w:rPr>
          <w:lang w:val="fr-FR"/>
        </w:rPr>
        <w:t>appel à l</w:t>
      </w:r>
      <w:r w:rsidR="00B34E4F">
        <w:rPr>
          <w:lang w:val="fr-FR"/>
        </w:rPr>
        <w:t>’</w:t>
      </w:r>
      <w:r>
        <w:rPr>
          <w:lang w:val="fr-FR"/>
        </w:rPr>
        <w:t xml:space="preserve">action du Forum mondial sur les effets sanitaires de la chaleur de 2018: </w:t>
      </w:r>
    </w:p>
    <w:p w14:paraId="4B28B49F" w14:textId="0843B463" w:rsidR="0016755A" w:rsidRPr="00DD28CE" w:rsidRDefault="0016755A" w:rsidP="00C648C8">
      <w:pPr>
        <w:numPr>
          <w:ilvl w:val="0"/>
          <w:numId w:val="1"/>
        </w:numPr>
        <w:tabs>
          <w:tab w:val="clear" w:pos="1134"/>
        </w:tabs>
        <w:spacing w:before="120" w:after="120"/>
        <w:ind w:left="1134" w:hanging="567"/>
        <w:jc w:val="left"/>
        <w:rPr>
          <w:lang w:val="fr-FR"/>
        </w:rPr>
      </w:pPr>
      <w:r>
        <w:rPr>
          <w:lang w:val="fr-FR"/>
        </w:rPr>
        <w:t>Améliorer de toute urgence la sensibilisation au désastre que représente l</w:t>
      </w:r>
      <w:r w:rsidR="00B34E4F">
        <w:rPr>
          <w:lang w:val="fr-FR"/>
        </w:rPr>
        <w:t>’</w:t>
      </w:r>
      <w:r>
        <w:rPr>
          <w:lang w:val="fr-FR"/>
        </w:rPr>
        <w:t>augmentation de la chaleur extrême pour la santé, le bien-être et la productivité de l</w:t>
      </w:r>
      <w:r w:rsidR="00B34E4F">
        <w:rPr>
          <w:lang w:val="fr-FR"/>
        </w:rPr>
        <w:t>’</w:t>
      </w:r>
      <w:r>
        <w:rPr>
          <w:lang w:val="fr-FR"/>
        </w:rPr>
        <w:t>homme dans le monde entier;</w:t>
      </w:r>
      <w:r w:rsidR="00807EF1">
        <w:rPr>
          <w:lang w:val="fr-FR"/>
        </w:rPr>
        <w:t xml:space="preserve"> </w:t>
      </w:r>
    </w:p>
    <w:p w14:paraId="73A606A9" w14:textId="4EFF7F8B" w:rsidR="0016755A" w:rsidRPr="00DD28CE" w:rsidRDefault="0016755A" w:rsidP="00C648C8">
      <w:pPr>
        <w:numPr>
          <w:ilvl w:val="0"/>
          <w:numId w:val="1"/>
        </w:numPr>
        <w:tabs>
          <w:tab w:val="clear" w:pos="1134"/>
        </w:tabs>
        <w:spacing w:before="120" w:after="120"/>
        <w:ind w:left="1134" w:hanging="567"/>
        <w:jc w:val="left"/>
        <w:rPr>
          <w:lang w:val="fr-FR"/>
        </w:rPr>
      </w:pPr>
      <w:r>
        <w:rPr>
          <w:lang w:val="fr-FR"/>
        </w:rPr>
        <w:t xml:space="preserve">Catalyser et soutenir les partenariats interdisciplinaires et le </w:t>
      </w:r>
      <w:proofErr w:type="spellStart"/>
      <w:r>
        <w:rPr>
          <w:lang w:val="fr-FR"/>
        </w:rPr>
        <w:t>co</w:t>
      </w:r>
      <w:proofErr w:type="spellEnd"/>
      <w:r>
        <w:rPr>
          <w:lang w:val="fr-FR"/>
        </w:rPr>
        <w:t>-apprentissage entre la recherche et les praticiens à travers les acteurs concernés du gouvernement, des universités, du secteur privé et de la société civile;</w:t>
      </w:r>
      <w:r w:rsidR="00807EF1">
        <w:rPr>
          <w:lang w:val="fr-FR"/>
        </w:rPr>
        <w:t xml:space="preserve"> </w:t>
      </w:r>
      <w:r>
        <w:rPr>
          <w:lang w:val="fr-FR"/>
        </w:rPr>
        <w:t xml:space="preserve"> </w:t>
      </w:r>
    </w:p>
    <w:p w14:paraId="435A6580" w14:textId="5D820DAE" w:rsidR="0016755A" w:rsidRPr="00DD28CE" w:rsidRDefault="0016755A" w:rsidP="00C648C8">
      <w:pPr>
        <w:numPr>
          <w:ilvl w:val="0"/>
          <w:numId w:val="1"/>
        </w:numPr>
        <w:tabs>
          <w:tab w:val="clear" w:pos="1134"/>
        </w:tabs>
        <w:spacing w:before="120" w:after="120"/>
        <w:ind w:left="1134" w:hanging="567"/>
        <w:jc w:val="left"/>
        <w:rPr>
          <w:lang w:val="fr-FR"/>
        </w:rPr>
      </w:pPr>
      <w:r>
        <w:rPr>
          <w:lang w:val="fr-FR"/>
        </w:rPr>
        <w:t>Synthétiser et faire progresser la science et la technologie disponibles pour la prise de décision et la réduction des risques dans tous les secteurs et à toutes les échelles de temps;</w:t>
      </w:r>
      <w:r w:rsidR="00807EF1">
        <w:rPr>
          <w:lang w:val="fr-FR"/>
        </w:rPr>
        <w:t xml:space="preserve"> </w:t>
      </w:r>
      <w:r>
        <w:rPr>
          <w:lang w:val="fr-FR"/>
        </w:rPr>
        <w:t xml:space="preserve"> </w:t>
      </w:r>
    </w:p>
    <w:p w14:paraId="7DF4ACBF" w14:textId="6579FFD3" w:rsidR="0016755A" w:rsidRPr="00DD28CE" w:rsidRDefault="0016755A" w:rsidP="00C648C8">
      <w:pPr>
        <w:numPr>
          <w:ilvl w:val="0"/>
          <w:numId w:val="1"/>
        </w:numPr>
        <w:tabs>
          <w:tab w:val="clear" w:pos="1134"/>
        </w:tabs>
        <w:spacing w:before="120" w:after="120"/>
        <w:ind w:left="1134" w:hanging="567"/>
        <w:jc w:val="left"/>
        <w:rPr>
          <w:lang w:val="fr-FR"/>
        </w:rPr>
      </w:pPr>
      <w:r>
        <w:rPr>
          <w:lang w:val="fr-FR"/>
        </w:rPr>
        <w:t>Améliorer l</w:t>
      </w:r>
      <w:r w:rsidR="00B34E4F">
        <w:rPr>
          <w:lang w:val="fr-FR"/>
        </w:rPr>
        <w:t>’</w:t>
      </w:r>
      <w:r>
        <w:rPr>
          <w:lang w:val="fr-FR"/>
        </w:rPr>
        <w:t>accès aux ressources spécialisées et aux possibilités d</w:t>
      </w:r>
      <w:r w:rsidR="00B34E4F">
        <w:rPr>
          <w:lang w:val="fr-FR"/>
        </w:rPr>
        <w:t>’</w:t>
      </w:r>
      <w:r>
        <w:rPr>
          <w:lang w:val="fr-FR"/>
        </w:rPr>
        <w:t>apprentissage, d</w:t>
      </w:r>
      <w:r w:rsidR="00B34E4F">
        <w:rPr>
          <w:lang w:val="fr-FR"/>
        </w:rPr>
        <w:t>’</w:t>
      </w:r>
      <w:r>
        <w:rPr>
          <w:lang w:val="fr-FR"/>
        </w:rPr>
        <w:t>échange et d</w:t>
      </w:r>
      <w:r w:rsidR="00B34E4F">
        <w:rPr>
          <w:lang w:val="fr-FR"/>
        </w:rPr>
        <w:t>’</w:t>
      </w:r>
      <w:r>
        <w:rPr>
          <w:lang w:val="fr-FR"/>
        </w:rPr>
        <w:t>engagement;</w:t>
      </w:r>
      <w:r w:rsidR="00807EF1">
        <w:rPr>
          <w:lang w:val="fr-FR"/>
        </w:rPr>
        <w:t xml:space="preserve"> </w:t>
      </w:r>
    </w:p>
    <w:p w14:paraId="2E942601" w14:textId="77777777" w:rsidR="0016755A" w:rsidRPr="00DD28CE" w:rsidRDefault="0016755A" w:rsidP="00C648C8">
      <w:pPr>
        <w:numPr>
          <w:ilvl w:val="0"/>
          <w:numId w:val="1"/>
        </w:numPr>
        <w:tabs>
          <w:tab w:val="clear" w:pos="1134"/>
        </w:tabs>
        <w:spacing w:before="120" w:after="120"/>
        <w:ind w:left="1134" w:hanging="567"/>
        <w:jc w:val="left"/>
        <w:rPr>
          <w:lang w:val="fr-FR"/>
        </w:rPr>
      </w:pPr>
      <w:r>
        <w:rPr>
          <w:lang w:val="fr-FR"/>
        </w:rPr>
        <w:t xml:space="preserve">Identifier et accélérer les actions visant à combler les lacunes critiques dans la recherche, les connaissances et les pratiques. </w:t>
      </w:r>
    </w:p>
    <w:p w14:paraId="0482CFB4" w14:textId="6A7D4FE8" w:rsidR="0016755A" w:rsidRPr="00DD28CE" w:rsidRDefault="0016755A" w:rsidP="00DD20B2">
      <w:pPr>
        <w:spacing w:after="100" w:afterAutospacing="1"/>
        <w:jc w:val="left"/>
        <w:rPr>
          <w:rFonts w:cstheme="majorBidi"/>
          <w:lang w:val="fr-FR"/>
        </w:rPr>
      </w:pPr>
      <w:r>
        <w:rPr>
          <w:lang w:val="fr-FR"/>
        </w:rPr>
        <w:t xml:space="preserve">La mise en œuvre de ces objectifs est organisée selon un cadre de gestion intégrée des effets sanitaires de la chaleur à cinq piliers (figure 1/annexe 2), avec des domaines de travail </w:t>
      </w:r>
      <w:r>
        <w:rPr>
          <w:lang w:val="fr-FR"/>
        </w:rPr>
        <w:lastRenderedPageBreak/>
        <w:t>correspondants qui permettent la participation et le partage entre un grand nombre de parties prenantes pour l</w:t>
      </w:r>
      <w:r w:rsidR="00B34E4F">
        <w:rPr>
          <w:lang w:val="fr-FR"/>
        </w:rPr>
        <w:t>’</w:t>
      </w:r>
      <w:r>
        <w:rPr>
          <w:lang w:val="fr-FR"/>
        </w:rPr>
        <w:t xml:space="preserve">avancement des activités techniques. </w:t>
      </w:r>
    </w:p>
    <w:p w14:paraId="2966EFFA" w14:textId="77777777" w:rsidR="0016755A" w:rsidRPr="00DD28CE" w:rsidRDefault="0016755A" w:rsidP="00DD20B2">
      <w:pPr>
        <w:jc w:val="left"/>
        <w:rPr>
          <w:rFonts w:eastAsia="Verdana" w:cs="Verdana"/>
          <w:lang w:val="fr-FR"/>
        </w:rPr>
      </w:pPr>
      <w:r>
        <w:rPr>
          <w:lang w:val="fr-FR"/>
        </w:rPr>
        <w:t xml:space="preserve">En tant que communauté de pratique, le réseau vise à rassembler et à exploiter le travail et les progrès des partenaires contributeurs et </w:t>
      </w:r>
      <w:proofErr w:type="spellStart"/>
      <w:r>
        <w:rPr>
          <w:lang w:val="fr-FR"/>
        </w:rPr>
        <w:t>co</w:t>
      </w:r>
      <w:proofErr w:type="spellEnd"/>
      <w:r>
        <w:rPr>
          <w:lang w:val="fr-FR"/>
        </w:rPr>
        <w:t>-parrains, ainsi que des membres participants individuels, afin de créer une image holistique des besoins, de la science et des forces pour faire face aux risques de chaleur extrême pour la société.</w:t>
      </w:r>
    </w:p>
    <w:p w14:paraId="6D111D83" w14:textId="77777777" w:rsidR="0016755A" w:rsidRPr="001006A3" w:rsidRDefault="0016755A" w:rsidP="00EF1781">
      <w:pPr>
        <w:jc w:val="center"/>
      </w:pPr>
      <w:r w:rsidRPr="001006A3">
        <w:rPr>
          <w:noProof/>
        </w:rPr>
        <w:drawing>
          <wp:inline distT="0" distB="0" distL="0" distR="0" wp14:anchorId="080CBC8A" wp14:editId="130BCEFD">
            <wp:extent cx="6487641" cy="2419350"/>
            <wp:effectExtent l="0" t="0" r="8890" b="0"/>
            <wp:docPr id="1455187868" name="Picture 145518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90014" cy="2420235"/>
                    </a:xfrm>
                    <a:prstGeom prst="rect">
                      <a:avLst/>
                    </a:prstGeom>
                  </pic:spPr>
                </pic:pic>
              </a:graphicData>
            </a:graphic>
          </wp:inline>
        </w:drawing>
      </w:r>
    </w:p>
    <w:p w14:paraId="44A626AC" w14:textId="5C1EFA89" w:rsidR="0016755A" w:rsidRPr="00E41727" w:rsidRDefault="0016755A" w:rsidP="00BB6262">
      <w:pPr>
        <w:spacing w:before="240"/>
        <w:jc w:val="center"/>
        <w:rPr>
          <w:b/>
          <w:bCs/>
          <w:color w:val="1F497D"/>
          <w:lang w:val="fr-FR"/>
        </w:rPr>
      </w:pPr>
      <w:r w:rsidRPr="00E41727">
        <w:rPr>
          <w:b/>
          <w:bCs/>
          <w:color w:val="1F497D"/>
          <w:lang w:val="fr-FR"/>
        </w:rPr>
        <w:t>Figure 1: Cadre et chantiers de la gestion intégrée des effets</w:t>
      </w:r>
      <w:r w:rsidR="00EF1781">
        <w:rPr>
          <w:b/>
          <w:bCs/>
          <w:color w:val="1F497D"/>
          <w:lang w:val="fr-FR"/>
        </w:rPr>
        <w:br/>
      </w:r>
      <w:r w:rsidRPr="00E41727">
        <w:rPr>
          <w:b/>
          <w:bCs/>
          <w:color w:val="1F497D"/>
          <w:lang w:val="fr-FR"/>
        </w:rPr>
        <w:t>sanitaires de la chaleur</w:t>
      </w:r>
    </w:p>
    <w:p w14:paraId="35266688" w14:textId="77777777" w:rsidR="00C7593B" w:rsidRPr="00401EFE" w:rsidRDefault="00C7593B" w:rsidP="00DD20B2">
      <w:pPr>
        <w:tabs>
          <w:tab w:val="clear" w:pos="1134"/>
        </w:tabs>
        <w:jc w:val="left"/>
        <w:rPr>
          <w:rFonts w:eastAsia="Times New Roman" w:cs="Verdana"/>
          <w:b/>
          <w:bCs/>
          <w:caps/>
          <w:kern w:val="32"/>
          <w:u w:val="single"/>
          <w:lang w:val="fr-FR" w:eastAsia="zh-TW"/>
        </w:rPr>
      </w:pPr>
      <w:r w:rsidRPr="00401EFE">
        <w:rPr>
          <w:rFonts w:eastAsia="Times New Roman"/>
          <w:b/>
          <w:bCs/>
          <w:u w:val="single"/>
          <w:lang w:val="fr-FR"/>
        </w:rPr>
        <w:br w:type="page"/>
      </w:r>
    </w:p>
    <w:p w14:paraId="1D384547" w14:textId="77777777" w:rsidR="0016755A" w:rsidRPr="000926D4" w:rsidRDefault="0016755A" w:rsidP="00BB6262">
      <w:pPr>
        <w:pStyle w:val="Heading1"/>
        <w:spacing w:before="240" w:after="240"/>
        <w:jc w:val="left"/>
        <w:rPr>
          <w:rFonts w:eastAsia="Times New Roman"/>
          <w:b w:val="0"/>
          <w:bCs w:val="0"/>
          <w:sz w:val="16"/>
          <w:szCs w:val="16"/>
          <w:lang w:val="fr-FR"/>
        </w:rPr>
      </w:pPr>
      <w:r w:rsidRPr="000926D4">
        <w:rPr>
          <w:sz w:val="20"/>
          <w:szCs w:val="20"/>
          <w:lang w:val="fr-FR"/>
        </w:rPr>
        <w:lastRenderedPageBreak/>
        <w:t>Section 2: Structures opérationnelles</w:t>
      </w:r>
    </w:p>
    <w:p w14:paraId="6186A622" w14:textId="21E331C2" w:rsidR="0016755A" w:rsidRPr="00DD28CE" w:rsidRDefault="0016755A" w:rsidP="00BB6262">
      <w:pPr>
        <w:spacing w:before="240" w:after="240"/>
        <w:jc w:val="left"/>
        <w:rPr>
          <w:rFonts w:eastAsia="Times New Roman" w:cstheme="majorBidi"/>
          <w:b/>
          <w:bCs/>
          <w:lang w:val="fr-FR"/>
        </w:rPr>
      </w:pPr>
      <w:r>
        <w:rPr>
          <w:lang w:val="fr-FR"/>
        </w:rPr>
        <w:t xml:space="preserve">Les principales entités opérationnelles du réseau sont 1) une </w:t>
      </w:r>
      <w:r w:rsidR="000926D4" w:rsidRPr="000926D4">
        <w:rPr>
          <w:b/>
          <w:bCs/>
          <w:lang w:val="fr-FR"/>
        </w:rPr>
        <w:t>U</w:t>
      </w:r>
      <w:r w:rsidRPr="000926D4">
        <w:rPr>
          <w:b/>
          <w:bCs/>
          <w:lang w:val="fr-FR"/>
        </w:rPr>
        <w:t>nité d</w:t>
      </w:r>
      <w:r w:rsidR="00B34E4F">
        <w:rPr>
          <w:b/>
          <w:bCs/>
          <w:lang w:val="fr-FR"/>
        </w:rPr>
        <w:t>’</w:t>
      </w:r>
      <w:r w:rsidR="000926D4" w:rsidRPr="000926D4">
        <w:rPr>
          <w:b/>
          <w:bCs/>
          <w:lang w:val="fr-FR"/>
        </w:rPr>
        <w:t xml:space="preserve">appui </w:t>
      </w:r>
      <w:r w:rsidRPr="000926D4">
        <w:rPr>
          <w:b/>
          <w:bCs/>
          <w:lang w:val="fr-FR"/>
        </w:rPr>
        <w:t>technique</w:t>
      </w:r>
      <w:r>
        <w:rPr>
          <w:lang w:val="fr-FR"/>
        </w:rPr>
        <w:t xml:space="preserve">, 2)des </w:t>
      </w:r>
      <w:r w:rsidRPr="000926D4">
        <w:rPr>
          <w:b/>
          <w:bCs/>
          <w:lang w:val="fr-FR"/>
        </w:rPr>
        <w:t>organisations de coparrainage</w:t>
      </w:r>
      <w:r>
        <w:rPr>
          <w:lang w:val="fr-FR"/>
        </w:rPr>
        <w:t xml:space="preserve">, 3) des </w:t>
      </w:r>
      <w:r w:rsidRPr="000926D4">
        <w:rPr>
          <w:b/>
          <w:bCs/>
          <w:lang w:val="fr-FR"/>
        </w:rPr>
        <w:t xml:space="preserve">partenaires contributeurs et des membres individuels, </w:t>
      </w:r>
      <w:r w:rsidRPr="00452194">
        <w:rPr>
          <w:lang w:val="fr-FR"/>
        </w:rPr>
        <w:t xml:space="preserve">4) </w:t>
      </w:r>
      <w:r w:rsidRPr="000926D4">
        <w:rPr>
          <w:b/>
          <w:bCs/>
          <w:lang w:val="fr-FR"/>
        </w:rPr>
        <w:t>des partenaires financiers</w:t>
      </w:r>
      <w:r>
        <w:rPr>
          <w:lang w:val="fr-FR"/>
        </w:rPr>
        <w:t xml:space="preserve">. Les </w:t>
      </w:r>
      <w:r w:rsidRPr="000926D4">
        <w:rPr>
          <w:b/>
          <w:bCs/>
          <w:lang w:val="fr-FR"/>
        </w:rPr>
        <w:t>antennes de réseau régionales</w:t>
      </w:r>
      <w:r>
        <w:rPr>
          <w:lang w:val="fr-FR"/>
        </w:rPr>
        <w:t xml:space="preserve"> seront établies au cours de la période 2022-2027. Les partenaires qui dirigent ces antennes seront considérés comme des partenaires contribuant au réseau mondial.</w:t>
      </w:r>
    </w:p>
    <w:p w14:paraId="05A04716" w14:textId="550C3A67" w:rsidR="0016755A" w:rsidRPr="00DD28CE" w:rsidRDefault="0016755A" w:rsidP="00BB6262">
      <w:pPr>
        <w:spacing w:before="240" w:after="240"/>
        <w:jc w:val="left"/>
        <w:rPr>
          <w:rFonts w:eastAsia="Times New Roman" w:cstheme="majorBidi"/>
          <w:lang w:val="fr-FR"/>
        </w:rPr>
      </w:pPr>
      <w:r>
        <w:rPr>
          <w:lang w:val="fr-FR"/>
        </w:rPr>
        <w:t>La structure de gouvernance du Réseau est composée d</w:t>
      </w:r>
      <w:r w:rsidR="00B34E4F">
        <w:rPr>
          <w:lang w:val="fr-FR"/>
        </w:rPr>
        <w:t>’</w:t>
      </w:r>
      <w:r>
        <w:rPr>
          <w:lang w:val="fr-FR"/>
        </w:rPr>
        <w:t xml:space="preserve">un </w:t>
      </w:r>
      <w:r w:rsidRPr="000926D4">
        <w:rPr>
          <w:b/>
          <w:bCs/>
          <w:lang w:val="fr-FR"/>
        </w:rPr>
        <w:t>groupe consultatif</w:t>
      </w:r>
      <w:r>
        <w:rPr>
          <w:lang w:val="fr-FR"/>
        </w:rPr>
        <w:t xml:space="preserve"> et d</w:t>
      </w:r>
      <w:r w:rsidR="00B34E4F">
        <w:rPr>
          <w:lang w:val="fr-FR"/>
        </w:rPr>
        <w:t>’</w:t>
      </w:r>
      <w:r>
        <w:rPr>
          <w:lang w:val="fr-FR"/>
        </w:rPr>
        <w:t xml:space="preserve">un </w:t>
      </w:r>
      <w:r w:rsidRPr="000926D4">
        <w:rPr>
          <w:b/>
          <w:bCs/>
          <w:lang w:val="fr-FR"/>
        </w:rPr>
        <w:t>comité de gestion</w:t>
      </w:r>
      <w:r>
        <w:rPr>
          <w:lang w:val="fr-FR"/>
        </w:rPr>
        <w:t xml:space="preserve">. Les interactions entre les opérations et la gouvernance sont décrites dans la figure 2. </w:t>
      </w:r>
    </w:p>
    <w:p w14:paraId="0AE82E4B" w14:textId="77777777" w:rsidR="0016755A" w:rsidRPr="001006A3" w:rsidRDefault="00C948C5" w:rsidP="00452194">
      <w:pPr>
        <w:spacing w:before="240" w:after="240"/>
        <w:jc w:val="center"/>
        <w:rPr>
          <w:rFonts w:eastAsia="Times New Roman" w:cstheme="majorBidi"/>
        </w:rPr>
      </w:pPr>
      <w:r w:rsidRPr="001006A3">
        <w:rPr>
          <w:rFonts w:eastAsia="Times New Roman" w:cstheme="majorBidi"/>
          <w:noProof/>
        </w:rPr>
        <w:drawing>
          <wp:inline distT="0" distB="0" distL="0" distR="0" wp14:anchorId="661D1ADC" wp14:editId="059C65A2">
            <wp:extent cx="6120765" cy="34163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HIN Ops Diagram.jpg"/>
                    <pic:cNvPicPr/>
                  </pic:nvPicPr>
                  <pic:blipFill>
                    <a:blip r:embed="rId13"/>
                    <a:stretch>
                      <a:fillRect/>
                    </a:stretch>
                  </pic:blipFill>
                  <pic:spPr>
                    <a:xfrm>
                      <a:off x="0" y="0"/>
                      <a:ext cx="6120765" cy="3416300"/>
                    </a:xfrm>
                    <a:prstGeom prst="rect">
                      <a:avLst/>
                    </a:prstGeom>
                  </pic:spPr>
                </pic:pic>
              </a:graphicData>
            </a:graphic>
          </wp:inline>
        </w:drawing>
      </w:r>
    </w:p>
    <w:p w14:paraId="0844974A" w14:textId="77777777" w:rsidR="0016755A" w:rsidRPr="00F91E05" w:rsidRDefault="0016755A" w:rsidP="00452194">
      <w:pPr>
        <w:pStyle w:val="Caption"/>
        <w:spacing w:before="240" w:after="240"/>
        <w:jc w:val="center"/>
        <w:rPr>
          <w:rFonts w:ascii="Verdana" w:eastAsia="Times New Roman" w:hAnsi="Verdana" w:cstheme="majorBidi"/>
          <w:b/>
          <w:bCs/>
          <w:i w:val="0"/>
          <w:iCs w:val="0"/>
          <w:sz w:val="22"/>
          <w:szCs w:val="22"/>
          <w:lang w:val="fr-FR"/>
        </w:rPr>
      </w:pPr>
      <w:r w:rsidRPr="00F91E05">
        <w:rPr>
          <w:rFonts w:ascii="Verdana" w:hAnsi="Verdana"/>
          <w:b/>
          <w:bCs/>
          <w:i w:val="0"/>
          <w:iCs w:val="0"/>
          <w:sz w:val="20"/>
          <w:szCs w:val="20"/>
          <w:lang w:val="fr-FR"/>
        </w:rPr>
        <w:t>Figure 2: Structures de gouvernance et de fonctionnement du Réseau</w:t>
      </w:r>
    </w:p>
    <w:p w14:paraId="4A6CB385" w14:textId="77777777" w:rsidR="0016755A" w:rsidRPr="00DD28CE" w:rsidRDefault="0016755A" w:rsidP="00BB6262">
      <w:pPr>
        <w:spacing w:before="240" w:after="240"/>
        <w:jc w:val="left"/>
        <w:rPr>
          <w:rFonts w:eastAsia="Times New Roman" w:cstheme="majorBidi"/>
          <w:lang w:val="fr-FR"/>
        </w:rPr>
      </w:pPr>
      <w:r>
        <w:rPr>
          <w:lang w:val="fr-FR"/>
        </w:rPr>
        <w:t>Les rôles et responsabilités des entités opérationnelles sont décrits ci-dessous.</w:t>
      </w:r>
    </w:p>
    <w:p w14:paraId="10D77B72" w14:textId="3B5C7C1D" w:rsidR="0016755A" w:rsidRPr="00DD28CE" w:rsidRDefault="0016755A" w:rsidP="005A6D6E">
      <w:pPr>
        <w:spacing w:before="240" w:after="240"/>
        <w:ind w:left="567" w:hanging="567"/>
        <w:jc w:val="left"/>
        <w:rPr>
          <w:rStyle w:val="Heading2Char"/>
          <w:rFonts w:eastAsia="Times New Roman"/>
          <w:sz w:val="20"/>
          <w:szCs w:val="20"/>
          <w:lang w:val="fr-FR"/>
        </w:rPr>
      </w:pPr>
      <w:r>
        <w:rPr>
          <w:b/>
          <w:bCs/>
          <w:lang w:val="fr-FR"/>
        </w:rPr>
        <w:t>1)</w:t>
      </w:r>
      <w:r w:rsidR="008A0AE4">
        <w:rPr>
          <w:b/>
          <w:bCs/>
          <w:lang w:val="fr-FR"/>
        </w:rPr>
        <w:tab/>
      </w:r>
      <w:r>
        <w:rPr>
          <w:b/>
          <w:bCs/>
          <w:lang w:val="fr-FR"/>
        </w:rPr>
        <w:t>Unité d</w:t>
      </w:r>
      <w:r w:rsidR="00B34E4F">
        <w:rPr>
          <w:b/>
          <w:bCs/>
          <w:lang w:val="fr-FR"/>
        </w:rPr>
        <w:t>’</w:t>
      </w:r>
      <w:r>
        <w:rPr>
          <w:b/>
          <w:bCs/>
          <w:lang w:val="fr-FR"/>
        </w:rPr>
        <w:t>appui technique (TSU)</w:t>
      </w:r>
    </w:p>
    <w:p w14:paraId="35A78CB9" w14:textId="128803CB" w:rsidR="0016755A" w:rsidRPr="00DD28CE" w:rsidRDefault="0016755A" w:rsidP="00BB6262">
      <w:pPr>
        <w:spacing w:before="240" w:after="240"/>
        <w:jc w:val="left"/>
        <w:rPr>
          <w:rFonts w:eastAsia="Times New Roman" w:cstheme="majorBidi"/>
          <w:lang w:val="fr-FR"/>
        </w:rPr>
      </w:pPr>
      <w:r>
        <w:rPr>
          <w:lang w:val="fr-FR"/>
        </w:rPr>
        <w:t>La TSU est basée physiquement au Bureau conjoint OMS-OMM situé dans le Département des services de l</w:t>
      </w:r>
      <w:r w:rsidR="00B34E4F">
        <w:rPr>
          <w:lang w:val="fr-FR"/>
        </w:rPr>
        <w:t>’</w:t>
      </w:r>
      <w:r>
        <w:rPr>
          <w:lang w:val="fr-FR"/>
        </w:rPr>
        <w:t>OMM, mais peut inclure des membres d</w:t>
      </w:r>
      <w:r w:rsidR="00B34E4F">
        <w:rPr>
          <w:lang w:val="fr-FR"/>
        </w:rPr>
        <w:t>’</w:t>
      </w:r>
      <w:r>
        <w:rPr>
          <w:lang w:val="fr-FR"/>
        </w:rPr>
        <w:t>équipe dans d</w:t>
      </w:r>
      <w:r w:rsidR="00B34E4F">
        <w:rPr>
          <w:lang w:val="fr-FR"/>
        </w:rPr>
        <w:t>’</w:t>
      </w:r>
      <w:r>
        <w:rPr>
          <w:lang w:val="fr-FR"/>
        </w:rPr>
        <w:t>autres lieux de manière virtuelle, provenant d</w:t>
      </w:r>
      <w:r w:rsidR="00B34E4F">
        <w:rPr>
          <w:lang w:val="fr-FR"/>
        </w:rPr>
        <w:t>’</w:t>
      </w:r>
      <w:r>
        <w:rPr>
          <w:lang w:val="fr-FR"/>
        </w:rPr>
        <w:t>institutions de coparrainage. La TSU est composée de professionnels recrutés et détachés par des organismes de coparrainage (par exemple, l</w:t>
      </w:r>
      <w:r w:rsidR="00B34E4F">
        <w:rPr>
          <w:lang w:val="fr-FR"/>
        </w:rPr>
        <w:t>’</w:t>
      </w:r>
      <w:r>
        <w:rPr>
          <w:lang w:val="fr-FR"/>
        </w:rPr>
        <w:t>OMM, l</w:t>
      </w:r>
      <w:r w:rsidR="00B34E4F">
        <w:rPr>
          <w:lang w:val="fr-FR"/>
        </w:rPr>
        <w:t>’</w:t>
      </w:r>
      <w:r>
        <w:rPr>
          <w:lang w:val="fr-FR"/>
        </w:rPr>
        <w:t xml:space="preserve">OMS, la </w:t>
      </w:r>
      <w:proofErr w:type="spellStart"/>
      <w:r>
        <w:rPr>
          <w:lang w:val="fr-FR"/>
        </w:rPr>
        <w:t>NOAA</w:t>
      </w:r>
      <w:proofErr w:type="spellEnd"/>
      <w:r>
        <w:rPr>
          <w:lang w:val="fr-FR"/>
        </w:rPr>
        <w:t>, etc.), comme convenu par le comité de gestion. Le chef du Bureau conjoint OMS-OMM est le chef de la TSU. La responsabilité générale du fonctionnement du Réseau et de la gestion financière de son Fonds d</w:t>
      </w:r>
      <w:r w:rsidR="00B34E4F">
        <w:rPr>
          <w:lang w:val="fr-FR"/>
        </w:rPr>
        <w:t>’</w:t>
      </w:r>
      <w:r>
        <w:rPr>
          <w:lang w:val="fr-FR"/>
        </w:rPr>
        <w:t>affectation spéciale est confiée au directeur du Département des services de l</w:t>
      </w:r>
      <w:r w:rsidR="00B34E4F">
        <w:rPr>
          <w:lang w:val="fr-FR"/>
        </w:rPr>
        <w:t>’</w:t>
      </w:r>
      <w:r>
        <w:rPr>
          <w:lang w:val="fr-FR"/>
        </w:rPr>
        <w:t xml:space="preserve">OMM. </w:t>
      </w:r>
    </w:p>
    <w:p w14:paraId="77CE538B" w14:textId="56007C18" w:rsidR="0016755A" w:rsidRPr="00DD28CE" w:rsidRDefault="0016755A" w:rsidP="00BB6262">
      <w:pPr>
        <w:spacing w:before="240" w:after="240"/>
        <w:jc w:val="left"/>
        <w:rPr>
          <w:rFonts w:eastAsia="Times New Roman" w:cstheme="majorBidi"/>
          <w:lang w:val="fr-FR"/>
        </w:rPr>
      </w:pPr>
      <w:r>
        <w:rPr>
          <w:lang w:val="fr-FR"/>
        </w:rPr>
        <w:t>Plus précisément, l</w:t>
      </w:r>
      <w:r w:rsidR="00B34E4F">
        <w:rPr>
          <w:lang w:val="fr-FR"/>
        </w:rPr>
        <w:t>’</w:t>
      </w:r>
      <w:r>
        <w:rPr>
          <w:lang w:val="fr-FR"/>
        </w:rPr>
        <w:t>Unité d</w:t>
      </w:r>
      <w:r w:rsidR="00B34E4F">
        <w:rPr>
          <w:lang w:val="fr-FR"/>
        </w:rPr>
        <w:t>’</w:t>
      </w:r>
      <w:r>
        <w:rPr>
          <w:lang w:val="fr-FR"/>
        </w:rPr>
        <w:t>appui technique a les fonctions suivantes:</w:t>
      </w:r>
    </w:p>
    <w:p w14:paraId="2C8344C2" w14:textId="77777777" w:rsidR="00E143A4" w:rsidRPr="001B7E76" w:rsidRDefault="0016755A" w:rsidP="00A718EF">
      <w:pPr>
        <w:pStyle w:val="ListParagraph"/>
        <w:numPr>
          <w:ilvl w:val="0"/>
          <w:numId w:val="2"/>
        </w:numPr>
        <w:spacing w:before="120" w:after="120" w:line="240" w:lineRule="auto"/>
        <w:ind w:left="1134" w:hanging="567"/>
        <w:contextualSpacing w:val="0"/>
        <w:rPr>
          <w:rFonts w:ascii="Verdana" w:eastAsia="Times New Roman" w:hAnsi="Verdana" w:cstheme="majorBidi"/>
          <w:sz w:val="20"/>
          <w:szCs w:val="20"/>
          <w:lang w:val="fr-FR"/>
        </w:rPr>
      </w:pPr>
      <w:r w:rsidRPr="00E143A4">
        <w:rPr>
          <w:rFonts w:ascii="Verdana" w:hAnsi="Verdana"/>
          <w:sz w:val="20"/>
          <w:szCs w:val="20"/>
          <w:lang w:val="fr-FR"/>
        </w:rPr>
        <w:t xml:space="preserve">Veille à la mise en œuvre du plan de travail annuel, tel que proposé par le Groupe consultatif et approuvé par le Comité de gestion, et formule le calendrier de son plan de travail annuel pour atteindre les résultats escomptés; </w:t>
      </w:r>
    </w:p>
    <w:p w14:paraId="4DE7CB7F" w14:textId="4AB7FA4C" w:rsidR="0016755A" w:rsidRPr="00E143A4"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E143A4">
        <w:rPr>
          <w:rFonts w:ascii="Verdana" w:hAnsi="Verdana"/>
          <w:sz w:val="20"/>
          <w:szCs w:val="20"/>
          <w:lang w:val="fr-FR"/>
        </w:rPr>
        <w:t>Servir de point de contact pour les demandes entrantes du Réseau et de ses fonctions de service d</w:t>
      </w:r>
      <w:r w:rsidR="00B34E4F">
        <w:rPr>
          <w:rFonts w:ascii="Verdana" w:hAnsi="Verdana"/>
          <w:sz w:val="20"/>
          <w:szCs w:val="20"/>
          <w:lang w:val="fr-FR"/>
        </w:rPr>
        <w:t>’</w:t>
      </w:r>
      <w:r w:rsidRPr="00E143A4">
        <w:rPr>
          <w:rFonts w:ascii="Verdana" w:hAnsi="Verdana"/>
          <w:sz w:val="20"/>
          <w:szCs w:val="20"/>
          <w:lang w:val="fr-FR"/>
        </w:rPr>
        <w:t>assistance;</w:t>
      </w:r>
    </w:p>
    <w:p w14:paraId="5076AC4A" w14:textId="77777777"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F91E05">
        <w:rPr>
          <w:rFonts w:ascii="Verdana" w:hAnsi="Verdana"/>
          <w:sz w:val="20"/>
          <w:szCs w:val="20"/>
          <w:lang w:val="fr-FR"/>
        </w:rPr>
        <w:lastRenderedPageBreak/>
        <w:t xml:space="preserve">Acheminer les demandes entrantes aux organismes de coparrainage du réseau et aux partenaires contributeurs et coordonner le suivi; </w:t>
      </w:r>
    </w:p>
    <w:p w14:paraId="73BC74F6" w14:textId="10054032"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Fournir des conseils stratégiques concernant la politique de gestion de la chaleur, la stratégie et l</w:t>
      </w:r>
      <w:r w:rsidR="00B34E4F">
        <w:rPr>
          <w:rFonts w:ascii="Verdana" w:eastAsia="Arial" w:hAnsi="Verdana" w:cs="Arial"/>
          <w:sz w:val="20"/>
          <w:szCs w:val="20"/>
          <w:lang w:val="fr-FR"/>
        </w:rPr>
        <w:t>’</w:t>
      </w:r>
      <w:r w:rsidRPr="00A718EF">
        <w:rPr>
          <w:rFonts w:ascii="Verdana" w:eastAsia="Arial" w:hAnsi="Verdana" w:cs="Arial"/>
          <w:sz w:val="20"/>
          <w:szCs w:val="20"/>
          <w:lang w:val="fr-FR"/>
        </w:rPr>
        <w:t xml:space="preserve">arrangement institutionnel en réponse aux demandes; </w:t>
      </w:r>
    </w:p>
    <w:p w14:paraId="1FDFF8A8" w14:textId="77777777"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 xml:space="preserve">Fournir un soutien technique et une gestion de projet pour la mise en œuvre des projets développés dans le cadre du réseau; </w:t>
      </w:r>
    </w:p>
    <w:p w14:paraId="6E52FF19" w14:textId="23D30141"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Entretenir, mettre à jour et améliorer le site Web du Réseau et les informations qui s</w:t>
      </w:r>
      <w:r w:rsidR="00B34E4F">
        <w:rPr>
          <w:rFonts w:ascii="Verdana" w:eastAsia="Arial" w:hAnsi="Verdana" w:cs="Arial"/>
          <w:sz w:val="20"/>
          <w:szCs w:val="20"/>
          <w:lang w:val="fr-FR"/>
        </w:rPr>
        <w:t>’</w:t>
      </w:r>
      <w:r w:rsidRPr="00A718EF">
        <w:rPr>
          <w:rFonts w:ascii="Verdana" w:eastAsia="Arial" w:hAnsi="Verdana" w:cs="Arial"/>
          <w:sz w:val="20"/>
          <w:szCs w:val="20"/>
          <w:lang w:val="fr-FR"/>
        </w:rPr>
        <w:t xml:space="preserve">y rapportent, et élaborer de nouveaux éléments (en particulier des directives/outils de gestion de la chaleur) selon les besoins; </w:t>
      </w:r>
    </w:p>
    <w:p w14:paraId="01115986" w14:textId="70FB3C48"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Élaborer et maintenir, comme base pour l</w:t>
      </w:r>
      <w:r w:rsidR="00B34E4F">
        <w:rPr>
          <w:rFonts w:ascii="Verdana" w:eastAsia="Arial" w:hAnsi="Verdana" w:cs="Arial"/>
          <w:sz w:val="20"/>
          <w:szCs w:val="20"/>
          <w:lang w:val="fr-FR"/>
        </w:rPr>
        <w:t>’</w:t>
      </w:r>
      <w:r w:rsidRPr="00A718EF">
        <w:rPr>
          <w:rFonts w:ascii="Verdana" w:eastAsia="Arial" w:hAnsi="Verdana" w:cs="Arial"/>
          <w:sz w:val="20"/>
          <w:szCs w:val="20"/>
          <w:lang w:val="fr-FR"/>
        </w:rPr>
        <w:t xml:space="preserve">amélioration continue des activités du Réseau, un registre des demandes reçues et des mesures de suivi prises; </w:t>
      </w:r>
    </w:p>
    <w:p w14:paraId="11A40B7A" w14:textId="6B2748C2" w:rsidR="0016755A" w:rsidRPr="00452194"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 xml:space="preserve">Renforce les partenariats du Réseau et </w:t>
      </w:r>
      <w:proofErr w:type="spellStart"/>
      <w:r w:rsidRPr="00A718EF">
        <w:rPr>
          <w:rFonts w:ascii="Verdana" w:eastAsia="Arial" w:hAnsi="Verdana" w:cs="Arial"/>
          <w:sz w:val="20"/>
          <w:szCs w:val="20"/>
          <w:lang w:val="fr-FR"/>
        </w:rPr>
        <w:t>maintient</w:t>
      </w:r>
      <w:proofErr w:type="spellEnd"/>
      <w:r w:rsidRPr="00A718EF">
        <w:rPr>
          <w:rFonts w:ascii="Verdana" w:eastAsia="Arial" w:hAnsi="Verdana" w:cs="Arial"/>
          <w:sz w:val="20"/>
          <w:szCs w:val="20"/>
          <w:lang w:val="fr-FR"/>
        </w:rPr>
        <w:t xml:space="preserve"> des liens et une communication régulière avec les partenaires contributeurs (voir ci-dessous) et les partenaires financiers (voir ci-dessous), entre autres, en assurant le </w:t>
      </w:r>
      <w:r w:rsidRPr="00F91E05">
        <w:rPr>
          <w:rFonts w:ascii="Verdana" w:hAnsi="Verdana"/>
          <w:sz w:val="20"/>
          <w:szCs w:val="20"/>
          <w:lang w:val="fr-FR"/>
        </w:rPr>
        <w:t>suivi des compétences disponibles et des domaines d</w:t>
      </w:r>
      <w:r w:rsidR="00B34E4F">
        <w:rPr>
          <w:rFonts w:ascii="Verdana" w:hAnsi="Verdana"/>
          <w:sz w:val="20"/>
          <w:szCs w:val="20"/>
          <w:lang w:val="fr-FR"/>
        </w:rPr>
        <w:t>’</w:t>
      </w:r>
      <w:r w:rsidRPr="00F91E05">
        <w:rPr>
          <w:rFonts w:ascii="Verdana" w:hAnsi="Verdana"/>
          <w:sz w:val="20"/>
          <w:szCs w:val="20"/>
          <w:lang w:val="fr-FR"/>
        </w:rPr>
        <w:t>intérêt;</w:t>
      </w:r>
    </w:p>
    <w:p w14:paraId="5D58F7B9" w14:textId="10660A9E"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F91E05">
        <w:rPr>
          <w:rFonts w:ascii="Verdana" w:hAnsi="Verdana"/>
          <w:sz w:val="20"/>
          <w:szCs w:val="20"/>
          <w:lang w:val="fr-FR"/>
        </w:rPr>
        <w:t>Élaborer et m</w:t>
      </w:r>
      <w:r w:rsidRPr="001B7E76">
        <w:rPr>
          <w:rFonts w:ascii="Verdana" w:eastAsia="Times New Roman" w:hAnsi="Verdana" w:cstheme="majorBidi"/>
          <w:sz w:val="20"/>
          <w:szCs w:val="20"/>
          <w:lang w:val="fr-FR"/>
        </w:rPr>
        <w:t>ettre en œuvre une stratégie d</w:t>
      </w:r>
      <w:r w:rsidR="00B34E4F" w:rsidRPr="001B7E76">
        <w:rPr>
          <w:rFonts w:ascii="Verdana" w:eastAsia="Times New Roman" w:hAnsi="Verdana" w:cstheme="majorBidi"/>
          <w:sz w:val="20"/>
          <w:szCs w:val="20"/>
          <w:lang w:val="fr-FR"/>
        </w:rPr>
        <w:t>’</w:t>
      </w:r>
      <w:r w:rsidRPr="001B7E76">
        <w:rPr>
          <w:rFonts w:ascii="Verdana" w:eastAsia="Times New Roman" w:hAnsi="Verdana" w:cstheme="majorBidi"/>
          <w:sz w:val="20"/>
          <w:szCs w:val="20"/>
          <w:lang w:val="fr-FR"/>
        </w:rPr>
        <w:t xml:space="preserve">information et de sensibilisation du Réseau; </w:t>
      </w:r>
    </w:p>
    <w:p w14:paraId="39246696" w14:textId="0C021C12"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Développe une communauté de pratique du Réseau adaptée aux différents groupes d</w:t>
      </w:r>
      <w:r w:rsidR="00B34E4F">
        <w:rPr>
          <w:rFonts w:ascii="Verdana" w:eastAsia="Arial" w:hAnsi="Verdana" w:cs="Arial"/>
          <w:sz w:val="20"/>
          <w:szCs w:val="20"/>
          <w:lang w:val="fr-FR"/>
        </w:rPr>
        <w:t>’</w:t>
      </w:r>
      <w:r w:rsidRPr="00A718EF">
        <w:rPr>
          <w:rFonts w:ascii="Verdana" w:eastAsia="Arial" w:hAnsi="Verdana" w:cs="Arial"/>
          <w:sz w:val="20"/>
          <w:szCs w:val="20"/>
          <w:lang w:val="fr-FR"/>
        </w:rPr>
        <w:t xml:space="preserve">utilisateurs, selon les recommandations du Groupe consultatif et des comités de gestion; </w:t>
      </w:r>
    </w:p>
    <w:p w14:paraId="448059B7" w14:textId="77777777"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 xml:space="preserve">Défendre les concepts de gestion intégrée des effets sanitaires de la chaleur dans les initiatives internationales et nationales appropriées; </w:t>
      </w:r>
    </w:p>
    <w:p w14:paraId="0AFE976D" w14:textId="77777777" w:rsidR="0016755A" w:rsidRPr="00A718EF" w:rsidRDefault="0016755A" w:rsidP="00A718EF">
      <w:pPr>
        <w:pStyle w:val="ListParagraph"/>
        <w:numPr>
          <w:ilvl w:val="0"/>
          <w:numId w:val="2"/>
        </w:numPr>
        <w:spacing w:before="120" w:after="120" w:line="240" w:lineRule="auto"/>
        <w:ind w:left="1134" w:hanging="567"/>
        <w:contextualSpacing w:val="0"/>
        <w:rPr>
          <w:rFonts w:ascii="Verdana" w:eastAsia="Arial" w:hAnsi="Verdana" w:cs="Arial"/>
          <w:sz w:val="20"/>
          <w:szCs w:val="20"/>
          <w:lang w:val="fr-FR"/>
        </w:rPr>
      </w:pPr>
      <w:r w:rsidRPr="00A718EF">
        <w:rPr>
          <w:rFonts w:ascii="Verdana" w:eastAsia="Arial" w:hAnsi="Verdana" w:cs="Arial"/>
          <w:sz w:val="20"/>
          <w:szCs w:val="20"/>
          <w:lang w:val="fr-FR"/>
        </w:rPr>
        <w:t xml:space="preserve">Assurer la coordination et le secrétariat des activités du Réseau, ainsi que du Groupe consultatif et du Comité de gestion; </w:t>
      </w:r>
    </w:p>
    <w:p w14:paraId="6403F12F" w14:textId="77777777" w:rsidR="0016755A" w:rsidRPr="001B7E76" w:rsidRDefault="0016755A" w:rsidP="00A718EF">
      <w:pPr>
        <w:pStyle w:val="ListParagraph"/>
        <w:numPr>
          <w:ilvl w:val="0"/>
          <w:numId w:val="2"/>
        </w:numPr>
        <w:spacing w:before="120" w:after="120" w:line="240" w:lineRule="auto"/>
        <w:ind w:left="1134" w:hanging="567"/>
        <w:contextualSpacing w:val="0"/>
        <w:rPr>
          <w:rFonts w:ascii="Verdana" w:eastAsia="Times New Roman" w:hAnsi="Verdana" w:cstheme="majorBidi"/>
          <w:sz w:val="20"/>
          <w:szCs w:val="20"/>
          <w:lang w:val="fr-FR"/>
        </w:rPr>
      </w:pPr>
      <w:r w:rsidRPr="00A718EF">
        <w:rPr>
          <w:rFonts w:ascii="Verdana" w:eastAsia="Arial" w:hAnsi="Verdana" w:cs="Arial"/>
          <w:sz w:val="20"/>
          <w:szCs w:val="20"/>
          <w:lang w:val="fr-FR"/>
        </w:rPr>
        <w:t>Fournir un soutien</w:t>
      </w:r>
      <w:r w:rsidRPr="001B7E76">
        <w:rPr>
          <w:rFonts w:ascii="Verdana" w:eastAsia="Times New Roman" w:hAnsi="Verdana" w:cstheme="majorBidi"/>
          <w:sz w:val="20"/>
          <w:szCs w:val="20"/>
          <w:lang w:val="fr-FR"/>
        </w:rPr>
        <w:t xml:space="preserve"> logistique et technique aux activités de renforcement des capacités dans le cadre du Réseau; et </w:t>
      </w:r>
    </w:p>
    <w:p w14:paraId="064887F2" w14:textId="7A9BB97B" w:rsidR="0016755A" w:rsidRPr="00F91E05" w:rsidRDefault="0016755A" w:rsidP="00A718EF">
      <w:pPr>
        <w:pStyle w:val="ListParagraph"/>
        <w:numPr>
          <w:ilvl w:val="0"/>
          <w:numId w:val="2"/>
        </w:numPr>
        <w:spacing w:before="120" w:after="120" w:line="240" w:lineRule="auto"/>
        <w:ind w:left="1134" w:hanging="567"/>
        <w:contextualSpacing w:val="0"/>
        <w:rPr>
          <w:rFonts w:ascii="Verdana" w:eastAsia="Times New Roman" w:hAnsi="Verdana" w:cstheme="majorBidi"/>
          <w:sz w:val="18"/>
          <w:szCs w:val="18"/>
          <w:lang w:val="fr-FR"/>
        </w:rPr>
      </w:pPr>
      <w:r w:rsidRPr="001B7E76">
        <w:rPr>
          <w:rFonts w:ascii="Verdana" w:eastAsia="Times New Roman" w:hAnsi="Verdana" w:cstheme="majorBidi"/>
          <w:sz w:val="20"/>
          <w:szCs w:val="20"/>
          <w:lang w:val="fr-FR"/>
        </w:rPr>
        <w:t xml:space="preserve">Assurer </w:t>
      </w:r>
      <w:r w:rsidRPr="00A718EF">
        <w:rPr>
          <w:rFonts w:ascii="Verdana" w:eastAsia="Arial" w:hAnsi="Verdana" w:cs="Arial"/>
          <w:sz w:val="20"/>
          <w:szCs w:val="20"/>
          <w:lang w:val="fr-FR"/>
        </w:rPr>
        <w:t>une</w:t>
      </w:r>
      <w:r w:rsidRPr="001B7E76">
        <w:rPr>
          <w:rFonts w:ascii="Verdana" w:eastAsia="Times New Roman" w:hAnsi="Verdana" w:cstheme="majorBidi"/>
          <w:sz w:val="20"/>
          <w:szCs w:val="20"/>
          <w:lang w:val="fr-FR"/>
        </w:rPr>
        <w:t xml:space="preserve"> </w:t>
      </w:r>
      <w:r w:rsidRPr="00F91E05">
        <w:rPr>
          <w:rFonts w:ascii="Verdana" w:hAnsi="Verdana"/>
          <w:sz w:val="20"/>
          <w:szCs w:val="20"/>
          <w:lang w:val="fr-FR"/>
        </w:rPr>
        <w:t>liaison régulière avec les organes et divisions techniques compétents de l</w:t>
      </w:r>
      <w:r w:rsidR="00B34E4F">
        <w:rPr>
          <w:rFonts w:ascii="Verdana" w:hAnsi="Verdana"/>
          <w:sz w:val="20"/>
          <w:szCs w:val="20"/>
          <w:lang w:val="fr-FR"/>
        </w:rPr>
        <w:t>’</w:t>
      </w:r>
      <w:r w:rsidRPr="00F91E05">
        <w:rPr>
          <w:rFonts w:ascii="Verdana" w:hAnsi="Verdana"/>
          <w:sz w:val="20"/>
          <w:szCs w:val="20"/>
          <w:lang w:val="fr-FR"/>
        </w:rPr>
        <w:t>OMS et de l</w:t>
      </w:r>
      <w:r w:rsidR="00B34E4F">
        <w:rPr>
          <w:rFonts w:ascii="Verdana" w:hAnsi="Verdana"/>
          <w:sz w:val="20"/>
          <w:szCs w:val="20"/>
          <w:lang w:val="fr-FR"/>
        </w:rPr>
        <w:t>’</w:t>
      </w:r>
      <w:r w:rsidRPr="00F91E05">
        <w:rPr>
          <w:rFonts w:ascii="Verdana" w:hAnsi="Verdana"/>
          <w:sz w:val="20"/>
          <w:szCs w:val="20"/>
          <w:lang w:val="fr-FR"/>
        </w:rPr>
        <w:t>OMM afin d</w:t>
      </w:r>
      <w:r w:rsidR="00B34E4F">
        <w:rPr>
          <w:rFonts w:ascii="Verdana" w:hAnsi="Verdana"/>
          <w:sz w:val="20"/>
          <w:szCs w:val="20"/>
          <w:lang w:val="fr-FR"/>
        </w:rPr>
        <w:t>’</w:t>
      </w:r>
      <w:r w:rsidRPr="00F91E05">
        <w:rPr>
          <w:rFonts w:ascii="Verdana" w:hAnsi="Verdana"/>
          <w:sz w:val="20"/>
          <w:szCs w:val="20"/>
          <w:lang w:val="fr-FR"/>
        </w:rPr>
        <w:t>harmoniser les activités entre les deux programmes connexes et d</w:t>
      </w:r>
      <w:r w:rsidR="00B34E4F">
        <w:rPr>
          <w:rFonts w:ascii="Verdana" w:hAnsi="Verdana"/>
          <w:sz w:val="20"/>
          <w:szCs w:val="20"/>
          <w:lang w:val="fr-FR"/>
        </w:rPr>
        <w:t>’</w:t>
      </w:r>
      <w:r w:rsidRPr="00F91E05">
        <w:rPr>
          <w:rFonts w:ascii="Verdana" w:hAnsi="Verdana"/>
          <w:sz w:val="20"/>
          <w:szCs w:val="20"/>
          <w:lang w:val="fr-FR"/>
        </w:rPr>
        <w:t xml:space="preserve">échanger des connaissances et du savoir-faire. </w:t>
      </w:r>
    </w:p>
    <w:p w14:paraId="279409A9" w14:textId="143A7DF3" w:rsidR="0016755A" w:rsidRPr="001B7E76" w:rsidRDefault="0016755A" w:rsidP="00BF45FD">
      <w:pPr>
        <w:spacing w:before="240" w:after="240"/>
        <w:ind w:left="567" w:hanging="567"/>
        <w:jc w:val="left"/>
        <w:rPr>
          <w:iCs/>
          <w:lang w:val="fr-FR"/>
        </w:rPr>
      </w:pPr>
      <w:r w:rsidRPr="00F91E05">
        <w:rPr>
          <w:b/>
          <w:bCs/>
          <w:lang w:val="fr-FR"/>
        </w:rPr>
        <w:t>2)</w:t>
      </w:r>
      <w:r w:rsidR="00B85085">
        <w:rPr>
          <w:b/>
          <w:bCs/>
          <w:lang w:val="fr-FR"/>
        </w:rPr>
        <w:tab/>
      </w:r>
      <w:r w:rsidRPr="00F91E05">
        <w:rPr>
          <w:b/>
          <w:bCs/>
          <w:lang w:val="fr-FR"/>
        </w:rPr>
        <w:t>Organismes de coparrainage</w:t>
      </w:r>
    </w:p>
    <w:p w14:paraId="75435B74" w14:textId="55A53282" w:rsidR="0016755A" w:rsidRDefault="0016755A" w:rsidP="00BB6262">
      <w:pPr>
        <w:spacing w:before="240" w:after="240"/>
        <w:jc w:val="left"/>
        <w:rPr>
          <w:lang w:val="fr-FR"/>
        </w:rPr>
      </w:pPr>
      <w:r>
        <w:rPr>
          <w:lang w:val="fr-FR"/>
        </w:rPr>
        <w:t>Toute organisation ayant une portée déclarée et des activités substantielles sur les questions de gestion de la chaleur extrême est invitée à devenir une organisation de coparrainage. Les organisations de coparrainage doivent avoir un mandat compatible qui reflète les besoins et les valeurs du Réseau; ne présente pas de conflits d</w:t>
      </w:r>
      <w:r w:rsidR="00B34E4F">
        <w:rPr>
          <w:lang w:val="fr-FR"/>
        </w:rPr>
        <w:t>’</w:t>
      </w:r>
      <w:r>
        <w:rPr>
          <w:lang w:val="fr-FR"/>
        </w:rPr>
        <w:t>intérêts avec le mandat et les objectifs du Réseau, et est prêt à contribuer au moins à l</w:t>
      </w:r>
      <w:r w:rsidR="00B34E4F">
        <w:rPr>
          <w:lang w:val="fr-FR"/>
        </w:rPr>
        <w:t>’</w:t>
      </w:r>
      <w:r>
        <w:rPr>
          <w:lang w:val="fr-FR"/>
        </w:rPr>
        <w:t xml:space="preserve">un des engagements financiers minimums suivants: </w:t>
      </w:r>
    </w:p>
    <w:p w14:paraId="78CCE460" w14:textId="3B380039" w:rsidR="009A7954" w:rsidRDefault="009A7954" w:rsidP="009A7954">
      <w:pPr>
        <w:spacing w:before="120" w:after="120"/>
        <w:ind w:left="1134" w:right="-170" w:hanging="567"/>
        <w:jc w:val="left"/>
        <w:rPr>
          <w:rFonts w:eastAsia="Times New Roman" w:cstheme="majorBidi"/>
          <w:lang w:val="fr-FR"/>
        </w:rPr>
      </w:pPr>
      <w:r w:rsidRPr="009A7954">
        <w:rPr>
          <w:rFonts w:eastAsia="Times New Roman" w:cstheme="majorBidi"/>
          <w:lang w:val="fr-FR"/>
        </w:rPr>
        <w:t>•</w:t>
      </w:r>
      <w:r w:rsidRPr="009A7954">
        <w:rPr>
          <w:rFonts w:eastAsia="Times New Roman" w:cstheme="majorBidi"/>
          <w:lang w:val="fr-FR"/>
        </w:rPr>
        <w:tab/>
        <w:t>Personnel détaché, ou consultant spécialisé contribuant en nature pour venir en appui à la TSU;</w:t>
      </w:r>
    </w:p>
    <w:p w14:paraId="2645CB60" w14:textId="635B258A" w:rsidR="0016755A" w:rsidRPr="00DD28CE" w:rsidRDefault="009A7954" w:rsidP="009A7954">
      <w:pPr>
        <w:spacing w:before="120" w:after="120"/>
        <w:ind w:left="1134" w:right="-170" w:hanging="567"/>
        <w:jc w:val="left"/>
        <w:rPr>
          <w:rFonts w:eastAsia="Times New Roman" w:cstheme="majorBidi"/>
          <w:lang w:val="fr-FR"/>
        </w:rPr>
      </w:pPr>
      <w:r w:rsidRPr="009A7954">
        <w:rPr>
          <w:lang w:val="fr-FR"/>
        </w:rPr>
        <w:t>•</w:t>
      </w:r>
      <w:r w:rsidRPr="009A7954">
        <w:rPr>
          <w:lang w:val="fr-FR"/>
        </w:rPr>
        <w:tab/>
      </w:r>
      <w:r w:rsidR="0016755A">
        <w:rPr>
          <w:lang w:val="fr-FR"/>
        </w:rPr>
        <w:t xml:space="preserve">Soutien financier au Fonds fiduciaire du </w:t>
      </w:r>
      <w:proofErr w:type="spellStart"/>
      <w:r w:rsidR="0016755A">
        <w:rPr>
          <w:lang w:val="fr-FR"/>
        </w:rPr>
        <w:t>GHHIN</w:t>
      </w:r>
      <w:proofErr w:type="spellEnd"/>
      <w:r w:rsidR="0016755A">
        <w:rPr>
          <w:lang w:val="fr-FR"/>
        </w:rPr>
        <w:t xml:space="preserve"> (supérieur à 75</w:t>
      </w:r>
      <w:r w:rsidR="008618D8">
        <w:rPr>
          <w:lang w:val="fr-FR"/>
        </w:rPr>
        <w:t> </w:t>
      </w:r>
      <w:r w:rsidR="0016755A">
        <w:rPr>
          <w:lang w:val="fr-FR"/>
        </w:rPr>
        <w:t>000 CHF par an) ou par des contributions financières directes aux projets du Réseau (également supérieures à 75</w:t>
      </w:r>
      <w:r w:rsidR="008618D8">
        <w:rPr>
          <w:lang w:val="fr-FR"/>
        </w:rPr>
        <w:t> </w:t>
      </w:r>
      <w:r w:rsidR="0016755A">
        <w:rPr>
          <w:lang w:val="fr-FR"/>
        </w:rPr>
        <w:t xml:space="preserve">000 CHF par an). </w:t>
      </w:r>
    </w:p>
    <w:p w14:paraId="5E97D8DF" w14:textId="77777777" w:rsidR="0016755A" w:rsidRPr="00DD28CE" w:rsidRDefault="0016755A" w:rsidP="00BB6262">
      <w:pPr>
        <w:spacing w:before="240" w:after="240"/>
        <w:jc w:val="left"/>
        <w:rPr>
          <w:rFonts w:eastAsia="Times New Roman" w:cstheme="majorBidi"/>
          <w:lang w:val="fr-FR"/>
        </w:rPr>
      </w:pPr>
      <w:r>
        <w:rPr>
          <w:lang w:val="fr-FR"/>
        </w:rPr>
        <w:t>Les organismes de coparrainage acceptent de se mettre directement en contact les uns avec les autres sur les initiatives internationales liées à la chaleur, et de partager des informations sur les initiatives régionales, nationales et locales pertinentes pour le Réseau.</w:t>
      </w:r>
    </w:p>
    <w:p w14:paraId="0267C94B" w14:textId="18CF2123" w:rsidR="0016755A" w:rsidRPr="00DD28CE" w:rsidRDefault="0016755A" w:rsidP="00BB6262">
      <w:pPr>
        <w:spacing w:before="240" w:after="240"/>
        <w:jc w:val="left"/>
        <w:rPr>
          <w:rFonts w:eastAsia="Times New Roman" w:cstheme="majorBidi"/>
          <w:lang w:val="fr-FR"/>
        </w:rPr>
      </w:pPr>
      <w:r>
        <w:rPr>
          <w:lang w:val="fr-FR"/>
        </w:rPr>
        <w:t>Le niveau et l</w:t>
      </w:r>
      <w:r w:rsidR="00B34E4F">
        <w:rPr>
          <w:lang w:val="fr-FR"/>
        </w:rPr>
        <w:t>’</w:t>
      </w:r>
      <w:r>
        <w:rPr>
          <w:lang w:val="fr-FR"/>
        </w:rPr>
        <w:t>étendue des contributions en nature des partenaires de coparrainage (et contributeurs) sont déterminés dans la lettre d</w:t>
      </w:r>
      <w:r w:rsidR="00B34E4F">
        <w:rPr>
          <w:lang w:val="fr-FR"/>
        </w:rPr>
        <w:t>’</w:t>
      </w:r>
      <w:r>
        <w:rPr>
          <w:lang w:val="fr-FR"/>
        </w:rPr>
        <w:t>engagement signée par chacun d</w:t>
      </w:r>
      <w:r w:rsidR="00B34E4F">
        <w:rPr>
          <w:lang w:val="fr-FR"/>
        </w:rPr>
        <w:t>’</w:t>
      </w:r>
      <w:r>
        <w:rPr>
          <w:lang w:val="fr-FR"/>
        </w:rPr>
        <w:t xml:space="preserve">eux et feront </w:t>
      </w:r>
      <w:r>
        <w:rPr>
          <w:lang w:val="fr-FR"/>
        </w:rPr>
        <w:lastRenderedPageBreak/>
        <w:t>l</w:t>
      </w:r>
      <w:r w:rsidR="00B34E4F">
        <w:rPr>
          <w:lang w:val="fr-FR"/>
        </w:rPr>
        <w:t>’</w:t>
      </w:r>
      <w:r>
        <w:rPr>
          <w:lang w:val="fr-FR"/>
        </w:rPr>
        <w:t>objet d</w:t>
      </w:r>
      <w:r w:rsidR="00B34E4F">
        <w:rPr>
          <w:lang w:val="fr-FR"/>
        </w:rPr>
        <w:t>’</w:t>
      </w:r>
      <w:r>
        <w:rPr>
          <w:lang w:val="fr-FR"/>
        </w:rPr>
        <w:t xml:space="preserve">un rapport annuel au Comité de gestion. Les contributions directes au fonctionnement du réseau apportées par les contributeurs ou les </w:t>
      </w:r>
      <w:proofErr w:type="spellStart"/>
      <w:r>
        <w:rPr>
          <w:lang w:val="fr-FR"/>
        </w:rPr>
        <w:t>coparrains</w:t>
      </w:r>
      <w:proofErr w:type="spellEnd"/>
      <w:r>
        <w:rPr>
          <w:lang w:val="fr-FR"/>
        </w:rPr>
        <w:t xml:space="preserve"> seront conservées dans une ligne budgétaire spécifique au sein d</w:t>
      </w:r>
      <w:r w:rsidR="00B34E4F">
        <w:rPr>
          <w:lang w:val="fr-FR"/>
        </w:rPr>
        <w:t>’</w:t>
      </w:r>
      <w:r>
        <w:rPr>
          <w:lang w:val="fr-FR"/>
        </w:rPr>
        <w:t>un fonds d</w:t>
      </w:r>
      <w:r w:rsidR="00B34E4F">
        <w:rPr>
          <w:lang w:val="fr-FR"/>
        </w:rPr>
        <w:t>’</w:t>
      </w:r>
      <w:r>
        <w:rPr>
          <w:lang w:val="fr-FR"/>
        </w:rPr>
        <w:t>affectation spéciale et gérées conformément aux règles financières de l</w:t>
      </w:r>
      <w:r w:rsidR="00B34E4F">
        <w:rPr>
          <w:lang w:val="fr-FR"/>
        </w:rPr>
        <w:t>’</w:t>
      </w:r>
      <w:r>
        <w:rPr>
          <w:lang w:val="fr-FR"/>
        </w:rPr>
        <w:t>OMM.</w:t>
      </w:r>
      <w:r w:rsidR="00807EF1">
        <w:rPr>
          <w:lang w:val="fr-FR"/>
        </w:rPr>
        <w:t xml:space="preserve"> </w:t>
      </w:r>
    </w:p>
    <w:p w14:paraId="62A1F366" w14:textId="66CF9A64" w:rsidR="0016755A" w:rsidRPr="00DD28CE" w:rsidRDefault="0016755A" w:rsidP="00BB6262">
      <w:pPr>
        <w:spacing w:before="240" w:after="240"/>
        <w:jc w:val="left"/>
        <w:rPr>
          <w:rFonts w:eastAsia="Times New Roman" w:cstheme="majorBidi"/>
          <w:lang w:val="fr-FR"/>
        </w:rPr>
      </w:pPr>
      <w:r>
        <w:rPr>
          <w:lang w:val="fr-FR"/>
        </w:rPr>
        <w:t xml:space="preserve">Il est recommandé aux organisations qui envisagent de devenir une institution de coparrainage </w:t>
      </w:r>
      <w:r w:rsidRPr="00807EF1">
        <w:rPr>
          <w:lang w:val="fr-FR"/>
        </w:rPr>
        <w:t>de le faire pour une période d</w:t>
      </w:r>
      <w:r w:rsidR="00B34E4F" w:rsidRPr="00807EF1">
        <w:rPr>
          <w:lang w:val="fr-FR"/>
        </w:rPr>
        <w:t>’</w:t>
      </w:r>
      <w:r w:rsidRPr="00807EF1">
        <w:rPr>
          <w:lang w:val="fr-FR"/>
        </w:rPr>
        <w:t>au moins deux ans en respectant les engagements ci-dessus. Il</w:t>
      </w:r>
      <w:r>
        <w:rPr>
          <w:lang w:val="fr-FR"/>
        </w:rPr>
        <w:t xml:space="preserve"> est reconnu que les organisations de coparrainage (et collaboratrices) conservent le droit de s</w:t>
      </w:r>
      <w:r w:rsidR="00B34E4F">
        <w:rPr>
          <w:lang w:val="fr-FR"/>
        </w:rPr>
        <w:t>’</w:t>
      </w:r>
      <w:r>
        <w:rPr>
          <w:lang w:val="fr-FR"/>
        </w:rPr>
        <w:t>engager dans leurs propres projets régionaux, nationaux ou locaux, seuls ou en coordination avec d</w:t>
      </w:r>
      <w:r w:rsidR="00B34E4F">
        <w:rPr>
          <w:lang w:val="fr-FR"/>
        </w:rPr>
        <w:t>’</w:t>
      </w:r>
      <w:r>
        <w:rPr>
          <w:lang w:val="fr-FR"/>
        </w:rPr>
        <w:t xml:space="preserve">autres partenaires du Réseau. </w:t>
      </w:r>
    </w:p>
    <w:p w14:paraId="7A036FE3" w14:textId="39844D66" w:rsidR="0016755A" w:rsidRPr="00DD28CE" w:rsidRDefault="0016755A" w:rsidP="00BB6262">
      <w:pPr>
        <w:spacing w:before="240" w:after="240"/>
        <w:jc w:val="left"/>
        <w:rPr>
          <w:rFonts w:eastAsia="Times New Roman" w:cstheme="majorBidi"/>
          <w:lang w:val="fr-FR"/>
        </w:rPr>
      </w:pPr>
      <w:r>
        <w:rPr>
          <w:lang w:val="fr-FR"/>
        </w:rPr>
        <w:t>Toutes les organisations de coparrainage ont le droit d</w:t>
      </w:r>
      <w:r w:rsidR="00B34E4F">
        <w:rPr>
          <w:lang w:val="fr-FR"/>
        </w:rPr>
        <w:t>’</w:t>
      </w:r>
      <w:r>
        <w:rPr>
          <w:lang w:val="fr-FR"/>
        </w:rPr>
        <w:t>être représentées au sein du Comité de gestion du Réseau. Si elles souhaitent se retirer du Réseau, un préavis de 6 mois est nécessaire. Un préavis de 6 mois de résiliation du statut sera également donné si une telle organisation cesse d</w:t>
      </w:r>
      <w:r w:rsidR="00B34E4F">
        <w:rPr>
          <w:lang w:val="fr-FR"/>
        </w:rPr>
        <w:t>’</w:t>
      </w:r>
      <w:r>
        <w:rPr>
          <w:lang w:val="fr-FR"/>
        </w:rPr>
        <w:t>apporter ses contributions en nature ou financières ou ne respecte pas l</w:t>
      </w:r>
      <w:r w:rsidR="00B34E4F">
        <w:rPr>
          <w:lang w:val="fr-FR"/>
        </w:rPr>
        <w:t>’</w:t>
      </w:r>
      <w:r>
        <w:rPr>
          <w:lang w:val="fr-FR"/>
        </w:rPr>
        <w:t xml:space="preserve">esprit de son appartenance au réseau, par exemple en ne partageant pas les informations sur les initiatives régionales, nationales ou locales de gestion de la chaleur. </w:t>
      </w:r>
    </w:p>
    <w:p w14:paraId="1BFF524D" w14:textId="20507F1D" w:rsidR="0016755A" w:rsidRPr="009A7954" w:rsidRDefault="00FC0631" w:rsidP="009A7954">
      <w:pPr>
        <w:spacing w:before="240" w:after="240"/>
        <w:ind w:left="567" w:hanging="567"/>
        <w:jc w:val="left"/>
        <w:rPr>
          <w:b/>
          <w:bCs/>
          <w:lang w:val="fr-FR"/>
        </w:rPr>
      </w:pPr>
      <w:r>
        <w:rPr>
          <w:b/>
          <w:bCs/>
          <w:lang w:val="fr-FR"/>
        </w:rPr>
        <w:t>3)</w:t>
      </w:r>
      <w:r w:rsidR="009A7954">
        <w:rPr>
          <w:b/>
          <w:bCs/>
          <w:lang w:val="fr-FR"/>
        </w:rPr>
        <w:tab/>
      </w:r>
      <w:r>
        <w:rPr>
          <w:b/>
          <w:bCs/>
          <w:lang w:val="fr-FR"/>
        </w:rPr>
        <w:t>Partenaires contributeurs</w:t>
      </w:r>
    </w:p>
    <w:p w14:paraId="2D0521AD" w14:textId="4A80FF89" w:rsidR="0016755A" w:rsidRPr="00DD28CE" w:rsidRDefault="0016755A" w:rsidP="00BB6262">
      <w:pPr>
        <w:spacing w:before="240" w:after="240"/>
        <w:jc w:val="left"/>
        <w:rPr>
          <w:rFonts w:eastAsia="Times New Roman" w:cstheme="majorBidi"/>
          <w:lang w:val="fr-FR"/>
        </w:rPr>
      </w:pPr>
      <w:r>
        <w:rPr>
          <w:lang w:val="fr-FR"/>
        </w:rPr>
        <w:t>Le Réseau vise à rassembler et à tirer parti de l</w:t>
      </w:r>
      <w:r w:rsidR="00B34E4F">
        <w:rPr>
          <w:lang w:val="fr-FR"/>
        </w:rPr>
        <w:t>’</w:t>
      </w:r>
      <w:r>
        <w:rPr>
          <w:lang w:val="fr-FR"/>
        </w:rPr>
        <w:t>apprentissage et des activités d</w:t>
      </w:r>
      <w:r w:rsidR="00B34E4F">
        <w:rPr>
          <w:lang w:val="fr-FR"/>
        </w:rPr>
        <w:t>’</w:t>
      </w:r>
      <w:r>
        <w:rPr>
          <w:lang w:val="fr-FR"/>
        </w:rPr>
        <w:t>organisations multidisciplinaires travaillant sur la gestion des risques thermiques et les questions d</w:t>
      </w:r>
      <w:r w:rsidR="00B34E4F">
        <w:rPr>
          <w:lang w:val="fr-FR"/>
        </w:rPr>
        <w:t>’</w:t>
      </w:r>
      <w:r>
        <w:rPr>
          <w:lang w:val="fr-FR"/>
        </w:rPr>
        <w:t xml:space="preserve">adaptation à partir de différentes perspectives dans le monde entier. Les institutions contribuant au Réseau, connues sous le nom de partenaires contributeurs, </w:t>
      </w:r>
      <w:r w:rsidRPr="0015461C">
        <w:rPr>
          <w:b/>
          <w:bCs/>
          <w:lang w:val="fr-FR"/>
        </w:rPr>
        <w:t>indiquent qu</w:t>
      </w:r>
      <w:r w:rsidR="00B34E4F">
        <w:rPr>
          <w:b/>
          <w:bCs/>
          <w:lang w:val="fr-FR"/>
        </w:rPr>
        <w:t>’</w:t>
      </w:r>
      <w:r w:rsidRPr="0015461C">
        <w:rPr>
          <w:b/>
          <w:bCs/>
          <w:lang w:val="fr-FR"/>
        </w:rPr>
        <w:t>elles sont prêtes à consacrer un minimum de 10 000 dollars des États-Unis en espèces OU en ressources humaines en nature par an</w:t>
      </w:r>
      <w:r>
        <w:rPr>
          <w:lang w:val="fr-FR"/>
        </w:rPr>
        <w:t>, sur une base volontaire, à la mise en œuvre de la coordination et/ou d</w:t>
      </w:r>
      <w:r w:rsidR="00B34E4F">
        <w:rPr>
          <w:lang w:val="fr-FR"/>
        </w:rPr>
        <w:t>’</w:t>
      </w:r>
      <w:r>
        <w:rPr>
          <w:lang w:val="fr-FR"/>
        </w:rPr>
        <w:t xml:space="preserve">activités et de projets spécifiques. </w:t>
      </w:r>
    </w:p>
    <w:p w14:paraId="38E9AB30" w14:textId="23C46B76" w:rsidR="0016755A" w:rsidRPr="00DD28CE" w:rsidRDefault="0016755A" w:rsidP="00BB6262">
      <w:pPr>
        <w:spacing w:before="240" w:after="240"/>
        <w:jc w:val="left"/>
        <w:rPr>
          <w:rFonts w:eastAsia="Times New Roman" w:cstheme="majorBidi"/>
          <w:lang w:val="fr-FR"/>
        </w:rPr>
      </w:pPr>
      <w:r>
        <w:rPr>
          <w:lang w:val="fr-FR"/>
        </w:rPr>
        <w:t>Les institutions qui souhaitent apporter leur expertise et des activités financées et mises en œuvre de manière indépendante au réseau peuvent devenir des partenaires contributeurs. Le partenariat avec le Réseau est ouvert à toutes les institutions dont la mission est conforme aux concepts de base et aux objectifs du Cadre d</w:t>
      </w:r>
      <w:r w:rsidR="00B34E4F">
        <w:rPr>
          <w:lang w:val="fr-FR"/>
        </w:rPr>
        <w:t>’</w:t>
      </w:r>
      <w:r>
        <w:rPr>
          <w:lang w:val="fr-FR"/>
        </w:rPr>
        <w:t>action intégré en matière d</w:t>
      </w:r>
      <w:r w:rsidR="00B34E4F">
        <w:rPr>
          <w:lang w:val="fr-FR"/>
        </w:rPr>
        <w:t>’</w:t>
      </w:r>
      <w:r>
        <w:rPr>
          <w:lang w:val="fr-FR"/>
        </w:rPr>
        <w:t>effets sanitaires de la chaleur, qui n</w:t>
      </w:r>
      <w:r w:rsidR="00B34E4F">
        <w:rPr>
          <w:lang w:val="fr-FR"/>
        </w:rPr>
        <w:t>’</w:t>
      </w:r>
      <w:r>
        <w:rPr>
          <w:lang w:val="fr-FR"/>
        </w:rPr>
        <w:t>ont pas de conflits d</w:t>
      </w:r>
      <w:r w:rsidR="00B34E4F">
        <w:rPr>
          <w:lang w:val="fr-FR"/>
        </w:rPr>
        <w:t>’</w:t>
      </w:r>
      <w:r>
        <w:rPr>
          <w:lang w:val="fr-FR"/>
        </w:rPr>
        <w:t>intérêts déclarés avec la mission du Réseau, qui acceptent les principes de bonnes pratiques et de partenariat (annexe 3) et qui sont disposées à travailler ensemble pour atteindre les objectifs du Réseau.</w:t>
      </w:r>
      <w:r w:rsidR="00807EF1">
        <w:rPr>
          <w:lang w:val="fr-FR"/>
        </w:rPr>
        <w:t xml:space="preserve"> </w:t>
      </w:r>
    </w:p>
    <w:p w14:paraId="775912E5" w14:textId="688170CF" w:rsidR="0016755A" w:rsidRPr="00DD28CE" w:rsidRDefault="0016755A" w:rsidP="00BB6262">
      <w:pPr>
        <w:spacing w:before="240" w:after="240"/>
        <w:jc w:val="left"/>
        <w:rPr>
          <w:rFonts w:eastAsia="Times New Roman" w:cstheme="majorBidi"/>
          <w:lang w:val="fr-FR"/>
        </w:rPr>
      </w:pPr>
      <w:r>
        <w:rPr>
          <w:lang w:val="fr-FR"/>
        </w:rPr>
        <w:t>Une lettre d</w:t>
      </w:r>
      <w:r w:rsidR="00B34E4F">
        <w:rPr>
          <w:lang w:val="fr-FR"/>
        </w:rPr>
        <w:t>’</w:t>
      </w:r>
      <w:r>
        <w:rPr>
          <w:lang w:val="fr-FR"/>
        </w:rPr>
        <w:t>accord écrite pour devenir un partenaire contributeur décrira l</w:t>
      </w:r>
      <w:r w:rsidR="00B34E4F">
        <w:rPr>
          <w:lang w:val="fr-FR"/>
        </w:rPr>
        <w:t>’</w:t>
      </w:r>
      <w:r>
        <w:rPr>
          <w:lang w:val="fr-FR"/>
        </w:rPr>
        <w:t>agence partenaire, y compris la portée et la mission, le type d</w:t>
      </w:r>
      <w:r w:rsidR="00B34E4F">
        <w:rPr>
          <w:lang w:val="fr-FR"/>
        </w:rPr>
        <w:t>’</w:t>
      </w:r>
      <w:r>
        <w:rPr>
          <w:lang w:val="fr-FR"/>
        </w:rPr>
        <w:t>organisation, les domaines d</w:t>
      </w:r>
      <w:r w:rsidR="00B34E4F">
        <w:rPr>
          <w:lang w:val="fr-FR"/>
        </w:rPr>
        <w:t>’</w:t>
      </w:r>
      <w:r>
        <w:rPr>
          <w:lang w:val="fr-FR"/>
        </w:rPr>
        <w:t>expertise. Cette lettre indiquera que le partenaire contributeur est prêt à consacrer des activités ou une quantité prédéfinie de capacités en ressources humaines en nature (sur une base volontaire) pour contribuer aux activités conformément à la capacité spécialisée du partenaire contributeur respectif. Les principaux domaines d</w:t>
      </w:r>
      <w:r w:rsidR="00B34E4F">
        <w:rPr>
          <w:lang w:val="fr-FR"/>
        </w:rPr>
        <w:t>’</w:t>
      </w:r>
      <w:r>
        <w:rPr>
          <w:lang w:val="fr-FR"/>
        </w:rPr>
        <w:t>activité dans lesquels les partenaires contributeurs peuvent s</w:t>
      </w:r>
      <w:r w:rsidR="00B34E4F">
        <w:rPr>
          <w:lang w:val="fr-FR"/>
        </w:rPr>
        <w:t>’</w:t>
      </w:r>
      <w:r>
        <w:rPr>
          <w:lang w:val="fr-FR"/>
        </w:rPr>
        <w:t>engager pour soutenir une action intégrée en matière d</w:t>
      </w:r>
      <w:r w:rsidR="00B34E4F">
        <w:rPr>
          <w:lang w:val="fr-FR"/>
        </w:rPr>
        <w:t>’</w:t>
      </w:r>
      <w:r>
        <w:rPr>
          <w:lang w:val="fr-FR"/>
        </w:rPr>
        <w:t xml:space="preserve">effets sanitaires de la chaleur sont les suivants: </w:t>
      </w:r>
    </w:p>
    <w:p w14:paraId="4D2476A9" w14:textId="77777777" w:rsidR="009A7954" w:rsidRPr="00A718EF" w:rsidRDefault="0016755A" w:rsidP="009A7954">
      <w:pPr>
        <w:pStyle w:val="ListParagraph"/>
        <w:numPr>
          <w:ilvl w:val="0"/>
          <w:numId w:val="17"/>
        </w:numPr>
        <w:spacing w:before="120" w:after="120" w:line="240" w:lineRule="auto"/>
        <w:ind w:left="1134" w:hanging="567"/>
        <w:contextualSpacing w:val="0"/>
        <w:rPr>
          <w:rFonts w:ascii="Verdana" w:eastAsia="Arial" w:hAnsi="Verdana" w:cs="Arial"/>
          <w:sz w:val="20"/>
          <w:szCs w:val="20"/>
          <w:lang w:val="fr-FR"/>
        </w:rPr>
      </w:pPr>
      <w:r w:rsidRPr="009A7954">
        <w:rPr>
          <w:rFonts w:ascii="Verdana" w:hAnsi="Verdana"/>
          <w:sz w:val="20"/>
          <w:szCs w:val="20"/>
          <w:lang w:val="fr-FR"/>
        </w:rPr>
        <w:t xml:space="preserve">Piloter et mettre en œuvre la science, les services publics et les interventions liés à la chaleur extrême et à la santé, et/ou diriger des activités de recherche approuvées et contribuant au Réseau; </w:t>
      </w:r>
    </w:p>
    <w:p w14:paraId="67351BE1" w14:textId="0AE902C5" w:rsidR="0016755A" w:rsidRPr="009A7954" w:rsidRDefault="0016755A" w:rsidP="009A7954">
      <w:pPr>
        <w:pStyle w:val="ListParagraph"/>
        <w:numPr>
          <w:ilvl w:val="0"/>
          <w:numId w:val="17"/>
        </w:numPr>
        <w:spacing w:before="120" w:after="120" w:line="240" w:lineRule="auto"/>
        <w:ind w:left="1134" w:hanging="567"/>
        <w:contextualSpacing w:val="0"/>
        <w:rPr>
          <w:rFonts w:ascii="Verdana" w:hAnsi="Verdana"/>
          <w:sz w:val="20"/>
          <w:szCs w:val="20"/>
          <w:lang w:val="fr-FR"/>
        </w:rPr>
      </w:pPr>
      <w:r w:rsidRPr="009A7954">
        <w:rPr>
          <w:rFonts w:ascii="Verdana" w:eastAsia="Arial" w:hAnsi="Verdana" w:cs="Arial"/>
          <w:sz w:val="20"/>
          <w:szCs w:val="20"/>
          <w:lang w:val="fr-FR"/>
        </w:rPr>
        <w:t>Conseil et plaidoyer de haut niveau pour la formulation de politiques et de stratégies de g</w:t>
      </w:r>
      <w:r w:rsidRPr="009A7954">
        <w:rPr>
          <w:rFonts w:ascii="Verdana" w:hAnsi="Verdana"/>
          <w:sz w:val="20"/>
          <w:szCs w:val="20"/>
          <w:lang w:val="fr-FR"/>
        </w:rPr>
        <w:t>estion de la chaleur;</w:t>
      </w:r>
    </w:p>
    <w:p w14:paraId="7B7B8776" w14:textId="667BEC67" w:rsidR="0016755A" w:rsidRPr="009A7954" w:rsidRDefault="0016755A" w:rsidP="009A7954">
      <w:pPr>
        <w:pStyle w:val="ListParagraph"/>
        <w:numPr>
          <w:ilvl w:val="0"/>
          <w:numId w:val="17"/>
        </w:numPr>
        <w:spacing w:before="120" w:after="120" w:line="240" w:lineRule="auto"/>
        <w:ind w:left="1134" w:hanging="567"/>
        <w:contextualSpacing w:val="0"/>
        <w:rPr>
          <w:rFonts w:ascii="Verdana" w:hAnsi="Verdana"/>
          <w:sz w:val="20"/>
          <w:szCs w:val="20"/>
          <w:lang w:val="fr-FR"/>
        </w:rPr>
      </w:pPr>
      <w:r w:rsidRPr="009A7954">
        <w:rPr>
          <w:rFonts w:ascii="Verdana" w:hAnsi="Verdana"/>
          <w:sz w:val="20"/>
          <w:szCs w:val="20"/>
          <w:lang w:val="fr-FR"/>
        </w:rPr>
        <w:t>Élaboration, saisie et révision de documents techniques, d</w:t>
      </w:r>
      <w:r w:rsidR="00B34E4F">
        <w:rPr>
          <w:rFonts w:ascii="Verdana" w:hAnsi="Verdana"/>
          <w:sz w:val="20"/>
          <w:szCs w:val="20"/>
          <w:lang w:val="fr-FR"/>
        </w:rPr>
        <w:t>’</w:t>
      </w:r>
      <w:r w:rsidRPr="009A7954">
        <w:rPr>
          <w:rFonts w:ascii="Verdana" w:hAnsi="Verdana"/>
          <w:sz w:val="20"/>
          <w:szCs w:val="20"/>
          <w:lang w:val="fr-FR"/>
        </w:rPr>
        <w:t>outils de gestion de la chaleur, de lignes directrices et de comm</w:t>
      </w:r>
      <w:r w:rsidRPr="0015461C">
        <w:rPr>
          <w:rFonts w:ascii="Verdana" w:hAnsi="Verdana"/>
          <w:sz w:val="20"/>
          <w:szCs w:val="20"/>
          <w:lang w:val="fr-FR"/>
        </w:rPr>
        <w:t>unications;</w:t>
      </w:r>
      <w:r w:rsidR="00807EF1">
        <w:rPr>
          <w:rFonts w:ascii="Verdana" w:hAnsi="Verdana"/>
          <w:sz w:val="20"/>
          <w:szCs w:val="20"/>
          <w:lang w:val="fr-FR"/>
        </w:rPr>
        <w:t xml:space="preserve"> </w:t>
      </w:r>
      <w:r w:rsidRPr="0015461C">
        <w:rPr>
          <w:rFonts w:ascii="Verdana" w:hAnsi="Verdana"/>
          <w:sz w:val="20"/>
          <w:szCs w:val="20"/>
          <w:lang w:val="fr-FR"/>
        </w:rPr>
        <w:t xml:space="preserve"> </w:t>
      </w:r>
    </w:p>
    <w:p w14:paraId="4D08BC51" w14:textId="1D1BDA50" w:rsidR="0016755A" w:rsidRPr="0015461C" w:rsidRDefault="0016755A" w:rsidP="009A7954">
      <w:pPr>
        <w:pStyle w:val="ListParagraph"/>
        <w:numPr>
          <w:ilvl w:val="0"/>
          <w:numId w:val="17"/>
        </w:numPr>
        <w:spacing w:before="120" w:after="120" w:line="240" w:lineRule="auto"/>
        <w:ind w:left="1134" w:hanging="567"/>
        <w:contextualSpacing w:val="0"/>
        <w:rPr>
          <w:rFonts w:ascii="Verdana" w:eastAsiaTheme="minorEastAsia" w:hAnsi="Verdana"/>
          <w:sz w:val="18"/>
          <w:szCs w:val="18"/>
          <w:lang w:val="fr-FR"/>
        </w:rPr>
      </w:pPr>
      <w:r w:rsidRPr="0015461C">
        <w:rPr>
          <w:rFonts w:ascii="Verdana" w:hAnsi="Verdana"/>
          <w:sz w:val="20"/>
          <w:szCs w:val="20"/>
          <w:lang w:val="fr-FR"/>
        </w:rPr>
        <w:t>Développement et facilitation d</w:t>
      </w:r>
      <w:r w:rsidR="00B34E4F">
        <w:rPr>
          <w:rFonts w:ascii="Verdana" w:hAnsi="Verdana"/>
          <w:sz w:val="20"/>
          <w:szCs w:val="20"/>
          <w:lang w:val="fr-FR"/>
        </w:rPr>
        <w:t>’</w:t>
      </w:r>
      <w:r w:rsidRPr="0015461C">
        <w:rPr>
          <w:rFonts w:ascii="Verdana" w:hAnsi="Verdana"/>
          <w:sz w:val="20"/>
          <w:szCs w:val="20"/>
          <w:lang w:val="fr-FR"/>
        </w:rPr>
        <w:t>ateliers, de formations, de renforcement des compétences et d</w:t>
      </w:r>
      <w:r w:rsidR="00B34E4F">
        <w:rPr>
          <w:rFonts w:ascii="Verdana" w:hAnsi="Verdana"/>
          <w:sz w:val="20"/>
          <w:szCs w:val="20"/>
          <w:lang w:val="fr-FR"/>
        </w:rPr>
        <w:t>’</w:t>
      </w:r>
      <w:r w:rsidRPr="0015461C">
        <w:rPr>
          <w:rFonts w:ascii="Verdana" w:hAnsi="Verdana"/>
          <w:sz w:val="20"/>
          <w:szCs w:val="20"/>
          <w:lang w:val="fr-FR"/>
        </w:rPr>
        <w:t>options d</w:t>
      </w:r>
      <w:r w:rsidR="00B34E4F">
        <w:rPr>
          <w:rFonts w:ascii="Verdana" w:hAnsi="Verdana"/>
          <w:sz w:val="20"/>
          <w:szCs w:val="20"/>
          <w:lang w:val="fr-FR"/>
        </w:rPr>
        <w:t>’</w:t>
      </w:r>
      <w:r w:rsidRPr="0015461C">
        <w:rPr>
          <w:rFonts w:ascii="Verdana" w:hAnsi="Verdana"/>
          <w:sz w:val="20"/>
          <w:szCs w:val="20"/>
          <w:lang w:val="fr-FR"/>
        </w:rPr>
        <w:t xml:space="preserve">apprentissage en ligne pour le développement des capacités humaines; </w:t>
      </w:r>
    </w:p>
    <w:p w14:paraId="632D5267" w14:textId="73D18897" w:rsidR="0016755A" w:rsidRPr="00137BD9" w:rsidRDefault="0016755A" w:rsidP="00137BD9">
      <w:pPr>
        <w:pStyle w:val="ListParagraph"/>
        <w:numPr>
          <w:ilvl w:val="0"/>
          <w:numId w:val="17"/>
        </w:numPr>
        <w:spacing w:before="120" w:after="120" w:line="240" w:lineRule="auto"/>
        <w:ind w:left="1134" w:hanging="567"/>
        <w:contextualSpacing w:val="0"/>
        <w:rPr>
          <w:rFonts w:ascii="Verdana" w:eastAsiaTheme="minorEastAsia" w:hAnsi="Verdana"/>
          <w:sz w:val="18"/>
          <w:szCs w:val="18"/>
          <w:lang w:val="fr-FR"/>
        </w:rPr>
      </w:pPr>
      <w:r w:rsidRPr="0015461C">
        <w:rPr>
          <w:rFonts w:ascii="Verdana" w:hAnsi="Verdana"/>
          <w:sz w:val="20"/>
          <w:szCs w:val="20"/>
          <w:lang w:val="fr-FR"/>
        </w:rPr>
        <w:lastRenderedPageBreak/>
        <w:t>Conseils et formulation d</w:t>
      </w:r>
      <w:r w:rsidR="00B34E4F">
        <w:rPr>
          <w:rFonts w:ascii="Verdana" w:hAnsi="Verdana"/>
          <w:sz w:val="20"/>
          <w:szCs w:val="20"/>
          <w:lang w:val="fr-FR"/>
        </w:rPr>
        <w:t>’</w:t>
      </w:r>
      <w:r w:rsidRPr="0015461C">
        <w:rPr>
          <w:rFonts w:ascii="Verdana" w:hAnsi="Verdana"/>
          <w:sz w:val="20"/>
          <w:szCs w:val="20"/>
          <w:lang w:val="fr-FR"/>
        </w:rPr>
        <w:t>objectifs de haut niveau, de méthodes de détection et de mise en œuvr</w:t>
      </w:r>
      <w:r w:rsidRPr="00137BD9">
        <w:rPr>
          <w:rFonts w:ascii="Verdana" w:eastAsiaTheme="minorEastAsia" w:hAnsi="Verdana"/>
          <w:sz w:val="18"/>
          <w:szCs w:val="18"/>
          <w:lang w:val="fr-FR"/>
        </w:rPr>
        <w:t>e pour les interventions et les propositions de projets dans l</w:t>
      </w:r>
      <w:r w:rsidR="00B34E4F">
        <w:rPr>
          <w:rFonts w:ascii="Verdana" w:eastAsiaTheme="minorEastAsia" w:hAnsi="Verdana"/>
          <w:sz w:val="18"/>
          <w:szCs w:val="18"/>
          <w:lang w:val="fr-FR"/>
        </w:rPr>
        <w:t>’</w:t>
      </w:r>
      <w:r w:rsidRPr="00137BD9">
        <w:rPr>
          <w:rFonts w:ascii="Verdana" w:eastAsiaTheme="minorEastAsia" w:hAnsi="Verdana"/>
          <w:sz w:val="18"/>
          <w:szCs w:val="18"/>
          <w:lang w:val="fr-FR"/>
        </w:rPr>
        <w:t>ensemble du Réseau;</w:t>
      </w:r>
    </w:p>
    <w:p w14:paraId="5CBF3799" w14:textId="34926EE9" w:rsidR="0016755A" w:rsidRPr="0015461C" w:rsidRDefault="0016755A" w:rsidP="00137BD9">
      <w:pPr>
        <w:pStyle w:val="ListParagraph"/>
        <w:numPr>
          <w:ilvl w:val="0"/>
          <w:numId w:val="17"/>
        </w:numPr>
        <w:spacing w:before="120" w:after="120" w:line="240" w:lineRule="auto"/>
        <w:ind w:left="1134" w:hanging="567"/>
        <w:contextualSpacing w:val="0"/>
        <w:rPr>
          <w:rFonts w:ascii="Verdana" w:eastAsiaTheme="minorEastAsia" w:hAnsi="Verdana"/>
          <w:sz w:val="18"/>
          <w:szCs w:val="18"/>
          <w:lang w:val="fr-FR"/>
        </w:rPr>
      </w:pPr>
      <w:r w:rsidRPr="00137BD9">
        <w:rPr>
          <w:rFonts w:ascii="Verdana" w:eastAsiaTheme="minorEastAsia" w:hAnsi="Verdana"/>
          <w:sz w:val="18"/>
          <w:szCs w:val="18"/>
          <w:lang w:val="fr-FR"/>
        </w:rPr>
        <w:t>Faciliter les partenariats et les communications en matière de politique scientifique entre les acte</w:t>
      </w:r>
      <w:r w:rsidRPr="0015461C">
        <w:rPr>
          <w:rFonts w:ascii="Verdana" w:hAnsi="Verdana"/>
          <w:sz w:val="20"/>
          <w:szCs w:val="20"/>
          <w:lang w:val="fr-FR"/>
        </w:rPr>
        <w:t>urs concernés du gouvernement, des universités, du secteur privé et de la société civile, y compris les médias.</w:t>
      </w:r>
      <w:r w:rsidR="00807EF1">
        <w:rPr>
          <w:rFonts w:ascii="Verdana" w:hAnsi="Verdana"/>
          <w:sz w:val="20"/>
          <w:szCs w:val="20"/>
          <w:lang w:val="fr-FR"/>
        </w:rPr>
        <w:t xml:space="preserve"> </w:t>
      </w:r>
      <w:r w:rsidRPr="0015461C">
        <w:rPr>
          <w:rFonts w:ascii="Verdana" w:hAnsi="Verdana"/>
          <w:sz w:val="20"/>
          <w:szCs w:val="20"/>
          <w:lang w:val="fr-FR"/>
        </w:rPr>
        <w:t xml:space="preserve"> </w:t>
      </w:r>
    </w:p>
    <w:p w14:paraId="2EC4BDED" w14:textId="77777777" w:rsidR="0016755A" w:rsidRPr="00DD28CE" w:rsidRDefault="0016755A" w:rsidP="00BB6262">
      <w:pPr>
        <w:spacing w:before="240" w:after="240"/>
        <w:jc w:val="left"/>
        <w:rPr>
          <w:rFonts w:eastAsia="Times New Roman" w:cs="Times New Roman"/>
          <w:lang w:val="fr-FR"/>
        </w:rPr>
      </w:pPr>
      <w:r>
        <w:rPr>
          <w:lang w:val="fr-FR"/>
        </w:rPr>
        <w:t>Chaque partie est responsable de ses propres coûts pour ses activités dans le cadre du présent accord.</w:t>
      </w:r>
    </w:p>
    <w:p w14:paraId="4CB702AA" w14:textId="77777777" w:rsidR="0016755A" w:rsidRPr="00DD28CE" w:rsidRDefault="0016755A" w:rsidP="00BB6262">
      <w:pPr>
        <w:spacing w:before="240" w:after="240"/>
        <w:jc w:val="left"/>
        <w:rPr>
          <w:rFonts w:eastAsia="Times New Roman" w:cstheme="majorBidi"/>
          <w:lang w:val="fr-FR"/>
        </w:rPr>
      </w:pPr>
      <w:r>
        <w:rPr>
          <w:lang w:val="fr-FR"/>
        </w:rPr>
        <w:t xml:space="preserve">La lettre doit désigner un correspondant organisationnel, qui sera invité à participer au Groupe consultatif et à représenter le partenaire contributeur (voir ci-dessous). </w:t>
      </w:r>
    </w:p>
    <w:p w14:paraId="23EE1E3C" w14:textId="336B402B" w:rsidR="0016755A" w:rsidRPr="00DD28CE" w:rsidRDefault="0016755A" w:rsidP="00BB6262">
      <w:pPr>
        <w:spacing w:before="240" w:after="240"/>
        <w:jc w:val="left"/>
        <w:rPr>
          <w:rFonts w:eastAsia="Times New Roman" w:cstheme="majorBidi"/>
          <w:lang w:val="fr-FR"/>
        </w:rPr>
      </w:pPr>
      <w:r>
        <w:rPr>
          <w:lang w:val="fr-FR"/>
        </w:rPr>
        <w:t>Les contributions des organisations seront reconnues sur le site Web du Réseau et dans les activités auxquelles elles contribuent. Les partenaires contributeurs peuvent demander l</w:t>
      </w:r>
      <w:r w:rsidR="00B34E4F">
        <w:rPr>
          <w:lang w:val="fr-FR"/>
        </w:rPr>
        <w:t>’</w:t>
      </w:r>
      <w:r>
        <w:rPr>
          <w:lang w:val="fr-FR"/>
        </w:rPr>
        <w:t xml:space="preserve">approbation du Réseau par le Comité de gestion pour les projets qui contribuent aux objectifs du </w:t>
      </w:r>
      <w:proofErr w:type="spellStart"/>
      <w:r>
        <w:rPr>
          <w:lang w:val="fr-FR"/>
        </w:rPr>
        <w:t>GHHIN</w:t>
      </w:r>
      <w:proofErr w:type="spellEnd"/>
      <w:r>
        <w:rPr>
          <w:lang w:val="fr-FR"/>
        </w:rPr>
        <w:t xml:space="preserve"> par le biais d</w:t>
      </w:r>
      <w:r w:rsidR="00B34E4F">
        <w:rPr>
          <w:lang w:val="fr-FR"/>
        </w:rPr>
        <w:t>’</w:t>
      </w:r>
      <w:r>
        <w:rPr>
          <w:lang w:val="fr-FR"/>
        </w:rPr>
        <w:t>un formulaire en ligne.</w:t>
      </w:r>
    </w:p>
    <w:p w14:paraId="0EFE02BC" w14:textId="290DB65D" w:rsidR="0016755A" w:rsidRPr="00137BD9" w:rsidRDefault="0016755A" w:rsidP="00137BD9">
      <w:pPr>
        <w:spacing w:before="240" w:after="240"/>
        <w:ind w:left="567" w:hanging="567"/>
        <w:jc w:val="left"/>
        <w:rPr>
          <w:lang w:val="fr-FR"/>
        </w:rPr>
      </w:pPr>
      <w:r w:rsidRPr="0015461C">
        <w:rPr>
          <w:b/>
          <w:bCs/>
          <w:lang w:val="fr-FR"/>
        </w:rPr>
        <w:t>4)</w:t>
      </w:r>
      <w:r w:rsidR="00137BD9">
        <w:rPr>
          <w:b/>
          <w:bCs/>
          <w:lang w:val="fr-FR"/>
        </w:rPr>
        <w:tab/>
      </w:r>
      <w:r w:rsidRPr="0015461C">
        <w:rPr>
          <w:b/>
          <w:bCs/>
          <w:lang w:val="fr-FR"/>
        </w:rPr>
        <w:t>Partenaires financiers</w:t>
      </w:r>
      <w:r w:rsidRPr="00137BD9">
        <w:rPr>
          <w:lang w:val="fr-FR"/>
        </w:rPr>
        <w:t xml:space="preserve"> (donateurs)</w:t>
      </w:r>
    </w:p>
    <w:p w14:paraId="41BB949B" w14:textId="260B27FA" w:rsidR="0016755A" w:rsidRPr="00DD28CE" w:rsidRDefault="0016755A" w:rsidP="00BB6262">
      <w:pPr>
        <w:spacing w:before="240" w:after="240"/>
        <w:jc w:val="left"/>
        <w:rPr>
          <w:rFonts w:eastAsia="Times New Roman" w:cstheme="majorBidi"/>
          <w:lang w:val="fr-FR"/>
        </w:rPr>
      </w:pPr>
      <w:r>
        <w:rPr>
          <w:lang w:val="fr-FR"/>
        </w:rPr>
        <w:t>Les institutions qui apportent un soutien financier au réseau sont appelées «partenaires financiers». Elles contribuent à l</w:t>
      </w:r>
      <w:r w:rsidR="00B34E4F">
        <w:rPr>
          <w:lang w:val="fr-FR"/>
        </w:rPr>
        <w:t>’</w:t>
      </w:r>
      <w:r>
        <w:rPr>
          <w:lang w:val="fr-FR"/>
        </w:rPr>
        <w:t>OMM par le biais du Fonds d</w:t>
      </w:r>
      <w:r w:rsidR="00B34E4F">
        <w:rPr>
          <w:lang w:val="fr-FR"/>
        </w:rPr>
        <w:t>’</w:t>
      </w:r>
      <w:r>
        <w:rPr>
          <w:lang w:val="fr-FR"/>
        </w:rPr>
        <w:t>affectation spéciale du Réseau, et aux autres organisations de coparrainage par leurs mécanismes de financement respectifs. Les contributions financières volontaires au Réseau doivent respecter les règles en vigueur pour la réception et l</w:t>
      </w:r>
      <w:r w:rsidR="00B34E4F">
        <w:rPr>
          <w:lang w:val="fr-FR"/>
        </w:rPr>
        <w:t>’</w:t>
      </w:r>
      <w:r>
        <w:rPr>
          <w:lang w:val="fr-FR"/>
        </w:rPr>
        <w:t>utilisation des fonds extrabudgétaires des Nations Unies. Comme dans le cas des organisations de coparrainage, les partenaires financiers ont automatiquement la possibilité d</w:t>
      </w:r>
      <w:r w:rsidR="00B34E4F">
        <w:rPr>
          <w:lang w:val="fr-FR"/>
        </w:rPr>
        <w:t>’</w:t>
      </w:r>
      <w:r>
        <w:rPr>
          <w:lang w:val="fr-FR"/>
        </w:rPr>
        <w:t>être représentés au sein du Comité de gestion, s</w:t>
      </w:r>
      <w:r w:rsidR="00B34E4F">
        <w:rPr>
          <w:lang w:val="fr-FR"/>
        </w:rPr>
        <w:t>’</w:t>
      </w:r>
      <w:r>
        <w:rPr>
          <w:lang w:val="fr-FR"/>
        </w:rPr>
        <w:t xml:space="preserve">ils le souhaitent. </w:t>
      </w:r>
    </w:p>
    <w:p w14:paraId="54202910" w14:textId="00360090" w:rsidR="0016755A" w:rsidRPr="001B7E76" w:rsidRDefault="0016755A" w:rsidP="00137BD9">
      <w:pPr>
        <w:spacing w:before="240" w:after="240"/>
        <w:ind w:left="567" w:hanging="567"/>
        <w:jc w:val="left"/>
        <w:rPr>
          <w:iCs/>
          <w:lang w:val="fr-FR"/>
        </w:rPr>
      </w:pPr>
      <w:r w:rsidRPr="0015461C">
        <w:rPr>
          <w:b/>
          <w:bCs/>
          <w:lang w:val="fr-FR"/>
        </w:rPr>
        <w:t>5)</w:t>
      </w:r>
      <w:r w:rsidR="00137BD9">
        <w:rPr>
          <w:b/>
          <w:bCs/>
          <w:lang w:val="fr-FR"/>
        </w:rPr>
        <w:tab/>
      </w:r>
      <w:r w:rsidRPr="0015461C">
        <w:rPr>
          <w:b/>
          <w:bCs/>
          <w:lang w:val="fr-FR"/>
        </w:rPr>
        <w:t>Experts individuels et membres participants</w:t>
      </w:r>
    </w:p>
    <w:p w14:paraId="70D43CA0" w14:textId="249DF950" w:rsidR="0016755A" w:rsidRPr="00DD28CE" w:rsidRDefault="0016755A" w:rsidP="00BB6262">
      <w:pPr>
        <w:spacing w:before="240" w:after="240"/>
        <w:jc w:val="left"/>
        <w:rPr>
          <w:rFonts w:eastAsia="Times New Roman" w:cstheme="majorBidi"/>
          <w:lang w:val="fr-FR"/>
        </w:rPr>
      </w:pPr>
      <w:r>
        <w:rPr>
          <w:lang w:val="fr-FR"/>
        </w:rPr>
        <w:t>En tant que réseau de connaissances, les experts et les praticiens individuels sont reconnus comme membres participants du réseau, indépendamment de leur affiliation à leur institution d</w:t>
      </w:r>
      <w:r w:rsidR="00B34E4F">
        <w:rPr>
          <w:lang w:val="fr-FR"/>
        </w:rPr>
        <w:t>’</w:t>
      </w:r>
      <w:r>
        <w:rPr>
          <w:lang w:val="fr-FR"/>
        </w:rPr>
        <w:t xml:space="preserve">origine. Les membres individuels peuvent être des experts actifs qui peuvent participer à tous les niveaux de la gouvernance et des projets du Réseau ou des membres plus «silencieux», tels que les participants aux événements et les abonnés aux listes de diffusion, qui seront reconnus comme faisant partie de la communauté de pratique globale du Réseau. </w:t>
      </w:r>
    </w:p>
    <w:p w14:paraId="1926C2F5" w14:textId="4A697381" w:rsidR="00137BD9" w:rsidRDefault="0016755A" w:rsidP="00BB6262">
      <w:pPr>
        <w:spacing w:before="240" w:after="240"/>
        <w:jc w:val="left"/>
        <w:rPr>
          <w:lang w:val="fr-FR"/>
        </w:rPr>
      </w:pPr>
      <w:r>
        <w:rPr>
          <w:lang w:val="fr-FR"/>
        </w:rPr>
        <w:t>Voir Annexe 1: Modèle de partenariat et d</w:t>
      </w:r>
      <w:r w:rsidR="00B34E4F">
        <w:rPr>
          <w:lang w:val="fr-FR"/>
        </w:rPr>
        <w:t>’</w:t>
      </w:r>
      <w:r>
        <w:rPr>
          <w:lang w:val="fr-FR"/>
        </w:rPr>
        <w:t>adhésion</w:t>
      </w:r>
    </w:p>
    <w:p w14:paraId="028F7F47" w14:textId="77777777" w:rsidR="00137BD9" w:rsidRDefault="00137BD9" w:rsidP="00137BD9">
      <w:pPr>
        <w:pStyle w:val="WMOBodyText"/>
        <w:rPr>
          <w:lang w:val="fr-FR"/>
        </w:rPr>
      </w:pPr>
      <w:r>
        <w:rPr>
          <w:lang w:val="fr-FR"/>
        </w:rPr>
        <w:br w:type="page"/>
      </w:r>
    </w:p>
    <w:p w14:paraId="7F11FC27" w14:textId="77777777" w:rsidR="0016755A" w:rsidRPr="0015461C" w:rsidRDefault="0016755A" w:rsidP="00BB6262">
      <w:pPr>
        <w:pStyle w:val="Heading1"/>
        <w:spacing w:before="240" w:after="240"/>
        <w:jc w:val="left"/>
        <w:rPr>
          <w:rFonts w:eastAsia="Times New Roman"/>
          <w:b w:val="0"/>
          <w:bCs w:val="0"/>
          <w:sz w:val="16"/>
          <w:szCs w:val="16"/>
          <w:lang w:val="fr-FR"/>
        </w:rPr>
      </w:pPr>
      <w:r w:rsidRPr="0015461C">
        <w:rPr>
          <w:sz w:val="20"/>
          <w:szCs w:val="20"/>
          <w:lang w:val="fr-FR"/>
        </w:rPr>
        <w:lastRenderedPageBreak/>
        <w:t xml:space="preserve">Section 3: Gouvernance </w:t>
      </w:r>
    </w:p>
    <w:p w14:paraId="70036B7C" w14:textId="77777777" w:rsidR="0016755A" w:rsidRPr="00DD28CE" w:rsidRDefault="0016755A" w:rsidP="00BB6262">
      <w:pPr>
        <w:spacing w:before="240" w:after="240"/>
        <w:jc w:val="left"/>
        <w:rPr>
          <w:rFonts w:eastAsia="Times New Roman" w:cstheme="majorBidi"/>
          <w:lang w:val="fr-FR"/>
        </w:rPr>
      </w:pPr>
      <w:r>
        <w:rPr>
          <w:lang w:val="fr-FR"/>
        </w:rPr>
        <w:t xml:space="preserve">Une structure de gouvernance à deux niveaux est constituée du Groupe consultatif et du Comité de gestion. </w:t>
      </w:r>
    </w:p>
    <w:p w14:paraId="4E3F760C" w14:textId="5DC771F1" w:rsidR="0016755A" w:rsidRPr="00DD28CE" w:rsidRDefault="0016755A" w:rsidP="006D7E69">
      <w:pPr>
        <w:tabs>
          <w:tab w:val="clear" w:pos="1134"/>
          <w:tab w:val="left" w:pos="567"/>
        </w:tabs>
        <w:spacing w:before="240" w:after="240"/>
        <w:jc w:val="left"/>
        <w:rPr>
          <w:rFonts w:eastAsia="Times New Roman" w:cstheme="majorBidi"/>
          <w:i/>
          <w:iCs/>
          <w:lang w:val="fr-FR"/>
        </w:rPr>
      </w:pPr>
      <w:r>
        <w:rPr>
          <w:b/>
          <w:bCs/>
          <w:lang w:val="fr-FR"/>
        </w:rPr>
        <w:t>A.</w:t>
      </w:r>
      <w:r w:rsidR="006D7E69">
        <w:rPr>
          <w:b/>
          <w:bCs/>
          <w:lang w:val="fr-FR"/>
        </w:rPr>
        <w:tab/>
      </w:r>
      <w:r>
        <w:rPr>
          <w:b/>
          <w:bCs/>
          <w:lang w:val="fr-FR"/>
        </w:rPr>
        <w:t>Groupe consultatif</w:t>
      </w:r>
      <w:r>
        <w:rPr>
          <w:lang w:val="fr-FR"/>
        </w:rPr>
        <w:t xml:space="preserve"> </w:t>
      </w:r>
    </w:p>
    <w:p w14:paraId="73A089E4" w14:textId="1A78A65A" w:rsidR="0016755A" w:rsidRPr="00DD28CE" w:rsidRDefault="0016755A" w:rsidP="00BB6262">
      <w:pPr>
        <w:spacing w:before="240" w:after="240"/>
        <w:jc w:val="left"/>
        <w:rPr>
          <w:rFonts w:eastAsia="Times New Roman" w:cstheme="majorBidi"/>
          <w:lang w:val="fr-FR"/>
        </w:rPr>
      </w:pPr>
      <w:r>
        <w:rPr>
          <w:lang w:val="fr-FR"/>
        </w:rPr>
        <w:t>Le Groupe consultatif est un groupe mondial et ouvert qui servira de ressource et de mécanisme de retour d</w:t>
      </w:r>
      <w:r w:rsidR="00B34E4F">
        <w:rPr>
          <w:lang w:val="fr-FR"/>
        </w:rPr>
        <w:t>’</w:t>
      </w:r>
      <w:r>
        <w:rPr>
          <w:lang w:val="fr-FR"/>
        </w:rPr>
        <w:t>information pour identifier les questions émergentes et guider le développement et la mise en œuvre des activités du Réseau. Il est censé partager l</w:t>
      </w:r>
      <w:r w:rsidR="00B34E4F">
        <w:rPr>
          <w:lang w:val="fr-FR"/>
        </w:rPr>
        <w:t>’</w:t>
      </w:r>
      <w:r>
        <w:rPr>
          <w:lang w:val="fr-FR"/>
        </w:rPr>
        <w:t>apprentissage et les besoins identifiés, les résultats des projets, les évaluations et les avancées politiques, scientifiques et techniques dans les questions de santé liées à la chaleur extrême. Avec le soutien de la TSU en tant que secrétariat, le Groupe sera composé des personnes suivantes:</w:t>
      </w:r>
      <w:r w:rsidR="00807EF1">
        <w:rPr>
          <w:lang w:val="fr-FR"/>
        </w:rPr>
        <w:t xml:space="preserve"> </w:t>
      </w:r>
    </w:p>
    <w:p w14:paraId="1E204A80" w14:textId="77777777" w:rsidR="00A2098E"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lang w:val="fr-FR"/>
        </w:rPr>
      </w:pPr>
      <w:r w:rsidRPr="00807EF1">
        <w:rPr>
          <w:rFonts w:ascii="Verdana" w:hAnsi="Verdana"/>
          <w:sz w:val="20"/>
          <w:szCs w:val="20"/>
          <w:lang w:val="fr-FR"/>
        </w:rPr>
        <w:t xml:space="preserve">Le président: nommé conjointement par les organisations de coparrainage; </w:t>
      </w:r>
    </w:p>
    <w:p w14:paraId="7E6A6FC1" w14:textId="57D6C7A5" w:rsidR="0016755A"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lang w:val="fr-FR"/>
        </w:rPr>
      </w:pPr>
      <w:r w:rsidRPr="00807EF1">
        <w:rPr>
          <w:rFonts w:ascii="Verdana" w:hAnsi="Verdana"/>
          <w:sz w:val="20"/>
          <w:szCs w:val="20"/>
          <w:lang w:val="fr-FR"/>
        </w:rPr>
        <w:t>Deux représentants de chaque organisation coparrainée;</w:t>
      </w:r>
    </w:p>
    <w:p w14:paraId="544E37D2" w14:textId="6CD19C71" w:rsidR="0016755A"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lang w:val="fr-FR"/>
        </w:rPr>
      </w:pPr>
      <w:r w:rsidRPr="00807EF1">
        <w:rPr>
          <w:rFonts w:ascii="Verdana" w:hAnsi="Verdana"/>
          <w:sz w:val="20"/>
          <w:szCs w:val="20"/>
          <w:lang w:val="fr-FR"/>
        </w:rPr>
        <w:t>Un représentant du Groupe d</w:t>
      </w:r>
      <w:r w:rsidR="00B34E4F" w:rsidRPr="00807EF1">
        <w:rPr>
          <w:rFonts w:ascii="Verdana" w:hAnsi="Verdana"/>
          <w:sz w:val="20"/>
          <w:szCs w:val="20"/>
          <w:lang w:val="fr-FR"/>
        </w:rPr>
        <w:t>’</w:t>
      </w:r>
      <w:r w:rsidRPr="00807EF1">
        <w:rPr>
          <w:rFonts w:ascii="Verdana" w:hAnsi="Verdana"/>
          <w:sz w:val="20"/>
          <w:szCs w:val="20"/>
          <w:lang w:val="fr-FR"/>
        </w:rPr>
        <w:t>étude sur la santé de la Commission des services de l</w:t>
      </w:r>
      <w:r w:rsidR="00B34E4F" w:rsidRPr="00807EF1">
        <w:rPr>
          <w:rFonts w:ascii="Verdana" w:hAnsi="Verdana"/>
          <w:sz w:val="20"/>
          <w:szCs w:val="20"/>
          <w:lang w:val="fr-FR"/>
        </w:rPr>
        <w:t>’</w:t>
      </w:r>
      <w:r w:rsidRPr="00807EF1">
        <w:rPr>
          <w:rFonts w:ascii="Verdana" w:hAnsi="Verdana"/>
          <w:sz w:val="20"/>
          <w:szCs w:val="20"/>
          <w:lang w:val="fr-FR"/>
        </w:rPr>
        <w:t>OMM, du Comité permanent de la réduction des risques de catastrophes (</w:t>
      </w:r>
      <w:proofErr w:type="spellStart"/>
      <w:r w:rsidRPr="00807EF1">
        <w:rPr>
          <w:rFonts w:ascii="Verdana" w:hAnsi="Verdana"/>
          <w:sz w:val="20"/>
          <w:szCs w:val="20"/>
          <w:lang w:val="fr-FR"/>
        </w:rPr>
        <w:t>DRR</w:t>
      </w:r>
      <w:proofErr w:type="spellEnd"/>
      <w:r w:rsidRPr="00807EF1">
        <w:rPr>
          <w:rFonts w:ascii="Verdana" w:hAnsi="Verdana"/>
          <w:sz w:val="20"/>
          <w:szCs w:val="20"/>
          <w:lang w:val="fr-FR"/>
        </w:rPr>
        <w:t xml:space="preserve">), du Comité permanent du climat; </w:t>
      </w:r>
    </w:p>
    <w:p w14:paraId="57C0651B" w14:textId="0B4A17CF" w:rsidR="0016755A"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lang w:val="fr-FR"/>
        </w:rPr>
      </w:pPr>
      <w:r w:rsidRPr="00807EF1">
        <w:rPr>
          <w:rFonts w:ascii="Verdana" w:eastAsia="Times New Roman" w:hAnsi="Verdana" w:cstheme="majorBidi"/>
          <w:sz w:val="20"/>
          <w:szCs w:val="20"/>
          <w:lang w:val="fr-FR"/>
        </w:rPr>
        <w:t>Un représentant de la plateforme thématique de l</w:t>
      </w:r>
      <w:r w:rsidR="00B34E4F" w:rsidRPr="00807EF1">
        <w:rPr>
          <w:rFonts w:ascii="Verdana" w:eastAsia="Times New Roman" w:hAnsi="Verdana" w:cstheme="majorBidi"/>
          <w:sz w:val="20"/>
          <w:szCs w:val="20"/>
          <w:lang w:val="fr-FR"/>
        </w:rPr>
        <w:t>’</w:t>
      </w:r>
      <w:r w:rsidRPr="00807EF1">
        <w:rPr>
          <w:rFonts w:ascii="Verdana" w:eastAsia="Times New Roman" w:hAnsi="Verdana" w:cstheme="majorBidi"/>
          <w:sz w:val="20"/>
          <w:szCs w:val="20"/>
          <w:lang w:val="fr-FR"/>
        </w:rPr>
        <w:t>OMS pour la gestion des urgences sanitaires et des risques de catastrophe, ou des programmes pertinents;</w:t>
      </w:r>
      <w:r w:rsidR="00807EF1" w:rsidRPr="00807EF1">
        <w:rPr>
          <w:rFonts w:ascii="Verdana" w:eastAsia="Times New Roman" w:hAnsi="Verdana" w:cstheme="majorBidi"/>
          <w:sz w:val="20"/>
          <w:szCs w:val="20"/>
          <w:lang w:val="fr-FR"/>
        </w:rPr>
        <w:t xml:space="preserve"> </w:t>
      </w:r>
    </w:p>
    <w:p w14:paraId="0AF39348" w14:textId="77777777" w:rsidR="0016755A"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lang w:val="fr-FR"/>
        </w:rPr>
      </w:pPr>
      <w:r w:rsidRPr="00807EF1">
        <w:rPr>
          <w:rFonts w:ascii="Verdana" w:eastAsia="Times New Roman" w:hAnsi="Verdana" w:cstheme="majorBidi"/>
          <w:sz w:val="20"/>
          <w:szCs w:val="20"/>
          <w:lang w:val="fr-FR"/>
        </w:rPr>
        <w:t>Un représentant de chacun des partenaires contributeurs;</w:t>
      </w:r>
    </w:p>
    <w:p w14:paraId="3D65D5CC" w14:textId="77777777" w:rsidR="0016755A"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lang w:val="fr-FR"/>
        </w:rPr>
      </w:pPr>
      <w:r w:rsidRPr="00807EF1">
        <w:rPr>
          <w:rFonts w:ascii="Verdana" w:eastAsia="Times New Roman" w:hAnsi="Verdana" w:cstheme="majorBidi"/>
          <w:sz w:val="20"/>
          <w:szCs w:val="20"/>
          <w:lang w:val="fr-FR"/>
        </w:rPr>
        <w:t>Deux représentants des antennes de réseaux régionales;</w:t>
      </w:r>
    </w:p>
    <w:p w14:paraId="06C7C622" w14:textId="77777777" w:rsidR="0016755A"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lang w:val="fr-FR"/>
        </w:rPr>
      </w:pPr>
      <w:r w:rsidRPr="00807EF1">
        <w:rPr>
          <w:rFonts w:ascii="Verdana" w:eastAsia="Times New Roman" w:hAnsi="Verdana" w:cstheme="majorBidi"/>
          <w:sz w:val="20"/>
          <w:szCs w:val="20"/>
          <w:lang w:val="fr-FR"/>
        </w:rPr>
        <w:t>Un représentant de chacun des pa</w:t>
      </w:r>
      <w:r w:rsidRPr="00807EF1">
        <w:rPr>
          <w:rFonts w:ascii="Verdana" w:hAnsi="Verdana"/>
          <w:sz w:val="20"/>
          <w:szCs w:val="20"/>
          <w:lang w:val="fr-FR"/>
        </w:rPr>
        <w:t>rtenaires financiers;</w:t>
      </w:r>
    </w:p>
    <w:p w14:paraId="3908C3B8" w14:textId="77777777" w:rsidR="0016755A" w:rsidRPr="00807EF1" w:rsidRDefault="0016755A" w:rsidP="00A2098E">
      <w:pPr>
        <w:pStyle w:val="ListParagraph"/>
        <w:numPr>
          <w:ilvl w:val="0"/>
          <w:numId w:val="11"/>
        </w:numPr>
        <w:spacing w:after="120" w:line="240" w:lineRule="auto"/>
        <w:ind w:left="1134" w:right="-170" w:hanging="567"/>
        <w:contextualSpacing w:val="0"/>
        <w:rPr>
          <w:rFonts w:ascii="Verdana" w:eastAsia="Times New Roman" w:hAnsi="Verdana" w:cstheme="majorBidi"/>
          <w:sz w:val="20"/>
          <w:szCs w:val="20"/>
        </w:rPr>
      </w:pPr>
      <w:r w:rsidRPr="00807EF1">
        <w:rPr>
          <w:rFonts w:ascii="Verdana" w:hAnsi="Verdana"/>
          <w:sz w:val="20"/>
          <w:szCs w:val="20"/>
          <w:lang w:val="fr-FR"/>
        </w:rPr>
        <w:t xml:space="preserve">Des </w:t>
      </w:r>
      <w:r w:rsidRPr="00807EF1">
        <w:rPr>
          <w:rFonts w:ascii="Verdana" w:eastAsia="Times New Roman" w:hAnsi="Verdana" w:cstheme="majorBidi"/>
          <w:sz w:val="20"/>
          <w:szCs w:val="20"/>
          <w:lang w:val="fr-FR"/>
        </w:rPr>
        <w:t>observateurs</w:t>
      </w:r>
      <w:r w:rsidRPr="00807EF1">
        <w:rPr>
          <w:rFonts w:ascii="Verdana" w:hAnsi="Verdana"/>
          <w:sz w:val="20"/>
          <w:szCs w:val="20"/>
          <w:lang w:val="fr-FR"/>
        </w:rPr>
        <w:t>.</w:t>
      </w:r>
    </w:p>
    <w:p w14:paraId="062A0FF3" w14:textId="77777777" w:rsidR="004873EE" w:rsidRPr="001B7E76" w:rsidRDefault="0016755A" w:rsidP="004873EE">
      <w:pPr>
        <w:spacing w:before="240" w:after="240"/>
        <w:ind w:right="-170"/>
        <w:jc w:val="left"/>
        <w:rPr>
          <w:rFonts w:eastAsia="Times New Roman" w:cstheme="majorBidi"/>
          <w:lang w:val="fr-FR"/>
        </w:rPr>
      </w:pPr>
      <w:r>
        <w:rPr>
          <w:lang w:val="fr-FR"/>
        </w:rPr>
        <w:t xml:space="preserve">Les attributions de ce groupe consultatif sont les suivantes: </w:t>
      </w:r>
    </w:p>
    <w:p w14:paraId="066D65D3" w14:textId="77777777" w:rsidR="00106840" w:rsidRPr="001B7E76" w:rsidRDefault="0016755A" w:rsidP="00106840">
      <w:pPr>
        <w:pStyle w:val="ListParagraph"/>
        <w:numPr>
          <w:ilvl w:val="0"/>
          <w:numId w:val="10"/>
        </w:numPr>
        <w:spacing w:before="120" w:after="120" w:line="240" w:lineRule="auto"/>
        <w:ind w:left="1134" w:right="-170" w:hanging="567"/>
        <w:contextualSpacing w:val="0"/>
        <w:rPr>
          <w:rFonts w:ascii="Verdana" w:eastAsia="Times New Roman" w:hAnsi="Verdana" w:cstheme="majorBidi"/>
          <w:sz w:val="20"/>
          <w:szCs w:val="20"/>
          <w:lang w:val="fr-FR"/>
        </w:rPr>
      </w:pPr>
      <w:r w:rsidRPr="0015461C">
        <w:rPr>
          <w:rFonts w:ascii="Verdana" w:hAnsi="Verdana"/>
          <w:sz w:val="20"/>
          <w:szCs w:val="20"/>
          <w:lang w:val="fr-FR"/>
        </w:rPr>
        <w:t>Guide la mise en œuvre du Réseau, en faisant des propositions pour le plan de travail annuel à examiner par le Comité de gestion;</w:t>
      </w:r>
      <w:bookmarkStart w:id="0" w:name="_Hlk116072044"/>
    </w:p>
    <w:bookmarkEnd w:id="0"/>
    <w:p w14:paraId="119BD782" w14:textId="4A33249C" w:rsidR="0016755A" w:rsidRPr="00106840" w:rsidRDefault="0016755A" w:rsidP="00106840">
      <w:pPr>
        <w:pStyle w:val="ListParagraph"/>
        <w:numPr>
          <w:ilvl w:val="0"/>
          <w:numId w:val="10"/>
        </w:numPr>
        <w:spacing w:before="120" w:after="120" w:line="240" w:lineRule="auto"/>
        <w:ind w:left="1134" w:right="-170" w:hanging="567"/>
        <w:contextualSpacing w:val="0"/>
        <w:rPr>
          <w:rFonts w:ascii="Verdana" w:hAnsi="Verdana"/>
          <w:sz w:val="20"/>
          <w:szCs w:val="20"/>
          <w:lang w:val="fr-FR"/>
        </w:rPr>
      </w:pPr>
      <w:r w:rsidRPr="0015461C">
        <w:rPr>
          <w:rFonts w:ascii="Verdana" w:hAnsi="Verdana"/>
          <w:sz w:val="20"/>
          <w:szCs w:val="20"/>
          <w:lang w:val="fr-FR"/>
        </w:rPr>
        <w:t>S</w:t>
      </w:r>
      <w:r w:rsidR="00B34E4F">
        <w:rPr>
          <w:rFonts w:ascii="Verdana" w:hAnsi="Verdana"/>
          <w:sz w:val="20"/>
          <w:szCs w:val="20"/>
          <w:lang w:val="fr-FR"/>
        </w:rPr>
        <w:t>’</w:t>
      </w:r>
      <w:r w:rsidRPr="0015461C">
        <w:rPr>
          <w:rFonts w:ascii="Verdana" w:hAnsi="Verdana"/>
          <w:sz w:val="20"/>
          <w:szCs w:val="20"/>
          <w:lang w:val="fr-FR"/>
        </w:rPr>
        <w:t>assure, en conseillant la TSU, que le Réseau développe et maintient une gamme de services adéquate, un mode de fonctionnement efficace et efficient vis-à-vis des bénéficiaires, des partenaires contributeurs et des partenaires financiers;</w:t>
      </w:r>
    </w:p>
    <w:p w14:paraId="22A75D7C" w14:textId="77777777" w:rsidR="0016755A" w:rsidRPr="00106840" w:rsidRDefault="0016755A" w:rsidP="00106840">
      <w:pPr>
        <w:pStyle w:val="ListParagraph"/>
        <w:numPr>
          <w:ilvl w:val="0"/>
          <w:numId w:val="10"/>
        </w:numPr>
        <w:spacing w:before="120" w:after="120" w:line="240" w:lineRule="auto"/>
        <w:ind w:left="1134" w:right="-170" w:hanging="567"/>
        <w:contextualSpacing w:val="0"/>
        <w:rPr>
          <w:rFonts w:ascii="Verdana" w:hAnsi="Verdana"/>
          <w:sz w:val="20"/>
          <w:szCs w:val="20"/>
          <w:lang w:val="fr-FR"/>
        </w:rPr>
      </w:pPr>
      <w:r w:rsidRPr="0015461C">
        <w:rPr>
          <w:rFonts w:ascii="Verdana" w:hAnsi="Verdana"/>
          <w:sz w:val="20"/>
          <w:szCs w:val="20"/>
          <w:lang w:val="fr-FR"/>
        </w:rPr>
        <w:t>Assurer les synergies et les apports multidisciplinaires dans les activités du Réseau et suggérer des approches pour mettre en œuvre le cadre et les concepts de la gestion intégrée des effets sanitaires de la chaleur sur le terrain;</w:t>
      </w:r>
    </w:p>
    <w:p w14:paraId="09BA2DED" w14:textId="3AE543A1" w:rsidR="0016755A" w:rsidRPr="00106840" w:rsidRDefault="0016755A" w:rsidP="00106840">
      <w:pPr>
        <w:pStyle w:val="ListParagraph"/>
        <w:numPr>
          <w:ilvl w:val="0"/>
          <w:numId w:val="10"/>
        </w:numPr>
        <w:spacing w:before="120" w:after="120" w:line="240" w:lineRule="auto"/>
        <w:ind w:left="1134" w:right="-170" w:hanging="567"/>
        <w:contextualSpacing w:val="0"/>
        <w:rPr>
          <w:rFonts w:ascii="Verdana" w:hAnsi="Verdana"/>
          <w:sz w:val="20"/>
          <w:szCs w:val="20"/>
          <w:lang w:val="fr-FR"/>
        </w:rPr>
      </w:pPr>
      <w:r w:rsidRPr="0015461C">
        <w:rPr>
          <w:rFonts w:ascii="Verdana" w:hAnsi="Verdana"/>
          <w:sz w:val="20"/>
          <w:szCs w:val="20"/>
          <w:lang w:val="fr-FR"/>
        </w:rPr>
        <w:t>Proposer des priorités et des opportunités pour les activités, les impacts et l</w:t>
      </w:r>
      <w:r w:rsidR="00B34E4F">
        <w:rPr>
          <w:rFonts w:ascii="Verdana" w:hAnsi="Verdana"/>
          <w:sz w:val="20"/>
          <w:szCs w:val="20"/>
          <w:lang w:val="fr-FR"/>
        </w:rPr>
        <w:t>’</w:t>
      </w:r>
      <w:r w:rsidRPr="0015461C">
        <w:rPr>
          <w:rFonts w:ascii="Verdana" w:hAnsi="Verdana"/>
          <w:sz w:val="20"/>
          <w:szCs w:val="20"/>
          <w:lang w:val="fr-FR"/>
        </w:rPr>
        <w:t>influence du Réseau.</w:t>
      </w:r>
    </w:p>
    <w:p w14:paraId="46808256" w14:textId="78E850DB" w:rsidR="0016755A" w:rsidRPr="00106840" w:rsidRDefault="0016755A" w:rsidP="00106840">
      <w:pPr>
        <w:tabs>
          <w:tab w:val="clear" w:pos="1134"/>
          <w:tab w:val="left" w:pos="567"/>
        </w:tabs>
        <w:spacing w:before="240" w:after="240"/>
        <w:jc w:val="left"/>
        <w:rPr>
          <w:b/>
          <w:bCs/>
          <w:lang w:val="fr-FR"/>
        </w:rPr>
      </w:pPr>
      <w:r>
        <w:rPr>
          <w:b/>
          <w:bCs/>
          <w:lang w:val="fr-FR"/>
        </w:rPr>
        <w:t>B.</w:t>
      </w:r>
      <w:r w:rsidR="00106840">
        <w:rPr>
          <w:b/>
          <w:bCs/>
          <w:lang w:val="fr-FR"/>
        </w:rPr>
        <w:tab/>
      </w:r>
      <w:r>
        <w:rPr>
          <w:b/>
          <w:bCs/>
          <w:lang w:val="fr-FR"/>
        </w:rPr>
        <w:t>Comité de gestion</w:t>
      </w:r>
    </w:p>
    <w:p w14:paraId="7FED0010" w14:textId="6D64E634" w:rsidR="0016755A" w:rsidRPr="00DD28CE" w:rsidRDefault="0016755A" w:rsidP="00BB6262">
      <w:pPr>
        <w:spacing w:before="240" w:after="240"/>
        <w:jc w:val="left"/>
        <w:rPr>
          <w:rFonts w:eastAsia="Times New Roman" w:cstheme="majorBidi"/>
          <w:lang w:val="fr-FR"/>
        </w:rPr>
      </w:pPr>
      <w:r>
        <w:rPr>
          <w:lang w:val="fr-FR"/>
        </w:rPr>
        <w:t>Le Comité de gestion examinera l</w:t>
      </w:r>
      <w:r w:rsidR="00B34E4F">
        <w:rPr>
          <w:lang w:val="fr-FR"/>
        </w:rPr>
        <w:t>’</w:t>
      </w:r>
      <w:r>
        <w:rPr>
          <w:lang w:val="fr-FR"/>
        </w:rPr>
        <w:t>avancement des travaux, surveillera la mise en œuvre du programme et décidera du plan budgétaire. Le Comité de gestion compte environ 18 à 20 membres, répondant aux critères convenus de diversité technique, institutionnelle, régionale et d</w:t>
      </w:r>
      <w:r w:rsidR="00B34E4F">
        <w:rPr>
          <w:lang w:val="fr-FR"/>
        </w:rPr>
        <w:t>’</w:t>
      </w:r>
      <w:r>
        <w:rPr>
          <w:lang w:val="fr-FR"/>
        </w:rPr>
        <w:t xml:space="preserve">âge. </w:t>
      </w:r>
    </w:p>
    <w:p w14:paraId="42285FF2" w14:textId="7756F77D" w:rsidR="0016755A" w:rsidRPr="00DD28CE" w:rsidRDefault="0016755A" w:rsidP="00BB6262">
      <w:pPr>
        <w:spacing w:before="240" w:after="240"/>
        <w:jc w:val="left"/>
        <w:rPr>
          <w:rFonts w:eastAsia="Times New Roman" w:cstheme="majorBidi"/>
          <w:lang w:val="fr-FR"/>
        </w:rPr>
      </w:pPr>
      <w:r>
        <w:rPr>
          <w:lang w:val="fr-FR"/>
        </w:rPr>
        <w:t>Avec l</w:t>
      </w:r>
      <w:r w:rsidR="00B34E4F">
        <w:rPr>
          <w:lang w:val="fr-FR"/>
        </w:rPr>
        <w:t>’</w:t>
      </w:r>
      <w:r>
        <w:rPr>
          <w:lang w:val="fr-FR"/>
        </w:rPr>
        <w:t>appui de l</w:t>
      </w:r>
      <w:r w:rsidR="00B34E4F">
        <w:rPr>
          <w:lang w:val="fr-FR"/>
        </w:rPr>
        <w:t>’</w:t>
      </w:r>
      <w:r>
        <w:rPr>
          <w:lang w:val="fr-FR"/>
        </w:rPr>
        <w:t>Unité d</w:t>
      </w:r>
      <w:r w:rsidR="00B34E4F">
        <w:rPr>
          <w:lang w:val="fr-FR"/>
        </w:rPr>
        <w:t>’</w:t>
      </w:r>
      <w:r>
        <w:rPr>
          <w:lang w:val="fr-FR"/>
        </w:rPr>
        <w:t xml:space="preserve">appui technique en tant que secrétariat, le </w:t>
      </w:r>
      <w:r w:rsidRPr="0015461C">
        <w:rPr>
          <w:b/>
          <w:bCs/>
          <w:lang w:val="fr-FR"/>
        </w:rPr>
        <w:t>Comité de gestion</w:t>
      </w:r>
      <w:r>
        <w:rPr>
          <w:lang w:val="fr-FR"/>
        </w:rPr>
        <w:t xml:space="preserve"> est composé (au minimum):</w:t>
      </w:r>
    </w:p>
    <w:p w14:paraId="21F5A3C1" w14:textId="77777777" w:rsidR="0016755A" w:rsidRPr="00106840" w:rsidRDefault="0016755A" w:rsidP="008B5770">
      <w:pPr>
        <w:pStyle w:val="ListParagraph"/>
        <w:numPr>
          <w:ilvl w:val="0"/>
          <w:numId w:val="18"/>
        </w:numPr>
        <w:spacing w:before="120" w:after="120" w:line="240" w:lineRule="auto"/>
        <w:ind w:left="1134" w:right="-113" w:hanging="567"/>
        <w:contextualSpacing w:val="0"/>
        <w:rPr>
          <w:rFonts w:ascii="Verdana" w:hAnsi="Verdana"/>
          <w:sz w:val="20"/>
          <w:szCs w:val="20"/>
          <w:lang w:val="fr-FR"/>
        </w:rPr>
      </w:pPr>
      <w:r w:rsidRPr="00106840">
        <w:rPr>
          <w:rFonts w:ascii="Verdana" w:hAnsi="Verdana"/>
          <w:sz w:val="20"/>
          <w:szCs w:val="20"/>
          <w:lang w:val="fr-FR"/>
        </w:rPr>
        <w:t xml:space="preserve">Du président: il doit être nommé conjointement par les organisations internationales </w:t>
      </w:r>
      <w:proofErr w:type="spellStart"/>
      <w:r w:rsidRPr="00106840">
        <w:rPr>
          <w:rFonts w:ascii="Verdana" w:hAnsi="Verdana"/>
          <w:sz w:val="20"/>
          <w:szCs w:val="20"/>
          <w:lang w:val="fr-FR"/>
        </w:rPr>
        <w:t>coparrainantes</w:t>
      </w:r>
      <w:proofErr w:type="spellEnd"/>
      <w:r w:rsidRPr="00106840">
        <w:rPr>
          <w:rFonts w:ascii="Verdana" w:hAnsi="Verdana"/>
          <w:sz w:val="20"/>
          <w:szCs w:val="20"/>
          <w:lang w:val="fr-FR"/>
        </w:rPr>
        <w:t>, il est également le président du Groupe consultatif;</w:t>
      </w:r>
    </w:p>
    <w:p w14:paraId="6797D89C" w14:textId="77777777" w:rsidR="0016755A" w:rsidRPr="00106840" w:rsidRDefault="0016755A" w:rsidP="00106840">
      <w:pPr>
        <w:pStyle w:val="ListParagraph"/>
        <w:numPr>
          <w:ilvl w:val="0"/>
          <w:numId w:val="18"/>
        </w:numPr>
        <w:spacing w:before="120" w:after="120" w:line="240" w:lineRule="auto"/>
        <w:ind w:left="1134" w:hanging="567"/>
        <w:contextualSpacing w:val="0"/>
        <w:rPr>
          <w:rFonts w:ascii="Verdana" w:hAnsi="Verdana"/>
          <w:sz w:val="20"/>
          <w:szCs w:val="20"/>
          <w:lang w:val="fr-FR"/>
        </w:rPr>
      </w:pPr>
      <w:r w:rsidRPr="00106840">
        <w:rPr>
          <w:rFonts w:ascii="Verdana" w:hAnsi="Verdana"/>
          <w:sz w:val="20"/>
          <w:szCs w:val="20"/>
          <w:lang w:val="fr-FR"/>
        </w:rPr>
        <w:lastRenderedPageBreak/>
        <w:t xml:space="preserve">Deux représentants de chaque organisation de coparrainage; </w:t>
      </w:r>
    </w:p>
    <w:p w14:paraId="475DCD09" w14:textId="77777777" w:rsidR="0016755A" w:rsidRPr="00106840" w:rsidRDefault="0016755A" w:rsidP="00106840">
      <w:pPr>
        <w:pStyle w:val="ListParagraph"/>
        <w:numPr>
          <w:ilvl w:val="0"/>
          <w:numId w:val="18"/>
        </w:numPr>
        <w:spacing w:before="120" w:after="120" w:line="240" w:lineRule="auto"/>
        <w:ind w:left="1134" w:hanging="567"/>
        <w:contextualSpacing w:val="0"/>
        <w:rPr>
          <w:rFonts w:ascii="Verdana" w:hAnsi="Verdana"/>
          <w:sz w:val="20"/>
          <w:szCs w:val="20"/>
          <w:lang w:val="fr-FR"/>
        </w:rPr>
      </w:pPr>
      <w:r w:rsidRPr="00106840">
        <w:rPr>
          <w:rFonts w:ascii="Verdana" w:hAnsi="Verdana"/>
          <w:sz w:val="20"/>
          <w:szCs w:val="20"/>
          <w:lang w:val="fr-FR"/>
        </w:rPr>
        <w:t xml:space="preserve">Un représentant de chacun des partenaires financiers (si souhaité); </w:t>
      </w:r>
    </w:p>
    <w:p w14:paraId="748FAF7A" w14:textId="77777777" w:rsidR="0016755A" w:rsidRPr="00DD28CE" w:rsidRDefault="0016755A" w:rsidP="00106840">
      <w:pPr>
        <w:pStyle w:val="ListParagraph"/>
        <w:numPr>
          <w:ilvl w:val="0"/>
          <w:numId w:val="18"/>
        </w:numPr>
        <w:spacing w:before="120" w:after="120" w:line="240" w:lineRule="auto"/>
        <w:ind w:left="1134" w:hanging="567"/>
        <w:contextualSpacing w:val="0"/>
        <w:rPr>
          <w:rFonts w:ascii="Verdana" w:hAnsi="Verdana"/>
          <w:sz w:val="20"/>
          <w:szCs w:val="20"/>
          <w:lang w:val="fr-FR"/>
        </w:rPr>
      </w:pPr>
      <w:r w:rsidRPr="00106840">
        <w:rPr>
          <w:rFonts w:ascii="Verdana" w:hAnsi="Verdana"/>
          <w:sz w:val="20"/>
          <w:szCs w:val="20"/>
          <w:lang w:val="fr-FR"/>
        </w:rPr>
        <w:t xml:space="preserve">Un représentant de chaque antenne de réseau régionale; </w:t>
      </w:r>
    </w:p>
    <w:p w14:paraId="474BDA06" w14:textId="77777777" w:rsidR="0016755A" w:rsidRPr="00106840" w:rsidRDefault="0016755A" w:rsidP="00106840">
      <w:pPr>
        <w:pStyle w:val="ListParagraph"/>
        <w:numPr>
          <w:ilvl w:val="0"/>
          <w:numId w:val="18"/>
        </w:numPr>
        <w:spacing w:before="120" w:after="120" w:line="240" w:lineRule="auto"/>
        <w:ind w:left="1134" w:hanging="567"/>
        <w:contextualSpacing w:val="0"/>
        <w:rPr>
          <w:rFonts w:ascii="Verdana" w:hAnsi="Verdana"/>
          <w:sz w:val="20"/>
          <w:szCs w:val="20"/>
          <w:lang w:val="fr-FR"/>
        </w:rPr>
      </w:pPr>
      <w:r w:rsidRPr="00106840">
        <w:rPr>
          <w:rFonts w:ascii="Verdana" w:hAnsi="Verdana"/>
          <w:sz w:val="20"/>
          <w:szCs w:val="20"/>
          <w:lang w:val="fr-FR"/>
        </w:rPr>
        <w:t>Cinq membres des partenaires contributeurs;</w:t>
      </w:r>
    </w:p>
    <w:p w14:paraId="43F7F803" w14:textId="77777777" w:rsidR="0016755A" w:rsidRPr="00DD28CE" w:rsidRDefault="0016755A" w:rsidP="00106840">
      <w:pPr>
        <w:pStyle w:val="ListParagraph"/>
        <w:numPr>
          <w:ilvl w:val="0"/>
          <w:numId w:val="18"/>
        </w:numPr>
        <w:spacing w:before="120" w:after="240" w:line="240" w:lineRule="auto"/>
        <w:ind w:left="1134" w:hanging="567"/>
        <w:contextualSpacing w:val="0"/>
        <w:rPr>
          <w:rFonts w:ascii="Verdana" w:hAnsi="Verdana"/>
          <w:sz w:val="20"/>
          <w:szCs w:val="20"/>
          <w:lang w:val="fr-FR"/>
        </w:rPr>
      </w:pPr>
      <w:r w:rsidRPr="00106840">
        <w:rPr>
          <w:rFonts w:ascii="Verdana" w:hAnsi="Verdana"/>
          <w:sz w:val="20"/>
          <w:szCs w:val="20"/>
          <w:lang w:val="fr-FR"/>
        </w:rPr>
        <w:t>Deux représentants en début de carrière.</w:t>
      </w:r>
    </w:p>
    <w:p w14:paraId="1AF27125" w14:textId="59D71063" w:rsidR="0016755A" w:rsidRPr="00DD28CE" w:rsidRDefault="0016755A" w:rsidP="00BB6262">
      <w:pPr>
        <w:spacing w:before="240" w:after="240"/>
        <w:jc w:val="left"/>
        <w:rPr>
          <w:rFonts w:eastAsia="Times New Roman" w:cstheme="majorBidi"/>
          <w:lang w:val="fr-FR"/>
        </w:rPr>
      </w:pPr>
      <w:r>
        <w:rPr>
          <w:lang w:val="fr-FR"/>
        </w:rPr>
        <w:t>En coopération avec le président, la TSU a le droit d</w:t>
      </w:r>
      <w:r w:rsidR="00B34E4F">
        <w:rPr>
          <w:lang w:val="fr-FR"/>
        </w:rPr>
        <w:t>’</w:t>
      </w:r>
      <w:r>
        <w:rPr>
          <w:lang w:val="fr-FR"/>
        </w:rPr>
        <w:t xml:space="preserve">inviter des participants ou des observateurs supplémentaires sur une base ad hoc. </w:t>
      </w:r>
    </w:p>
    <w:p w14:paraId="61EB5B0D" w14:textId="77777777" w:rsidR="0016755A" w:rsidRPr="00DD28CE" w:rsidRDefault="0016755A" w:rsidP="00BB6262">
      <w:pPr>
        <w:spacing w:before="240" w:after="240"/>
        <w:jc w:val="left"/>
        <w:rPr>
          <w:rFonts w:eastAsia="Times New Roman" w:cstheme="majorHAnsi"/>
          <w:lang w:val="fr-FR"/>
        </w:rPr>
      </w:pPr>
      <w:r>
        <w:rPr>
          <w:lang w:val="fr-FR"/>
        </w:rPr>
        <w:t xml:space="preserve">Les attributions du Comité de gestion sont les suivantes: </w:t>
      </w:r>
    </w:p>
    <w:p w14:paraId="3C615ED1" w14:textId="77777777" w:rsidR="00106840" w:rsidRPr="001B7E76" w:rsidRDefault="0016755A" w:rsidP="00106840">
      <w:pPr>
        <w:pStyle w:val="ListParagraph"/>
        <w:numPr>
          <w:ilvl w:val="0"/>
          <w:numId w:val="19"/>
        </w:numPr>
        <w:spacing w:before="120" w:after="120" w:line="240" w:lineRule="auto"/>
        <w:ind w:left="1134" w:right="-170" w:hanging="567"/>
        <w:contextualSpacing w:val="0"/>
        <w:rPr>
          <w:rFonts w:ascii="Verdana" w:eastAsia="Times New Roman" w:hAnsi="Verdana" w:cstheme="majorBidi"/>
          <w:sz w:val="20"/>
          <w:szCs w:val="20"/>
          <w:lang w:val="fr-FR"/>
        </w:rPr>
      </w:pPr>
      <w:r w:rsidRPr="00106840">
        <w:rPr>
          <w:rFonts w:ascii="Verdana" w:hAnsi="Verdana"/>
          <w:sz w:val="20"/>
          <w:szCs w:val="20"/>
          <w:lang w:val="fr-FR"/>
        </w:rPr>
        <w:t>Promouvoir les valeurs, la mission et les objectifs du Réseau;</w:t>
      </w:r>
    </w:p>
    <w:p w14:paraId="2D84354D" w14:textId="53669669" w:rsidR="0016755A" w:rsidRPr="00106840" w:rsidRDefault="0016755A" w:rsidP="00C64C11">
      <w:pPr>
        <w:pStyle w:val="ListParagraph"/>
        <w:numPr>
          <w:ilvl w:val="0"/>
          <w:numId w:val="19"/>
        </w:numPr>
        <w:spacing w:before="120" w:after="120" w:line="240" w:lineRule="auto"/>
        <w:ind w:left="1134" w:right="-170" w:hanging="567"/>
        <w:contextualSpacing w:val="0"/>
        <w:rPr>
          <w:rFonts w:ascii="Verdana" w:hAnsi="Verdana"/>
          <w:sz w:val="20"/>
          <w:szCs w:val="20"/>
          <w:lang w:val="fr-FR"/>
        </w:rPr>
      </w:pPr>
      <w:r w:rsidRPr="00106840">
        <w:rPr>
          <w:rFonts w:ascii="Verdana" w:hAnsi="Verdana"/>
          <w:sz w:val="20"/>
          <w:szCs w:val="20"/>
          <w:lang w:val="fr-FR"/>
        </w:rPr>
        <w:t>Assurer la surveillance du Réseau et de sa TSU, en suivant l</w:t>
      </w:r>
      <w:r w:rsidR="00B34E4F">
        <w:rPr>
          <w:rFonts w:ascii="Verdana" w:hAnsi="Verdana"/>
          <w:sz w:val="20"/>
          <w:szCs w:val="20"/>
          <w:lang w:val="fr-FR"/>
        </w:rPr>
        <w:t>’</w:t>
      </w:r>
      <w:r w:rsidRPr="00106840">
        <w:rPr>
          <w:rFonts w:ascii="Verdana" w:hAnsi="Verdana"/>
          <w:sz w:val="20"/>
          <w:szCs w:val="20"/>
          <w:lang w:val="fr-FR"/>
        </w:rPr>
        <w:t>évolution de la mise en œuvre des activités et des recommandations du Groupe consultatif;</w:t>
      </w:r>
    </w:p>
    <w:p w14:paraId="43FD9826" w14:textId="77777777" w:rsidR="0016755A" w:rsidRPr="00106840" w:rsidRDefault="0016755A" w:rsidP="00106840">
      <w:pPr>
        <w:pStyle w:val="ListParagraph"/>
        <w:numPr>
          <w:ilvl w:val="0"/>
          <w:numId w:val="19"/>
        </w:numPr>
        <w:spacing w:before="120" w:after="120" w:line="240" w:lineRule="auto"/>
        <w:ind w:left="1134" w:right="-170" w:hanging="567"/>
        <w:contextualSpacing w:val="0"/>
        <w:rPr>
          <w:rFonts w:ascii="Verdana" w:hAnsi="Verdana"/>
          <w:sz w:val="20"/>
          <w:szCs w:val="20"/>
          <w:lang w:val="fr-FR"/>
        </w:rPr>
      </w:pPr>
      <w:r w:rsidRPr="00106840">
        <w:rPr>
          <w:rFonts w:ascii="Verdana" w:hAnsi="Verdana"/>
          <w:sz w:val="20"/>
          <w:szCs w:val="20"/>
          <w:lang w:val="fr-FR"/>
        </w:rPr>
        <w:t>Donne son avis sur le niveau de soutien financier requis pour le Réseau, y compris pour la TSU, ainsi que la stratégie de mobilisation des ressources correspondante;</w:t>
      </w:r>
    </w:p>
    <w:p w14:paraId="72C2C716" w14:textId="77777777" w:rsidR="0016755A" w:rsidRPr="00106840" w:rsidRDefault="0016755A" w:rsidP="00106840">
      <w:pPr>
        <w:pStyle w:val="ListParagraph"/>
        <w:numPr>
          <w:ilvl w:val="0"/>
          <w:numId w:val="19"/>
        </w:numPr>
        <w:spacing w:before="120" w:after="120" w:line="240" w:lineRule="auto"/>
        <w:ind w:left="1134" w:right="-170" w:hanging="567"/>
        <w:contextualSpacing w:val="0"/>
        <w:rPr>
          <w:rFonts w:ascii="Verdana" w:hAnsi="Verdana"/>
          <w:sz w:val="20"/>
          <w:szCs w:val="20"/>
          <w:lang w:val="fr-FR"/>
        </w:rPr>
      </w:pPr>
      <w:r w:rsidRPr="00106840">
        <w:rPr>
          <w:rFonts w:ascii="Verdana" w:hAnsi="Verdana"/>
          <w:sz w:val="20"/>
          <w:szCs w:val="20"/>
          <w:lang w:val="fr-FR"/>
        </w:rPr>
        <w:t xml:space="preserve">Approuve le plan de travail et le budget annuels du Réseau; </w:t>
      </w:r>
    </w:p>
    <w:p w14:paraId="355C9CAA" w14:textId="77777777" w:rsidR="0016755A" w:rsidRPr="00106840" w:rsidRDefault="0016755A" w:rsidP="00106840">
      <w:pPr>
        <w:pStyle w:val="ListParagraph"/>
        <w:numPr>
          <w:ilvl w:val="0"/>
          <w:numId w:val="19"/>
        </w:numPr>
        <w:spacing w:before="120" w:after="120" w:line="240" w:lineRule="auto"/>
        <w:ind w:left="1134" w:right="-170" w:hanging="567"/>
        <w:contextualSpacing w:val="0"/>
        <w:rPr>
          <w:rFonts w:ascii="Verdana" w:hAnsi="Verdana"/>
          <w:sz w:val="20"/>
          <w:szCs w:val="20"/>
          <w:lang w:val="fr-FR"/>
        </w:rPr>
      </w:pPr>
      <w:r w:rsidRPr="00106840">
        <w:rPr>
          <w:rFonts w:ascii="Verdana" w:hAnsi="Verdana"/>
          <w:sz w:val="20"/>
          <w:szCs w:val="20"/>
          <w:lang w:val="fr-FR"/>
        </w:rPr>
        <w:t>Adopte des modifications au cadre de gouvernance du Réseau;</w:t>
      </w:r>
    </w:p>
    <w:p w14:paraId="3CF30165" w14:textId="53F1283F" w:rsidR="0016755A" w:rsidRPr="00106840" w:rsidRDefault="0016755A" w:rsidP="00106840">
      <w:pPr>
        <w:pStyle w:val="ListParagraph"/>
        <w:numPr>
          <w:ilvl w:val="0"/>
          <w:numId w:val="19"/>
        </w:numPr>
        <w:spacing w:before="120" w:after="120" w:line="240" w:lineRule="auto"/>
        <w:ind w:left="1134" w:right="-170" w:hanging="567"/>
        <w:contextualSpacing w:val="0"/>
        <w:rPr>
          <w:rFonts w:ascii="Verdana" w:hAnsi="Verdana"/>
          <w:sz w:val="20"/>
          <w:szCs w:val="20"/>
          <w:lang w:val="fr-FR"/>
        </w:rPr>
      </w:pPr>
      <w:r w:rsidRPr="00106840">
        <w:rPr>
          <w:rFonts w:ascii="Verdana" w:hAnsi="Verdana"/>
          <w:sz w:val="20"/>
          <w:szCs w:val="20"/>
          <w:lang w:val="fr-FR"/>
        </w:rPr>
        <w:t>Définit et révise les critères d</w:t>
      </w:r>
      <w:r w:rsidR="00B34E4F">
        <w:rPr>
          <w:rFonts w:ascii="Verdana" w:hAnsi="Verdana"/>
          <w:sz w:val="20"/>
          <w:szCs w:val="20"/>
          <w:lang w:val="fr-FR"/>
        </w:rPr>
        <w:t>’</w:t>
      </w:r>
      <w:r w:rsidRPr="00106840">
        <w:rPr>
          <w:rFonts w:ascii="Verdana" w:hAnsi="Verdana"/>
          <w:sz w:val="20"/>
          <w:szCs w:val="20"/>
          <w:lang w:val="fr-FR"/>
        </w:rPr>
        <w:t>éligibilité des partenaires contributeurs ainsi que le seuil à atteindre pour être considéré comme un contributeur financier important;</w:t>
      </w:r>
    </w:p>
    <w:p w14:paraId="51895F26" w14:textId="77777777" w:rsidR="0016755A" w:rsidRPr="00106840" w:rsidRDefault="0016755A" w:rsidP="00106840">
      <w:pPr>
        <w:pStyle w:val="ListParagraph"/>
        <w:numPr>
          <w:ilvl w:val="0"/>
          <w:numId w:val="19"/>
        </w:numPr>
        <w:spacing w:before="120" w:after="120" w:line="240" w:lineRule="auto"/>
        <w:ind w:left="1134" w:right="-170" w:hanging="567"/>
        <w:contextualSpacing w:val="0"/>
        <w:rPr>
          <w:rFonts w:ascii="Verdana" w:hAnsi="Verdana"/>
          <w:sz w:val="20"/>
          <w:szCs w:val="20"/>
          <w:lang w:val="fr-FR"/>
        </w:rPr>
      </w:pPr>
      <w:r w:rsidRPr="00106840">
        <w:rPr>
          <w:rFonts w:ascii="Verdana" w:hAnsi="Verdana"/>
          <w:sz w:val="20"/>
          <w:szCs w:val="20"/>
          <w:lang w:val="fr-FR"/>
        </w:rPr>
        <w:t xml:space="preserve">Établit son propre modus operandi et ses règles de procédure, ainsi que ceux du Groupe consultatif. </w:t>
      </w:r>
    </w:p>
    <w:p w14:paraId="04DE4675" w14:textId="2C4DF28A" w:rsidR="00106840" w:rsidRDefault="0016755A" w:rsidP="00BB6262">
      <w:pPr>
        <w:spacing w:before="240" w:after="240"/>
        <w:jc w:val="left"/>
        <w:rPr>
          <w:lang w:val="fr-FR"/>
        </w:rPr>
      </w:pPr>
      <w:r>
        <w:rPr>
          <w:lang w:val="fr-FR"/>
        </w:rPr>
        <w:t xml:space="preserve">Le Groupe consultatif et le Comité de gestion se réunissent au moins une fois par an et, dans la mesure du possible, conjointement. </w:t>
      </w:r>
    </w:p>
    <w:p w14:paraId="455E531A" w14:textId="77777777" w:rsidR="00106840" w:rsidRDefault="00106840" w:rsidP="00106840">
      <w:pPr>
        <w:pStyle w:val="WMOBodyText"/>
        <w:rPr>
          <w:lang w:val="fr-FR"/>
        </w:rPr>
      </w:pPr>
      <w:r>
        <w:rPr>
          <w:lang w:val="fr-FR"/>
        </w:rPr>
        <w:br w:type="page"/>
      </w:r>
    </w:p>
    <w:p w14:paraId="5E41BA76" w14:textId="77777777" w:rsidR="0016755A" w:rsidRPr="00DD28CE" w:rsidRDefault="0016755A" w:rsidP="00BB6262">
      <w:pPr>
        <w:pStyle w:val="Heading1"/>
        <w:spacing w:before="240" w:after="240"/>
        <w:jc w:val="left"/>
        <w:rPr>
          <w:rFonts w:eastAsia="Times New Roman"/>
          <w:b w:val="0"/>
          <w:bCs w:val="0"/>
          <w:sz w:val="20"/>
          <w:szCs w:val="20"/>
          <w:lang w:val="fr-FR"/>
        </w:rPr>
      </w:pPr>
      <w:r w:rsidRPr="0015461C">
        <w:rPr>
          <w:sz w:val="20"/>
          <w:szCs w:val="20"/>
          <w:lang w:val="fr-FR"/>
        </w:rPr>
        <w:lastRenderedPageBreak/>
        <w:t xml:space="preserve">Section 4: Contributions et ressources </w:t>
      </w:r>
    </w:p>
    <w:p w14:paraId="1A9B3768" w14:textId="01FE3702" w:rsidR="0016755A" w:rsidRPr="00DD28CE" w:rsidRDefault="0016755A" w:rsidP="00BB6262">
      <w:pPr>
        <w:spacing w:before="240" w:after="240"/>
        <w:jc w:val="left"/>
        <w:rPr>
          <w:rFonts w:eastAsia="Times New Roman" w:cstheme="majorBidi"/>
          <w:lang w:val="fr-FR"/>
        </w:rPr>
      </w:pPr>
      <w:r>
        <w:rPr>
          <w:lang w:val="fr-FR"/>
        </w:rPr>
        <w:t>Les activités communes du Réseau sont réalisées à l</w:t>
      </w:r>
      <w:r w:rsidR="00B34E4F">
        <w:rPr>
          <w:lang w:val="fr-FR"/>
        </w:rPr>
        <w:t>’</w:t>
      </w:r>
      <w:r>
        <w:rPr>
          <w:lang w:val="fr-FR"/>
        </w:rPr>
        <w:t>aide de ressources constituées de contributions en nature et financières des organisations de coparrainage, de contributions volontaires en nature des partenaires/membres contributeurs et de contributions financières des partenaires financiers au fonds d</w:t>
      </w:r>
      <w:r w:rsidR="00B34E4F">
        <w:rPr>
          <w:lang w:val="fr-FR"/>
        </w:rPr>
        <w:t>’</w:t>
      </w:r>
      <w:r>
        <w:rPr>
          <w:lang w:val="fr-FR"/>
        </w:rPr>
        <w:t xml:space="preserve">affectation spéciale du Réseau. </w:t>
      </w:r>
    </w:p>
    <w:p w14:paraId="4FA951E5" w14:textId="50D10E84" w:rsidR="0016755A" w:rsidRPr="00DD28CE" w:rsidRDefault="0016755A" w:rsidP="00BB6262">
      <w:pPr>
        <w:spacing w:before="240" w:after="240"/>
        <w:jc w:val="left"/>
        <w:rPr>
          <w:rFonts w:eastAsia="Times New Roman" w:cstheme="majorBidi"/>
          <w:lang w:val="fr-FR"/>
        </w:rPr>
      </w:pPr>
      <w:r>
        <w:rPr>
          <w:lang w:val="fr-FR"/>
        </w:rPr>
        <w:t>Sur la base de l</w:t>
      </w:r>
      <w:r w:rsidR="00B34E4F">
        <w:rPr>
          <w:lang w:val="fr-FR"/>
        </w:rPr>
        <w:t>’</w:t>
      </w:r>
      <w:r>
        <w:rPr>
          <w:lang w:val="fr-FR"/>
        </w:rPr>
        <w:t>arrangement actuel, le Réseau a en pratique déjà été coparrainé par l</w:t>
      </w:r>
      <w:r w:rsidR="00B34E4F">
        <w:rPr>
          <w:lang w:val="fr-FR"/>
        </w:rPr>
        <w:t>’</w:t>
      </w:r>
      <w:r>
        <w:rPr>
          <w:lang w:val="fr-FR"/>
        </w:rPr>
        <w:t>OMS, l</w:t>
      </w:r>
      <w:r w:rsidR="00B34E4F">
        <w:rPr>
          <w:lang w:val="fr-FR"/>
        </w:rPr>
        <w:t>’</w:t>
      </w:r>
      <w:r>
        <w:rPr>
          <w:lang w:val="fr-FR"/>
        </w:rPr>
        <w:t xml:space="preserve">OMM et la </w:t>
      </w:r>
      <w:proofErr w:type="spellStart"/>
      <w:r>
        <w:rPr>
          <w:lang w:val="fr-FR"/>
        </w:rPr>
        <w:t>NOAA</w:t>
      </w:r>
      <w:proofErr w:type="spellEnd"/>
      <w:r>
        <w:rPr>
          <w:lang w:val="fr-FR"/>
        </w:rPr>
        <w:t xml:space="preserve"> depuis 2017, et serait donc passé à ce nouveau modèle par un échange de lettres. Sur la base de la situation actuelle, y compris les ressources disponibles évaluées, la transition proposée comprend:</w:t>
      </w:r>
    </w:p>
    <w:p w14:paraId="2DB7921D" w14:textId="0BC77406" w:rsidR="0016755A" w:rsidRPr="00DD28CE" w:rsidRDefault="0016755A" w:rsidP="00BB6262">
      <w:pPr>
        <w:spacing w:before="240" w:after="240"/>
        <w:jc w:val="left"/>
        <w:rPr>
          <w:rFonts w:eastAsia="Times New Roman" w:cstheme="majorBidi"/>
          <w:lang w:val="fr-FR"/>
        </w:rPr>
      </w:pPr>
      <w:r w:rsidRPr="0015461C">
        <w:rPr>
          <w:b/>
          <w:bCs/>
          <w:lang w:val="fr-FR"/>
        </w:rPr>
        <w:t>L</w:t>
      </w:r>
      <w:r w:rsidR="00B34E4F">
        <w:rPr>
          <w:b/>
          <w:bCs/>
          <w:lang w:val="fr-FR"/>
        </w:rPr>
        <w:t>’</w:t>
      </w:r>
      <w:r w:rsidRPr="0015461C">
        <w:rPr>
          <w:b/>
          <w:bCs/>
          <w:lang w:val="fr-FR"/>
        </w:rPr>
        <w:t>OMM</w:t>
      </w:r>
      <w:r>
        <w:rPr>
          <w:lang w:val="fr-FR"/>
        </w:rPr>
        <w:t xml:space="preserve"> continuera à soutenir le Réseau par des contributions en nature et financières, notamment:</w:t>
      </w:r>
    </w:p>
    <w:p w14:paraId="4C36F0B6" w14:textId="01F91177" w:rsidR="002511EF" w:rsidRPr="00DD28CE" w:rsidRDefault="00E344E4" w:rsidP="002511EF">
      <w:pPr>
        <w:pStyle w:val="ListParagraph"/>
        <w:numPr>
          <w:ilvl w:val="0"/>
          <w:numId w:val="22"/>
        </w:numPr>
        <w:spacing w:before="120" w:after="240" w:line="240" w:lineRule="auto"/>
        <w:ind w:left="1134" w:hanging="567"/>
        <w:contextualSpacing w:val="0"/>
        <w:rPr>
          <w:rFonts w:ascii="Verdana" w:hAnsi="Verdana"/>
          <w:sz w:val="20"/>
          <w:szCs w:val="20"/>
          <w:lang w:val="fr-FR"/>
        </w:rPr>
      </w:pPr>
      <w:r w:rsidRPr="002511EF">
        <w:rPr>
          <w:rFonts w:ascii="Verdana" w:hAnsi="Verdana"/>
          <w:sz w:val="20"/>
          <w:szCs w:val="20"/>
          <w:lang w:val="fr-FR"/>
        </w:rPr>
        <w:t>La mise à disposition de personnel professionnel et de services généraux par le Département des services de l</w:t>
      </w:r>
      <w:r w:rsidR="00B34E4F">
        <w:rPr>
          <w:rFonts w:ascii="Verdana" w:hAnsi="Verdana"/>
          <w:sz w:val="20"/>
          <w:szCs w:val="20"/>
          <w:lang w:val="fr-FR"/>
        </w:rPr>
        <w:t>’</w:t>
      </w:r>
      <w:r w:rsidRPr="002511EF">
        <w:rPr>
          <w:rFonts w:ascii="Verdana" w:hAnsi="Verdana"/>
          <w:sz w:val="20"/>
          <w:szCs w:val="20"/>
          <w:lang w:val="fr-FR"/>
        </w:rPr>
        <w:t xml:space="preserve">OMM à la TSU; </w:t>
      </w:r>
    </w:p>
    <w:p w14:paraId="547625CB" w14:textId="72BD52A7" w:rsidR="0016755A" w:rsidRPr="002511EF" w:rsidRDefault="00E344E4" w:rsidP="002511EF">
      <w:pPr>
        <w:pStyle w:val="ListParagraph"/>
        <w:numPr>
          <w:ilvl w:val="0"/>
          <w:numId w:val="22"/>
        </w:numPr>
        <w:spacing w:before="120" w:after="240" w:line="240" w:lineRule="auto"/>
        <w:ind w:left="1134" w:hanging="567"/>
        <w:contextualSpacing w:val="0"/>
        <w:rPr>
          <w:rFonts w:ascii="Verdana" w:hAnsi="Verdana"/>
          <w:sz w:val="20"/>
          <w:szCs w:val="20"/>
          <w:lang w:val="fr-FR"/>
        </w:rPr>
      </w:pPr>
      <w:r w:rsidRPr="002511EF">
        <w:rPr>
          <w:rFonts w:ascii="Verdana" w:hAnsi="Verdana"/>
          <w:sz w:val="20"/>
          <w:szCs w:val="20"/>
          <w:lang w:val="fr-FR"/>
        </w:rPr>
        <w:t xml:space="preserve">La fourniture de la logistique sous forme de bureaux et de services publics pour la TSU du Réseau; </w:t>
      </w:r>
    </w:p>
    <w:p w14:paraId="5394B3E3" w14:textId="7AA18E06" w:rsidR="0016755A" w:rsidRPr="008B5770" w:rsidRDefault="00E344E4" w:rsidP="002511EF">
      <w:pPr>
        <w:pStyle w:val="ListParagraph"/>
        <w:numPr>
          <w:ilvl w:val="0"/>
          <w:numId w:val="22"/>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t>Fourniture d</w:t>
      </w:r>
      <w:r w:rsidR="00B34E4F">
        <w:rPr>
          <w:rFonts w:ascii="Verdana" w:hAnsi="Verdana"/>
          <w:sz w:val="20"/>
          <w:szCs w:val="20"/>
          <w:lang w:val="fr-FR"/>
        </w:rPr>
        <w:t>’</w:t>
      </w:r>
      <w:r w:rsidRPr="0015461C">
        <w:rPr>
          <w:rFonts w:ascii="Verdana" w:hAnsi="Verdana"/>
          <w:sz w:val="20"/>
          <w:szCs w:val="20"/>
          <w:lang w:val="fr-FR"/>
        </w:rPr>
        <w:t>apports techniques par le Département des services de l</w:t>
      </w:r>
      <w:r w:rsidR="00B34E4F">
        <w:rPr>
          <w:rFonts w:ascii="Verdana" w:hAnsi="Verdana"/>
          <w:sz w:val="20"/>
          <w:szCs w:val="20"/>
          <w:lang w:val="fr-FR"/>
        </w:rPr>
        <w:t>’</w:t>
      </w:r>
      <w:r w:rsidRPr="0015461C">
        <w:rPr>
          <w:rFonts w:ascii="Verdana" w:hAnsi="Verdana"/>
          <w:sz w:val="20"/>
          <w:szCs w:val="20"/>
          <w:lang w:val="fr-FR"/>
        </w:rPr>
        <w:t>OMM et le Département des sciences et de l</w:t>
      </w:r>
      <w:r w:rsidR="00B34E4F">
        <w:rPr>
          <w:rFonts w:ascii="Verdana" w:hAnsi="Verdana"/>
          <w:sz w:val="20"/>
          <w:szCs w:val="20"/>
          <w:lang w:val="fr-FR"/>
        </w:rPr>
        <w:t>’</w:t>
      </w:r>
      <w:r w:rsidRPr="0015461C">
        <w:rPr>
          <w:rFonts w:ascii="Verdana" w:hAnsi="Verdana"/>
          <w:sz w:val="20"/>
          <w:szCs w:val="20"/>
          <w:lang w:val="fr-FR"/>
        </w:rPr>
        <w:t>innovation;</w:t>
      </w:r>
    </w:p>
    <w:p w14:paraId="0AC5EED3" w14:textId="3C0B7FDE" w:rsidR="0016755A" w:rsidRPr="008B5770" w:rsidRDefault="0016755A" w:rsidP="002511EF">
      <w:pPr>
        <w:pStyle w:val="ListParagraph"/>
        <w:numPr>
          <w:ilvl w:val="0"/>
          <w:numId w:val="22"/>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t>Faciliter l</w:t>
      </w:r>
      <w:r w:rsidR="00B34E4F">
        <w:rPr>
          <w:rFonts w:ascii="Verdana" w:hAnsi="Verdana"/>
          <w:sz w:val="20"/>
          <w:szCs w:val="20"/>
          <w:lang w:val="fr-FR"/>
        </w:rPr>
        <w:t>’</w:t>
      </w:r>
      <w:r w:rsidRPr="0015461C">
        <w:rPr>
          <w:rFonts w:ascii="Verdana" w:hAnsi="Verdana"/>
          <w:sz w:val="20"/>
          <w:szCs w:val="20"/>
          <w:lang w:val="fr-FR"/>
        </w:rPr>
        <w:t>interaction et les liens avec les organes techniques de la Commission des services de l</w:t>
      </w:r>
      <w:r w:rsidR="00B34E4F">
        <w:rPr>
          <w:rFonts w:ascii="Verdana" w:hAnsi="Verdana"/>
          <w:sz w:val="20"/>
          <w:szCs w:val="20"/>
          <w:lang w:val="fr-FR"/>
        </w:rPr>
        <w:t>’</w:t>
      </w:r>
      <w:r w:rsidRPr="0015461C">
        <w:rPr>
          <w:rFonts w:ascii="Verdana" w:hAnsi="Verdana"/>
          <w:sz w:val="20"/>
          <w:szCs w:val="20"/>
          <w:lang w:val="fr-FR"/>
        </w:rPr>
        <w:t xml:space="preserve">OMM; </w:t>
      </w:r>
    </w:p>
    <w:p w14:paraId="6667C295" w14:textId="370F9F38" w:rsidR="0016755A" w:rsidRPr="0015461C" w:rsidRDefault="0016755A" w:rsidP="002511EF">
      <w:pPr>
        <w:pStyle w:val="ListParagraph"/>
        <w:numPr>
          <w:ilvl w:val="0"/>
          <w:numId w:val="22"/>
        </w:numPr>
        <w:spacing w:before="120" w:after="240" w:line="240" w:lineRule="auto"/>
        <w:ind w:left="1134" w:hanging="567"/>
        <w:contextualSpacing w:val="0"/>
        <w:rPr>
          <w:rFonts w:ascii="Verdana" w:eastAsiaTheme="minorEastAsia" w:hAnsi="Verdana"/>
          <w:sz w:val="18"/>
          <w:szCs w:val="18"/>
          <w:lang w:val="fr-FR"/>
        </w:rPr>
      </w:pPr>
      <w:r w:rsidRPr="0015461C">
        <w:rPr>
          <w:rFonts w:ascii="Verdana" w:hAnsi="Verdana"/>
          <w:sz w:val="20"/>
          <w:szCs w:val="20"/>
          <w:lang w:val="fr-FR"/>
        </w:rPr>
        <w:t>Faciliter la mise à jour des orientations techniques, des données et des bonnes pratiques en matière de chaleur et de santé par les membres et les partenaires de l</w:t>
      </w:r>
      <w:r w:rsidR="00B34E4F">
        <w:rPr>
          <w:rFonts w:ascii="Verdana" w:hAnsi="Verdana"/>
          <w:sz w:val="20"/>
          <w:szCs w:val="20"/>
          <w:lang w:val="fr-FR"/>
        </w:rPr>
        <w:t>’</w:t>
      </w:r>
      <w:r w:rsidRPr="0015461C">
        <w:rPr>
          <w:rFonts w:ascii="Verdana" w:hAnsi="Verdana"/>
          <w:sz w:val="20"/>
          <w:szCs w:val="20"/>
          <w:lang w:val="fr-FR"/>
        </w:rPr>
        <w:t>OMM.</w:t>
      </w:r>
    </w:p>
    <w:p w14:paraId="35A0B53B" w14:textId="4C4555F1" w:rsidR="0016755A" w:rsidRPr="00DD28CE" w:rsidRDefault="0016755A" w:rsidP="00BB6262">
      <w:pPr>
        <w:spacing w:before="240" w:after="240"/>
        <w:jc w:val="left"/>
        <w:rPr>
          <w:rFonts w:eastAsia="Times New Roman" w:cstheme="majorBidi"/>
          <w:lang w:val="fr-FR"/>
        </w:rPr>
      </w:pPr>
      <w:r w:rsidRPr="0015461C">
        <w:rPr>
          <w:b/>
          <w:bCs/>
          <w:lang w:val="fr-FR"/>
        </w:rPr>
        <w:t>L</w:t>
      </w:r>
      <w:r w:rsidR="00B34E4F">
        <w:rPr>
          <w:b/>
          <w:bCs/>
          <w:lang w:val="fr-FR"/>
        </w:rPr>
        <w:t>’</w:t>
      </w:r>
      <w:r w:rsidRPr="0015461C">
        <w:rPr>
          <w:b/>
          <w:bCs/>
          <w:lang w:val="fr-FR"/>
        </w:rPr>
        <w:t>OMS</w:t>
      </w:r>
      <w:r>
        <w:rPr>
          <w:lang w:val="fr-FR"/>
        </w:rPr>
        <w:t xml:space="preserve"> continuera à soutenir le Réseau grâce à l</w:t>
      </w:r>
      <w:r w:rsidR="00B34E4F">
        <w:rPr>
          <w:lang w:val="fr-FR"/>
        </w:rPr>
        <w:t>’</w:t>
      </w:r>
      <w:r>
        <w:rPr>
          <w:lang w:val="fr-FR"/>
        </w:rPr>
        <w:t xml:space="preserve">appui combiné du programme Climat et santé, de la préparation aux urgences sanitaires et des Bureaux régionaux. </w:t>
      </w:r>
    </w:p>
    <w:p w14:paraId="71556FDF" w14:textId="406F4717" w:rsidR="0016755A" w:rsidRPr="00DD28CE" w:rsidRDefault="0016755A" w:rsidP="00303A68">
      <w:pPr>
        <w:spacing w:before="240" w:after="240"/>
        <w:jc w:val="left"/>
        <w:rPr>
          <w:rFonts w:eastAsia="Times New Roman" w:cstheme="majorBidi"/>
          <w:lang w:val="fr-FR"/>
        </w:rPr>
      </w:pPr>
      <w:r>
        <w:rPr>
          <w:lang w:val="fr-FR"/>
        </w:rPr>
        <w:t>Les contributions en nature et financières de l</w:t>
      </w:r>
      <w:r w:rsidR="00B34E4F">
        <w:rPr>
          <w:lang w:val="fr-FR"/>
        </w:rPr>
        <w:t>’</w:t>
      </w:r>
      <w:r>
        <w:rPr>
          <w:lang w:val="fr-FR"/>
        </w:rPr>
        <w:t xml:space="preserve">OMS sont les suivantes: </w:t>
      </w:r>
    </w:p>
    <w:p w14:paraId="75B1BD3D" w14:textId="14E07604" w:rsidR="0016755A" w:rsidRPr="00303A68" w:rsidRDefault="00FF5960" w:rsidP="00303A68">
      <w:pPr>
        <w:pStyle w:val="ListParagraph"/>
        <w:numPr>
          <w:ilvl w:val="0"/>
          <w:numId w:val="23"/>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t>La mise à disposition d</w:t>
      </w:r>
      <w:r w:rsidR="00B34E4F">
        <w:rPr>
          <w:rFonts w:ascii="Verdana" w:hAnsi="Verdana"/>
          <w:sz w:val="20"/>
          <w:szCs w:val="20"/>
          <w:lang w:val="fr-FR"/>
        </w:rPr>
        <w:t>’</w:t>
      </w:r>
      <w:r w:rsidRPr="0015461C">
        <w:rPr>
          <w:rFonts w:ascii="Verdana" w:hAnsi="Verdana"/>
          <w:sz w:val="20"/>
          <w:szCs w:val="20"/>
          <w:lang w:val="fr-FR"/>
        </w:rPr>
        <w:t xml:space="preserve">un personnel détaché pour soutenir la TSU; </w:t>
      </w:r>
    </w:p>
    <w:p w14:paraId="3EB5B77C" w14:textId="77777777" w:rsidR="0016755A" w:rsidRPr="00303A68" w:rsidRDefault="00FF5960" w:rsidP="00303A68">
      <w:pPr>
        <w:pStyle w:val="ListParagraph"/>
        <w:numPr>
          <w:ilvl w:val="0"/>
          <w:numId w:val="23"/>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t xml:space="preserve">Hébergement de sites Web pour les parties pertinentes du Réseau; </w:t>
      </w:r>
    </w:p>
    <w:p w14:paraId="5C4CE04B" w14:textId="11A4303A" w:rsidR="0016755A" w:rsidRPr="00303A68" w:rsidRDefault="00FF5960" w:rsidP="00303A68">
      <w:pPr>
        <w:pStyle w:val="ListParagraph"/>
        <w:numPr>
          <w:ilvl w:val="0"/>
          <w:numId w:val="23"/>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t>Fourniture d</w:t>
      </w:r>
      <w:r w:rsidR="00B34E4F">
        <w:rPr>
          <w:rFonts w:ascii="Verdana" w:hAnsi="Verdana"/>
          <w:sz w:val="20"/>
          <w:szCs w:val="20"/>
          <w:lang w:val="fr-FR"/>
        </w:rPr>
        <w:t>’</w:t>
      </w:r>
      <w:r w:rsidRPr="0015461C">
        <w:rPr>
          <w:rFonts w:ascii="Verdana" w:hAnsi="Verdana"/>
          <w:sz w:val="20"/>
          <w:szCs w:val="20"/>
          <w:lang w:val="fr-FR"/>
        </w:rPr>
        <w:t>apports techniques par le biais des projets et du personnel du secrétariat;</w:t>
      </w:r>
    </w:p>
    <w:p w14:paraId="0C458BB2" w14:textId="7F41513B" w:rsidR="0016755A" w:rsidRPr="00303A68" w:rsidRDefault="0016755A" w:rsidP="00303A68">
      <w:pPr>
        <w:pStyle w:val="ListParagraph"/>
        <w:numPr>
          <w:ilvl w:val="0"/>
          <w:numId w:val="23"/>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t>Faciliter l</w:t>
      </w:r>
      <w:r w:rsidR="00B34E4F">
        <w:rPr>
          <w:rFonts w:ascii="Verdana" w:hAnsi="Verdana"/>
          <w:sz w:val="20"/>
          <w:szCs w:val="20"/>
          <w:lang w:val="fr-FR"/>
        </w:rPr>
        <w:t>’</w:t>
      </w:r>
      <w:r w:rsidRPr="0015461C">
        <w:rPr>
          <w:rFonts w:ascii="Verdana" w:hAnsi="Verdana"/>
          <w:sz w:val="20"/>
          <w:szCs w:val="20"/>
          <w:lang w:val="fr-FR"/>
        </w:rPr>
        <w:t xml:space="preserve">interaction et les liens avec les organisations régionales et les centres de collaboration, ainsi que les réseaux pertinents tels que la plateforme thématique pour la gestion des urgences sanitaires et des risques de catastrophe; </w:t>
      </w:r>
    </w:p>
    <w:p w14:paraId="630CD519" w14:textId="40FA3FA3" w:rsidR="0016755A" w:rsidRPr="0015461C" w:rsidRDefault="0016755A" w:rsidP="00303A68">
      <w:pPr>
        <w:pStyle w:val="ListParagraph"/>
        <w:numPr>
          <w:ilvl w:val="0"/>
          <w:numId w:val="23"/>
        </w:numPr>
        <w:spacing w:before="120" w:after="240" w:line="240" w:lineRule="auto"/>
        <w:ind w:left="1134" w:hanging="567"/>
        <w:contextualSpacing w:val="0"/>
        <w:rPr>
          <w:rFonts w:ascii="Verdana" w:eastAsia="Verdana" w:hAnsi="Verdana" w:cs="Verdana"/>
          <w:sz w:val="18"/>
          <w:szCs w:val="18"/>
          <w:lang w:val="fr-FR"/>
        </w:rPr>
      </w:pPr>
      <w:r w:rsidRPr="0015461C">
        <w:rPr>
          <w:rFonts w:ascii="Verdana" w:hAnsi="Verdana"/>
          <w:sz w:val="20"/>
          <w:szCs w:val="20"/>
          <w:lang w:val="fr-FR"/>
        </w:rPr>
        <w:t>Faciliter la mise à jour des orientations techniques, des preuves et des bonnes pratiques sur la chaleur et la santé par les membres et les partenaires de l</w:t>
      </w:r>
      <w:r w:rsidR="00B34E4F">
        <w:rPr>
          <w:rFonts w:ascii="Verdana" w:hAnsi="Verdana"/>
          <w:sz w:val="20"/>
          <w:szCs w:val="20"/>
          <w:lang w:val="fr-FR"/>
        </w:rPr>
        <w:t>’</w:t>
      </w:r>
      <w:r w:rsidRPr="0015461C">
        <w:rPr>
          <w:rFonts w:ascii="Verdana" w:hAnsi="Verdana"/>
          <w:sz w:val="20"/>
          <w:szCs w:val="20"/>
          <w:lang w:val="fr-FR"/>
        </w:rPr>
        <w:t>OMS.</w:t>
      </w:r>
    </w:p>
    <w:p w14:paraId="7E580B13" w14:textId="77777777" w:rsidR="0016755A" w:rsidRPr="00DD28CE" w:rsidRDefault="0016755A" w:rsidP="00BB6262">
      <w:pPr>
        <w:spacing w:before="240" w:after="240"/>
        <w:jc w:val="left"/>
        <w:rPr>
          <w:rFonts w:eastAsia="Times New Roman" w:cstheme="majorBidi"/>
          <w:lang w:val="fr-FR"/>
        </w:rPr>
      </w:pPr>
      <w:r>
        <w:rPr>
          <w:lang w:val="fr-FR"/>
        </w:rPr>
        <w:t xml:space="preserve">La </w:t>
      </w:r>
      <w:proofErr w:type="spellStart"/>
      <w:r w:rsidRPr="0015461C">
        <w:rPr>
          <w:b/>
          <w:bCs/>
          <w:lang w:val="fr-FR"/>
        </w:rPr>
        <w:t>NOAA</w:t>
      </w:r>
      <w:proofErr w:type="spellEnd"/>
      <w:r>
        <w:rPr>
          <w:lang w:val="fr-FR"/>
        </w:rPr>
        <w:t xml:space="preserve"> continuera à soutenir le réseau par le biais de:</w:t>
      </w:r>
    </w:p>
    <w:p w14:paraId="12ADE6CB" w14:textId="77777777" w:rsidR="0016755A" w:rsidRPr="0015461C" w:rsidRDefault="00FF5960" w:rsidP="00D534A5">
      <w:pPr>
        <w:pStyle w:val="ListParagraph"/>
        <w:numPr>
          <w:ilvl w:val="0"/>
          <w:numId w:val="24"/>
        </w:numPr>
        <w:spacing w:before="120" w:after="240" w:line="240" w:lineRule="auto"/>
        <w:ind w:left="1134" w:hanging="567"/>
        <w:contextualSpacing w:val="0"/>
        <w:rPr>
          <w:rFonts w:ascii="Verdana" w:eastAsia="Times New Roman" w:hAnsi="Verdana" w:cstheme="majorBidi"/>
          <w:sz w:val="18"/>
          <w:szCs w:val="18"/>
          <w:lang w:val="fr-FR"/>
        </w:rPr>
      </w:pPr>
      <w:r w:rsidRPr="0015461C">
        <w:rPr>
          <w:rFonts w:ascii="Verdana" w:hAnsi="Verdana"/>
          <w:sz w:val="20"/>
          <w:szCs w:val="20"/>
          <w:lang w:val="fr-FR"/>
        </w:rPr>
        <w:t xml:space="preserve">La mise à disposition de personnel détaché ou en nature pour la TSU; </w:t>
      </w:r>
    </w:p>
    <w:p w14:paraId="347BBC35" w14:textId="52666E72" w:rsidR="0016755A" w:rsidRPr="0015461C" w:rsidRDefault="00FF5960" w:rsidP="00D534A5">
      <w:pPr>
        <w:pStyle w:val="ListParagraph"/>
        <w:numPr>
          <w:ilvl w:val="0"/>
          <w:numId w:val="24"/>
        </w:numPr>
        <w:spacing w:before="120" w:after="240" w:line="240" w:lineRule="auto"/>
        <w:ind w:left="1134" w:hanging="567"/>
        <w:contextualSpacing w:val="0"/>
        <w:rPr>
          <w:rFonts w:ascii="Verdana" w:eastAsia="Times New Roman" w:hAnsi="Verdana" w:cstheme="majorBidi"/>
          <w:sz w:val="18"/>
          <w:szCs w:val="18"/>
          <w:lang w:val="fr-FR"/>
        </w:rPr>
      </w:pPr>
      <w:r w:rsidRPr="0015461C">
        <w:rPr>
          <w:rFonts w:ascii="Verdana" w:hAnsi="Verdana"/>
          <w:sz w:val="20"/>
          <w:szCs w:val="20"/>
          <w:lang w:val="fr-FR"/>
        </w:rPr>
        <w:t>La fourniture de données techniques provenant du système national d</w:t>
      </w:r>
      <w:r w:rsidR="00B34E4F">
        <w:rPr>
          <w:rFonts w:ascii="Verdana" w:hAnsi="Verdana"/>
          <w:sz w:val="20"/>
          <w:szCs w:val="20"/>
          <w:lang w:val="fr-FR"/>
        </w:rPr>
        <w:t>’</w:t>
      </w:r>
      <w:r w:rsidRPr="0015461C">
        <w:rPr>
          <w:rFonts w:ascii="Verdana" w:hAnsi="Verdana"/>
          <w:sz w:val="20"/>
          <w:szCs w:val="20"/>
          <w:lang w:val="fr-FR"/>
        </w:rPr>
        <w:t>information sur les effets sanitaires de la chaleur et d</w:t>
      </w:r>
      <w:r w:rsidR="00B34E4F">
        <w:rPr>
          <w:rFonts w:ascii="Verdana" w:hAnsi="Verdana"/>
          <w:sz w:val="20"/>
          <w:szCs w:val="20"/>
          <w:lang w:val="fr-FR"/>
        </w:rPr>
        <w:t>’</w:t>
      </w:r>
      <w:r w:rsidRPr="0015461C">
        <w:rPr>
          <w:rFonts w:ascii="Verdana" w:hAnsi="Verdana"/>
          <w:sz w:val="20"/>
          <w:szCs w:val="20"/>
          <w:lang w:val="fr-FR"/>
        </w:rPr>
        <w:t xml:space="preserve">autres programmes opérationnels et de recherche de la </w:t>
      </w:r>
      <w:proofErr w:type="spellStart"/>
      <w:r w:rsidRPr="0015461C">
        <w:rPr>
          <w:rFonts w:ascii="Verdana" w:hAnsi="Verdana"/>
          <w:sz w:val="20"/>
          <w:szCs w:val="20"/>
          <w:lang w:val="fr-FR"/>
        </w:rPr>
        <w:t>NOAA</w:t>
      </w:r>
      <w:proofErr w:type="spellEnd"/>
      <w:r w:rsidRPr="0015461C">
        <w:rPr>
          <w:rFonts w:ascii="Verdana" w:hAnsi="Verdana"/>
          <w:sz w:val="20"/>
          <w:szCs w:val="20"/>
          <w:lang w:val="fr-FR"/>
        </w:rPr>
        <w:t>;</w:t>
      </w:r>
    </w:p>
    <w:p w14:paraId="09F01B84" w14:textId="77777777" w:rsidR="0016755A" w:rsidRPr="00D534A5" w:rsidRDefault="00FF5960" w:rsidP="00D534A5">
      <w:pPr>
        <w:pStyle w:val="ListParagraph"/>
        <w:numPr>
          <w:ilvl w:val="0"/>
          <w:numId w:val="24"/>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lastRenderedPageBreak/>
        <w:t>La mise à disposition de ressources pour certaines activités ou réunions;</w:t>
      </w:r>
    </w:p>
    <w:p w14:paraId="5B5C5DC2" w14:textId="50F83F79" w:rsidR="0016755A" w:rsidRPr="00D534A5" w:rsidRDefault="00FF5960" w:rsidP="00D534A5">
      <w:pPr>
        <w:pStyle w:val="ListParagraph"/>
        <w:numPr>
          <w:ilvl w:val="0"/>
          <w:numId w:val="24"/>
        </w:numPr>
        <w:spacing w:before="120" w:after="240" w:line="240" w:lineRule="auto"/>
        <w:ind w:left="1134" w:hanging="567"/>
        <w:contextualSpacing w:val="0"/>
        <w:rPr>
          <w:rFonts w:ascii="Verdana" w:hAnsi="Verdana"/>
          <w:sz w:val="20"/>
          <w:szCs w:val="20"/>
          <w:lang w:val="fr-FR"/>
        </w:rPr>
      </w:pPr>
      <w:r w:rsidRPr="0015461C">
        <w:rPr>
          <w:rFonts w:ascii="Verdana" w:hAnsi="Verdana"/>
          <w:sz w:val="20"/>
          <w:szCs w:val="20"/>
          <w:lang w:val="fr-FR"/>
        </w:rPr>
        <w:t>Faciliter l</w:t>
      </w:r>
      <w:r w:rsidR="00B34E4F">
        <w:rPr>
          <w:rFonts w:ascii="Verdana" w:hAnsi="Verdana"/>
          <w:sz w:val="20"/>
          <w:szCs w:val="20"/>
          <w:lang w:val="fr-FR"/>
        </w:rPr>
        <w:t>’</w:t>
      </w:r>
      <w:r w:rsidRPr="0015461C">
        <w:rPr>
          <w:rFonts w:ascii="Verdana" w:hAnsi="Verdana"/>
          <w:sz w:val="20"/>
          <w:szCs w:val="20"/>
          <w:lang w:val="fr-FR"/>
        </w:rPr>
        <w:t>engagement et les liens avec d</w:t>
      </w:r>
      <w:r w:rsidR="00B34E4F">
        <w:rPr>
          <w:rFonts w:ascii="Verdana" w:hAnsi="Verdana"/>
          <w:sz w:val="20"/>
          <w:szCs w:val="20"/>
          <w:lang w:val="fr-FR"/>
        </w:rPr>
        <w:t>’</w:t>
      </w:r>
      <w:r w:rsidRPr="0015461C">
        <w:rPr>
          <w:rFonts w:ascii="Verdana" w:hAnsi="Verdana"/>
          <w:sz w:val="20"/>
          <w:szCs w:val="20"/>
          <w:lang w:val="fr-FR"/>
        </w:rPr>
        <w:t xml:space="preserve">autres partenaires de recherche, techniques et politiques pertinents; </w:t>
      </w:r>
    </w:p>
    <w:p w14:paraId="0185CE45" w14:textId="69F85FD2" w:rsidR="0016755A" w:rsidRPr="0015461C" w:rsidRDefault="00FF5960" w:rsidP="00D534A5">
      <w:pPr>
        <w:pStyle w:val="ListParagraph"/>
        <w:numPr>
          <w:ilvl w:val="0"/>
          <w:numId w:val="24"/>
        </w:numPr>
        <w:spacing w:before="120" w:after="240" w:line="240" w:lineRule="auto"/>
        <w:ind w:left="1134" w:hanging="567"/>
        <w:contextualSpacing w:val="0"/>
        <w:rPr>
          <w:rFonts w:ascii="Verdana" w:eastAsiaTheme="minorEastAsia" w:hAnsi="Verdana"/>
          <w:sz w:val="18"/>
          <w:szCs w:val="18"/>
          <w:lang w:val="fr-FR"/>
        </w:rPr>
      </w:pPr>
      <w:r w:rsidRPr="0015461C">
        <w:rPr>
          <w:rFonts w:ascii="Verdana" w:hAnsi="Verdana"/>
          <w:sz w:val="20"/>
          <w:szCs w:val="20"/>
          <w:lang w:val="fr-FR"/>
        </w:rPr>
        <w:t>Faciliter la mise à jour des preuves et des bonnes pratiques sur la chaleur et la santé par d</w:t>
      </w:r>
      <w:r w:rsidR="00B34E4F">
        <w:rPr>
          <w:rFonts w:ascii="Verdana" w:hAnsi="Verdana"/>
          <w:sz w:val="20"/>
          <w:szCs w:val="20"/>
          <w:lang w:val="fr-FR"/>
        </w:rPr>
        <w:t>’</w:t>
      </w:r>
      <w:r w:rsidRPr="0015461C">
        <w:rPr>
          <w:rFonts w:ascii="Verdana" w:hAnsi="Verdana"/>
          <w:sz w:val="20"/>
          <w:szCs w:val="20"/>
          <w:lang w:val="fr-FR"/>
        </w:rPr>
        <w:t>autres agences fédérales et partenaires.</w:t>
      </w:r>
    </w:p>
    <w:p w14:paraId="7D937790" w14:textId="77777777" w:rsidR="00D534A5" w:rsidRDefault="00D534A5">
      <w:pPr>
        <w:tabs>
          <w:tab w:val="clear" w:pos="1134"/>
        </w:tabs>
        <w:jc w:val="left"/>
        <w:rPr>
          <w:rFonts w:eastAsia="Verdana" w:cs="Verdana"/>
          <w:b/>
          <w:bCs/>
          <w:caps/>
          <w:kern w:val="32"/>
          <w:lang w:val="fr-FR" w:eastAsia="zh-TW"/>
        </w:rPr>
      </w:pPr>
      <w:r>
        <w:rPr>
          <w:lang w:val="fr-FR"/>
        </w:rPr>
        <w:br w:type="page"/>
      </w:r>
    </w:p>
    <w:p w14:paraId="0546EB09" w14:textId="4512CEC7" w:rsidR="0016755A" w:rsidRPr="0015461C" w:rsidRDefault="0016755A" w:rsidP="00BB6262">
      <w:pPr>
        <w:pStyle w:val="Heading1"/>
        <w:spacing w:before="240" w:after="240"/>
        <w:jc w:val="left"/>
        <w:rPr>
          <w:rFonts w:eastAsia="Times New Roman"/>
          <w:b w:val="0"/>
          <w:bCs w:val="0"/>
          <w:sz w:val="16"/>
          <w:szCs w:val="16"/>
          <w:lang w:val="fr-FR"/>
        </w:rPr>
      </w:pPr>
      <w:r w:rsidRPr="0015461C">
        <w:rPr>
          <w:sz w:val="20"/>
          <w:szCs w:val="20"/>
          <w:lang w:val="fr-FR"/>
        </w:rPr>
        <w:lastRenderedPageBreak/>
        <w:t>Section 5: Responsabilit</w:t>
      </w:r>
      <w:r w:rsidR="0015461C">
        <w:rPr>
          <w:sz w:val="20"/>
          <w:szCs w:val="20"/>
          <w:lang w:val="fr-FR"/>
        </w:rPr>
        <w:t>É</w:t>
      </w:r>
      <w:r w:rsidRPr="0015461C">
        <w:rPr>
          <w:sz w:val="20"/>
          <w:szCs w:val="20"/>
          <w:lang w:val="fr-FR"/>
        </w:rPr>
        <w:t xml:space="preserve"> </w:t>
      </w:r>
    </w:p>
    <w:p w14:paraId="0CB37411" w14:textId="5CB79C26" w:rsidR="00A711EC" w:rsidRDefault="0016755A" w:rsidP="00BB6262">
      <w:pPr>
        <w:spacing w:before="240" w:after="240"/>
        <w:jc w:val="left"/>
        <w:rPr>
          <w:lang w:val="fr-FR"/>
        </w:rPr>
      </w:pPr>
      <w:r>
        <w:rPr>
          <w:lang w:val="fr-FR"/>
        </w:rPr>
        <w:t xml:space="preserve">Ni les organisations de coparrainage, ni les partenaires contributeurs, ni les partenaires financiers et leur personnel ne peuvent être tenus pour responsables de tout dommage causé ou subi par une partie quelconque, y compris tout dommage causé à des tiers en conséquence des conseils, orientations et avis professionnels générés par le Réseau. Un avertissement clair à cet effet est fourni sur le site Web public </w:t>
      </w:r>
      <w:hyperlink r:id="rId14" w:history="1">
        <w:r w:rsidR="0015461C" w:rsidRPr="0015461C">
          <w:rPr>
            <w:rStyle w:val="Hyperlink"/>
            <w:lang w:val="fr-FR"/>
          </w:rPr>
          <w:t>https://</w:t>
        </w:r>
        <w:proofErr w:type="spellStart"/>
        <w:r w:rsidR="0015461C" w:rsidRPr="0015461C">
          <w:rPr>
            <w:rStyle w:val="Hyperlink"/>
            <w:lang w:val="fr-FR"/>
          </w:rPr>
          <w:t>ghhin.org</w:t>
        </w:r>
        <w:proofErr w:type="spellEnd"/>
        <w:r w:rsidR="0015461C" w:rsidRPr="0015461C">
          <w:rPr>
            <w:rStyle w:val="Hyperlink"/>
            <w:lang w:val="fr-FR"/>
          </w:rPr>
          <w:t>/</w:t>
        </w:r>
        <w:proofErr w:type="spellStart"/>
        <w:r w:rsidR="0015461C" w:rsidRPr="0015461C">
          <w:rPr>
            <w:rStyle w:val="Hyperlink"/>
            <w:lang w:val="fr-FR"/>
          </w:rPr>
          <w:t>legal</w:t>
        </w:r>
        <w:proofErr w:type="spellEnd"/>
        <w:r w:rsidR="0015461C" w:rsidRPr="0015461C">
          <w:rPr>
            <w:rStyle w:val="Hyperlink"/>
            <w:lang w:val="fr-FR"/>
          </w:rPr>
          <w:t>/</w:t>
        </w:r>
      </w:hyperlink>
      <w:r w:rsidR="0015461C">
        <w:rPr>
          <w:lang w:val="fr-FR"/>
        </w:rPr>
        <w:t>.</w:t>
      </w:r>
    </w:p>
    <w:p w14:paraId="0AEE5146" w14:textId="77777777" w:rsidR="00A711EC" w:rsidRDefault="00A711EC" w:rsidP="00A711EC">
      <w:pPr>
        <w:pStyle w:val="WMOBodyText"/>
        <w:rPr>
          <w:lang w:val="fr-FR"/>
        </w:rPr>
      </w:pPr>
      <w:r>
        <w:rPr>
          <w:lang w:val="fr-FR"/>
        </w:rPr>
        <w:br w:type="page"/>
      </w:r>
    </w:p>
    <w:p w14:paraId="5B786D33" w14:textId="0469515A" w:rsidR="0016755A" w:rsidRPr="00DD28CE" w:rsidRDefault="0016755A" w:rsidP="00A711EC">
      <w:pPr>
        <w:pStyle w:val="Heading1"/>
        <w:spacing w:after="240"/>
        <w:jc w:val="left"/>
        <w:rPr>
          <w:rFonts w:eastAsia="Times New Roman"/>
          <w:b w:val="0"/>
          <w:bCs w:val="0"/>
          <w:sz w:val="20"/>
          <w:szCs w:val="20"/>
          <w:lang w:val="fr-FR"/>
        </w:rPr>
      </w:pPr>
      <w:r w:rsidRPr="0015461C">
        <w:rPr>
          <w:sz w:val="20"/>
          <w:szCs w:val="20"/>
          <w:lang w:val="fr-FR"/>
        </w:rPr>
        <w:lastRenderedPageBreak/>
        <w:t>Section 6: Propri</w:t>
      </w:r>
      <w:r w:rsidR="0015461C" w:rsidRPr="0015461C">
        <w:rPr>
          <w:sz w:val="20"/>
          <w:szCs w:val="20"/>
          <w:lang w:val="fr-FR"/>
        </w:rPr>
        <w:t>É</w:t>
      </w:r>
      <w:r w:rsidRPr="0015461C">
        <w:rPr>
          <w:sz w:val="20"/>
          <w:szCs w:val="20"/>
          <w:lang w:val="fr-FR"/>
        </w:rPr>
        <w:t>t</w:t>
      </w:r>
      <w:r w:rsidR="0015461C" w:rsidRPr="0015461C">
        <w:rPr>
          <w:sz w:val="20"/>
          <w:szCs w:val="20"/>
          <w:lang w:val="fr-FR"/>
        </w:rPr>
        <w:t>É</w:t>
      </w:r>
      <w:r w:rsidRPr="0015461C">
        <w:rPr>
          <w:sz w:val="20"/>
          <w:szCs w:val="20"/>
          <w:lang w:val="fr-FR"/>
        </w:rPr>
        <w:t xml:space="preserve"> intellectuelle</w:t>
      </w:r>
    </w:p>
    <w:p w14:paraId="360220DD" w14:textId="77777777" w:rsidR="0016755A" w:rsidRPr="00DD28CE" w:rsidRDefault="0016755A" w:rsidP="00BB6262">
      <w:pPr>
        <w:spacing w:before="240" w:after="240"/>
        <w:jc w:val="left"/>
        <w:rPr>
          <w:rFonts w:eastAsia="Times New Roman" w:cstheme="majorBidi"/>
          <w:lang w:val="fr-FR"/>
        </w:rPr>
      </w:pPr>
      <w:r>
        <w:rPr>
          <w:lang w:val="fr-FR"/>
        </w:rPr>
        <w:t>Le Réseau vise à avoir une politique ouverte de partage des données et des informations. Les partenaires de collaboration et les contributeurs au Réseau conservent la propriété et tous les droits, titres et intérêts relatifs à leur propriété intellectuelle préexistante respective, qui peut être partagée avec le Réseau ou présentée à celui-ci.</w:t>
      </w:r>
    </w:p>
    <w:p w14:paraId="0AB39A73" w14:textId="23609CA3" w:rsidR="0016755A" w:rsidRPr="00DD28CE" w:rsidRDefault="0016755A" w:rsidP="00BB6262">
      <w:pPr>
        <w:spacing w:before="240" w:after="240"/>
        <w:jc w:val="left"/>
        <w:rPr>
          <w:rFonts w:eastAsia="Times New Roman" w:cstheme="majorBidi"/>
          <w:lang w:val="fr-FR"/>
        </w:rPr>
      </w:pPr>
      <w:r>
        <w:rPr>
          <w:lang w:val="fr-FR"/>
        </w:rPr>
        <w:t>Sur la base d</w:t>
      </w:r>
      <w:r w:rsidR="00B34E4F">
        <w:rPr>
          <w:lang w:val="fr-FR"/>
        </w:rPr>
        <w:t>’</w:t>
      </w:r>
      <w:r>
        <w:rPr>
          <w:lang w:val="fr-FR"/>
        </w:rPr>
        <w:t>un accord écrit mutuel, les partenaires collaborateurs peuvent accorder au Réseau une licence illimitée, libre de redevances, perpétuelle, non exclusive, révocable et non transférable pour utiliser la propriété intellectuelle préexistante des contributeurs, comme spécifié par ces derniers.</w:t>
      </w:r>
      <w:r w:rsidR="00807EF1">
        <w:rPr>
          <w:lang w:val="fr-FR"/>
        </w:rPr>
        <w:t xml:space="preserve"> </w:t>
      </w:r>
      <w:r>
        <w:rPr>
          <w:lang w:val="fr-FR"/>
        </w:rPr>
        <w:t>Tous les documents imprimés et publiés par le Réseau mentionneront la source et les contributeurs originaux des documents. L</w:t>
      </w:r>
      <w:r w:rsidR="00B34E4F">
        <w:rPr>
          <w:lang w:val="fr-FR"/>
        </w:rPr>
        <w:t>’</w:t>
      </w:r>
      <w:r>
        <w:rPr>
          <w:lang w:val="fr-FR"/>
        </w:rPr>
        <w:t>autorisation d</w:t>
      </w:r>
      <w:r w:rsidR="00B34E4F">
        <w:rPr>
          <w:lang w:val="fr-FR"/>
        </w:rPr>
        <w:t>’</w:t>
      </w:r>
      <w:r>
        <w:rPr>
          <w:lang w:val="fr-FR"/>
        </w:rPr>
        <w:t>utiliser les logos institutionnels, les informations personnelles ou les contacts sera demandée par écrit pour tous les documents publiés.</w:t>
      </w:r>
      <w:r w:rsidR="00807EF1">
        <w:rPr>
          <w:lang w:val="fr-FR"/>
        </w:rPr>
        <w:t xml:space="preserve"> </w:t>
      </w:r>
    </w:p>
    <w:p w14:paraId="2738F14A" w14:textId="0B3C4EA5" w:rsidR="0016755A" w:rsidRPr="00DD28CE" w:rsidRDefault="0016755A" w:rsidP="00BB6262">
      <w:pPr>
        <w:spacing w:before="240" w:after="240"/>
        <w:jc w:val="left"/>
        <w:rPr>
          <w:rFonts w:eastAsia="Times New Roman" w:cstheme="majorBidi"/>
          <w:lang w:val="fr-FR"/>
        </w:rPr>
      </w:pPr>
      <w:r>
        <w:rPr>
          <w:lang w:val="fr-FR"/>
        </w:rPr>
        <w:t xml:space="preserve">Des informations complètes peuvent être consultées sur le site </w:t>
      </w:r>
      <w:hyperlink r:id="rId15" w:history="1">
        <w:r w:rsidRPr="0015461C">
          <w:rPr>
            <w:rStyle w:val="Hyperlink"/>
            <w:lang w:val="fr-FR"/>
          </w:rPr>
          <w:t>https://</w:t>
        </w:r>
        <w:proofErr w:type="spellStart"/>
        <w:r w:rsidRPr="0015461C">
          <w:rPr>
            <w:rStyle w:val="Hyperlink"/>
            <w:lang w:val="fr-FR"/>
          </w:rPr>
          <w:t>ghhin.org</w:t>
        </w:r>
        <w:proofErr w:type="spellEnd"/>
        <w:r w:rsidRPr="0015461C">
          <w:rPr>
            <w:rStyle w:val="Hyperlink"/>
            <w:lang w:val="fr-FR"/>
          </w:rPr>
          <w:t>/</w:t>
        </w:r>
        <w:proofErr w:type="spellStart"/>
        <w:r w:rsidRPr="0015461C">
          <w:rPr>
            <w:rStyle w:val="Hyperlink"/>
            <w:lang w:val="fr-FR"/>
          </w:rPr>
          <w:t>legal</w:t>
        </w:r>
        <w:proofErr w:type="spellEnd"/>
        <w:r w:rsidRPr="0015461C">
          <w:rPr>
            <w:rStyle w:val="Hyperlink"/>
            <w:lang w:val="fr-FR"/>
          </w:rPr>
          <w:t>/</w:t>
        </w:r>
      </w:hyperlink>
      <w:r>
        <w:rPr>
          <w:lang w:val="fr-FR"/>
        </w:rPr>
        <w:t xml:space="preserve">. </w:t>
      </w:r>
    </w:p>
    <w:p w14:paraId="2E814ED2" w14:textId="77777777" w:rsidR="00A51F90" w:rsidRDefault="00A51F90">
      <w:pPr>
        <w:tabs>
          <w:tab w:val="clear" w:pos="1134"/>
        </w:tabs>
        <w:jc w:val="left"/>
        <w:rPr>
          <w:rFonts w:eastAsia="Times New Roman" w:cstheme="majorHAnsi"/>
          <w:caps/>
          <w:lang w:val="fr-FR"/>
        </w:rPr>
        <w:sectPr w:rsidR="00A51F90" w:rsidSect="00C160F5">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bookmarkStart w:id="1" w:name="_Annex_1:_GHHIN"/>
      <w:bookmarkEnd w:id="1"/>
    </w:p>
    <w:p w14:paraId="2325EA83" w14:textId="3BA601CC" w:rsidR="0016755A" w:rsidRDefault="0016755A" w:rsidP="00374D85">
      <w:pPr>
        <w:pStyle w:val="Heading1"/>
        <w:spacing w:before="0" w:after="360"/>
        <w:rPr>
          <w:sz w:val="20"/>
          <w:szCs w:val="20"/>
          <w:lang w:val="fr-FR"/>
        </w:rPr>
      </w:pPr>
      <w:r w:rsidRPr="0015461C">
        <w:rPr>
          <w:sz w:val="20"/>
          <w:szCs w:val="20"/>
          <w:lang w:val="fr-FR"/>
        </w:rPr>
        <w:lastRenderedPageBreak/>
        <w:t>Annexe 1: Mod</w:t>
      </w:r>
      <w:r w:rsidR="0015461C">
        <w:rPr>
          <w:sz w:val="20"/>
          <w:szCs w:val="20"/>
          <w:lang w:val="fr-FR"/>
        </w:rPr>
        <w:t>È</w:t>
      </w:r>
      <w:r w:rsidRPr="0015461C">
        <w:rPr>
          <w:sz w:val="20"/>
          <w:szCs w:val="20"/>
          <w:lang w:val="fr-FR"/>
        </w:rPr>
        <w:t>le de partenariat et d</w:t>
      </w:r>
      <w:r w:rsidR="00B34E4F">
        <w:rPr>
          <w:sz w:val="20"/>
          <w:szCs w:val="20"/>
          <w:lang w:val="fr-FR"/>
        </w:rPr>
        <w:t>’</w:t>
      </w:r>
      <w:r w:rsidRPr="0015461C">
        <w:rPr>
          <w:sz w:val="20"/>
          <w:szCs w:val="20"/>
          <w:lang w:val="fr-FR"/>
        </w:rPr>
        <w:t>adh</w:t>
      </w:r>
      <w:r w:rsidR="0015461C">
        <w:rPr>
          <w:sz w:val="20"/>
          <w:szCs w:val="20"/>
          <w:lang w:val="fr-FR"/>
        </w:rPr>
        <w:t>É</w:t>
      </w:r>
      <w:r w:rsidRPr="0015461C">
        <w:rPr>
          <w:sz w:val="20"/>
          <w:szCs w:val="20"/>
          <w:lang w:val="fr-FR"/>
        </w:rPr>
        <w:t xml:space="preserve">sion au </w:t>
      </w:r>
      <w:proofErr w:type="spellStart"/>
      <w:r w:rsidRPr="0015461C">
        <w:rPr>
          <w:sz w:val="20"/>
          <w:szCs w:val="20"/>
          <w:lang w:val="fr-FR"/>
        </w:rPr>
        <w:t>GHHIN</w:t>
      </w:r>
      <w:proofErr w:type="spellEnd"/>
    </w:p>
    <w:tbl>
      <w:tblPr>
        <w:tblStyle w:val="TableGrid"/>
        <w:tblW w:w="5000" w:type="pct"/>
        <w:tblLook w:val="04A0" w:firstRow="1" w:lastRow="0" w:firstColumn="1" w:lastColumn="0" w:noHBand="0" w:noVBand="1"/>
      </w:tblPr>
      <w:tblGrid>
        <w:gridCol w:w="2485"/>
        <w:gridCol w:w="3180"/>
        <w:gridCol w:w="4115"/>
        <w:gridCol w:w="2272"/>
        <w:gridCol w:w="2510"/>
      </w:tblGrid>
      <w:tr w:rsidR="00FE3E54" w:rsidRPr="00706140" w14:paraId="7EC807B7" w14:textId="77777777" w:rsidTr="001E276E">
        <w:tc>
          <w:tcPr>
            <w:tcW w:w="853" w:type="pct"/>
          </w:tcPr>
          <w:p w14:paraId="50EF4B1B" w14:textId="2E2A468A" w:rsidR="00FE3E54" w:rsidRPr="00706140" w:rsidRDefault="00FE3E54" w:rsidP="00FE3E54">
            <w:pPr>
              <w:spacing w:before="120" w:after="120"/>
              <w:jc w:val="center"/>
              <w:rPr>
                <w:rFonts w:eastAsia="Times New Roman" w:cstheme="majorHAnsi"/>
                <w:b/>
                <w:bCs/>
                <w:sz w:val="18"/>
                <w:szCs w:val="18"/>
              </w:rPr>
            </w:pPr>
            <w:bookmarkStart w:id="2" w:name="_Hlk116073631"/>
            <w:r w:rsidRPr="00706140">
              <w:rPr>
                <w:b/>
                <w:bCs/>
                <w:sz w:val="18"/>
                <w:szCs w:val="18"/>
                <w:lang w:val="fr-FR"/>
              </w:rPr>
              <w:t>Type de membre</w:t>
            </w:r>
          </w:p>
        </w:tc>
        <w:tc>
          <w:tcPr>
            <w:tcW w:w="1092" w:type="pct"/>
          </w:tcPr>
          <w:p w14:paraId="072119C9" w14:textId="1E3AEF4A" w:rsidR="00FE3E54" w:rsidRPr="00706140" w:rsidRDefault="00FE3E54" w:rsidP="00FE3E54">
            <w:pPr>
              <w:spacing w:before="120" w:after="120"/>
              <w:jc w:val="center"/>
              <w:rPr>
                <w:rFonts w:eastAsia="Times New Roman" w:cstheme="majorHAnsi"/>
                <w:b/>
                <w:bCs/>
                <w:sz w:val="18"/>
                <w:szCs w:val="18"/>
              </w:rPr>
            </w:pPr>
            <w:r w:rsidRPr="00706140">
              <w:rPr>
                <w:b/>
                <w:bCs/>
                <w:sz w:val="18"/>
                <w:szCs w:val="18"/>
                <w:lang w:val="fr-FR"/>
              </w:rPr>
              <w:t>Rôle</w:t>
            </w:r>
          </w:p>
        </w:tc>
        <w:tc>
          <w:tcPr>
            <w:tcW w:w="1413" w:type="pct"/>
          </w:tcPr>
          <w:p w14:paraId="1BE6F8BB" w14:textId="0AF21E68" w:rsidR="00FE3E54" w:rsidRPr="00706140" w:rsidRDefault="00FE3E54" w:rsidP="00FE3E54">
            <w:pPr>
              <w:spacing w:before="120" w:after="120"/>
              <w:jc w:val="center"/>
              <w:rPr>
                <w:rFonts w:eastAsia="Times New Roman" w:cstheme="majorHAnsi"/>
                <w:b/>
                <w:bCs/>
                <w:sz w:val="18"/>
                <w:szCs w:val="18"/>
              </w:rPr>
            </w:pPr>
            <w:r w:rsidRPr="00706140">
              <w:rPr>
                <w:b/>
                <w:bCs/>
                <w:sz w:val="18"/>
                <w:szCs w:val="18"/>
                <w:lang w:val="fr-FR"/>
              </w:rPr>
              <w:t xml:space="preserve">Privilèges </w:t>
            </w:r>
          </w:p>
        </w:tc>
        <w:tc>
          <w:tcPr>
            <w:tcW w:w="780" w:type="pct"/>
          </w:tcPr>
          <w:p w14:paraId="06E0E711" w14:textId="62F3F751" w:rsidR="00FE3E54" w:rsidRPr="00706140" w:rsidRDefault="00FE3E54" w:rsidP="00FE3E54">
            <w:pPr>
              <w:spacing w:before="120" w:after="120"/>
              <w:jc w:val="center"/>
              <w:rPr>
                <w:rFonts w:eastAsia="Times New Roman" w:cstheme="majorHAnsi"/>
                <w:b/>
                <w:bCs/>
                <w:sz w:val="18"/>
                <w:szCs w:val="18"/>
              </w:rPr>
            </w:pPr>
            <w:r w:rsidRPr="00706140">
              <w:rPr>
                <w:b/>
                <w:bCs/>
                <w:sz w:val="18"/>
                <w:szCs w:val="18"/>
                <w:lang w:val="fr-FR"/>
              </w:rPr>
              <w:t>Exemple actuel</w:t>
            </w:r>
          </w:p>
        </w:tc>
        <w:tc>
          <w:tcPr>
            <w:tcW w:w="862" w:type="pct"/>
          </w:tcPr>
          <w:p w14:paraId="7D0D3570" w14:textId="440AB30F" w:rsidR="00FE3E54" w:rsidRPr="00706140" w:rsidRDefault="00FE3E54" w:rsidP="00FE3E54">
            <w:pPr>
              <w:spacing w:before="120" w:after="120"/>
              <w:jc w:val="center"/>
              <w:rPr>
                <w:rFonts w:eastAsia="Times New Roman" w:cstheme="majorHAnsi"/>
                <w:b/>
                <w:bCs/>
                <w:sz w:val="18"/>
                <w:szCs w:val="18"/>
              </w:rPr>
            </w:pPr>
            <w:r w:rsidRPr="00706140">
              <w:rPr>
                <w:b/>
                <w:bCs/>
                <w:sz w:val="18"/>
                <w:szCs w:val="18"/>
                <w:lang w:val="fr-FR"/>
              </w:rPr>
              <w:t>Appuyé par</w:t>
            </w:r>
          </w:p>
        </w:tc>
      </w:tr>
      <w:tr w:rsidR="00E947AA" w:rsidRPr="00706140" w14:paraId="6B0A5A63" w14:textId="77777777" w:rsidTr="001E276E">
        <w:tc>
          <w:tcPr>
            <w:tcW w:w="5000" w:type="pct"/>
            <w:gridSpan w:val="5"/>
            <w:shd w:val="clear" w:color="auto" w:fill="95B3D7" w:themeFill="accent1" w:themeFillTint="99"/>
          </w:tcPr>
          <w:p w14:paraId="72D185E3" w14:textId="3E9AFB5E" w:rsidR="00E947AA" w:rsidRPr="00706140" w:rsidRDefault="00E947AA" w:rsidP="00E947AA">
            <w:pPr>
              <w:spacing w:before="120" w:after="120"/>
              <w:jc w:val="center"/>
              <w:rPr>
                <w:rFonts w:eastAsia="Times New Roman" w:cstheme="majorHAnsi"/>
                <w:b/>
                <w:bCs/>
                <w:sz w:val="18"/>
                <w:szCs w:val="18"/>
              </w:rPr>
            </w:pPr>
            <w:proofErr w:type="spellStart"/>
            <w:r w:rsidRPr="00706140">
              <w:rPr>
                <w:b/>
                <w:bCs/>
                <w:sz w:val="18"/>
                <w:szCs w:val="18"/>
              </w:rPr>
              <w:t>Partenaires</w:t>
            </w:r>
            <w:proofErr w:type="spellEnd"/>
            <w:r w:rsidRPr="00706140">
              <w:rPr>
                <w:b/>
                <w:bCs/>
                <w:sz w:val="18"/>
                <w:szCs w:val="18"/>
              </w:rPr>
              <w:t xml:space="preserve"> du </w:t>
            </w:r>
            <w:proofErr w:type="spellStart"/>
            <w:r w:rsidRPr="00706140">
              <w:rPr>
                <w:b/>
                <w:bCs/>
                <w:sz w:val="18"/>
                <w:szCs w:val="18"/>
              </w:rPr>
              <w:t>GHHIN</w:t>
            </w:r>
            <w:proofErr w:type="spellEnd"/>
            <w:r w:rsidRPr="00706140">
              <w:rPr>
                <w:b/>
                <w:bCs/>
                <w:sz w:val="18"/>
                <w:szCs w:val="18"/>
              </w:rPr>
              <w:t xml:space="preserve"> (institutions)</w:t>
            </w:r>
          </w:p>
        </w:tc>
      </w:tr>
      <w:bookmarkEnd w:id="2"/>
      <w:tr w:rsidR="00E947AA" w:rsidRPr="00BF2360" w14:paraId="65817BA4" w14:textId="77777777" w:rsidTr="00BF2360">
        <w:tc>
          <w:tcPr>
            <w:tcW w:w="853" w:type="pct"/>
          </w:tcPr>
          <w:p w14:paraId="073A6ACD" w14:textId="553F13C0" w:rsidR="00E947AA" w:rsidRPr="00BF2360" w:rsidRDefault="00E947AA" w:rsidP="00BF2360">
            <w:pPr>
              <w:spacing w:before="120" w:after="120"/>
              <w:jc w:val="left"/>
              <w:rPr>
                <w:rFonts w:eastAsia="Times New Roman" w:cstheme="majorHAnsi"/>
                <w:b/>
                <w:bCs/>
                <w:sz w:val="18"/>
                <w:szCs w:val="18"/>
              </w:rPr>
            </w:pPr>
            <w:r w:rsidRPr="00BF2360">
              <w:rPr>
                <w:b/>
                <w:bCs/>
                <w:sz w:val="18"/>
                <w:szCs w:val="18"/>
                <w:lang w:val="fr-FR"/>
              </w:rPr>
              <w:t>Partenaires financiers</w:t>
            </w:r>
          </w:p>
        </w:tc>
        <w:tc>
          <w:tcPr>
            <w:tcW w:w="1092" w:type="pct"/>
          </w:tcPr>
          <w:p w14:paraId="671FDE10" w14:textId="53B6BD09" w:rsidR="00E947AA" w:rsidRPr="00BF2360" w:rsidRDefault="00E947AA" w:rsidP="00BF2360">
            <w:pPr>
              <w:spacing w:before="120" w:after="120"/>
              <w:jc w:val="left"/>
              <w:rPr>
                <w:rFonts w:eastAsia="Times New Roman" w:cstheme="majorHAnsi"/>
                <w:sz w:val="18"/>
                <w:szCs w:val="18"/>
                <w:lang w:val="fr-FR"/>
              </w:rPr>
            </w:pPr>
            <w:r w:rsidRPr="00BF2360">
              <w:rPr>
                <w:b/>
                <w:bCs/>
                <w:sz w:val="18"/>
                <w:szCs w:val="18"/>
                <w:lang w:val="fr-FR"/>
              </w:rPr>
              <w:t>Donateurs financiers</w:t>
            </w:r>
            <w:r w:rsidRPr="00BF2360">
              <w:rPr>
                <w:sz w:val="18"/>
                <w:szCs w:val="18"/>
                <w:lang w:val="fr-FR"/>
              </w:rPr>
              <w:t xml:space="preserve">. Non impliqué dans la mise en œuvre technique. </w:t>
            </w:r>
          </w:p>
        </w:tc>
        <w:tc>
          <w:tcPr>
            <w:tcW w:w="1413" w:type="pct"/>
          </w:tcPr>
          <w:p w14:paraId="325329E5" w14:textId="79088CDB" w:rsidR="00E947AA" w:rsidRPr="00BF2360" w:rsidRDefault="00E947AA" w:rsidP="00BF2360">
            <w:pPr>
              <w:jc w:val="left"/>
              <w:rPr>
                <w:rFonts w:eastAsia="Times New Roman" w:cstheme="majorBidi"/>
                <w:sz w:val="18"/>
                <w:szCs w:val="18"/>
                <w:lang w:val="fr-FR"/>
              </w:rPr>
            </w:pPr>
            <w:r w:rsidRPr="00BF2360">
              <w:rPr>
                <w:sz w:val="18"/>
                <w:szCs w:val="18"/>
                <w:lang w:val="fr-FR"/>
              </w:rPr>
              <w:t>Prise de décision: Les partenaires financiers auront la possibilité de participer à la gouvernance du Réseau, à la définition des priorités stratégiques et à sa mise en œuvre, selon les besoins.</w:t>
            </w:r>
            <w:r w:rsidR="00807EF1">
              <w:rPr>
                <w:sz w:val="18"/>
                <w:szCs w:val="18"/>
                <w:lang w:val="fr-FR"/>
              </w:rPr>
              <w:t xml:space="preserve"> </w:t>
            </w:r>
          </w:p>
          <w:p w14:paraId="3B7B11D4" w14:textId="77777777" w:rsidR="00E947AA" w:rsidRPr="00BF2360" w:rsidRDefault="00E947AA" w:rsidP="00BF2360">
            <w:pPr>
              <w:jc w:val="left"/>
              <w:rPr>
                <w:rFonts w:eastAsia="Times New Roman" w:cstheme="majorBidi"/>
                <w:sz w:val="18"/>
                <w:szCs w:val="18"/>
                <w:lang w:val="fr-FR"/>
              </w:rPr>
            </w:pPr>
          </w:p>
          <w:p w14:paraId="7B67D179" w14:textId="090A2409" w:rsidR="00E947AA" w:rsidRPr="00BF2360" w:rsidRDefault="00E947AA" w:rsidP="00BF2360">
            <w:pPr>
              <w:jc w:val="left"/>
              <w:rPr>
                <w:rFonts w:eastAsia="Times New Roman" w:cstheme="majorBidi"/>
                <w:sz w:val="18"/>
                <w:szCs w:val="18"/>
                <w:lang w:val="fr-FR"/>
              </w:rPr>
            </w:pPr>
            <w:r w:rsidRPr="00BF2360">
              <w:rPr>
                <w:sz w:val="18"/>
                <w:szCs w:val="18"/>
                <w:lang w:val="fr-FR"/>
              </w:rPr>
              <w:t>Possibilité de contribuer à une sensibilisation de haut niveau, de s</w:t>
            </w:r>
            <w:r w:rsidR="00B34E4F">
              <w:rPr>
                <w:sz w:val="18"/>
                <w:szCs w:val="18"/>
                <w:lang w:val="fr-FR"/>
              </w:rPr>
              <w:t>’</w:t>
            </w:r>
            <w:r w:rsidRPr="00BF2360">
              <w:rPr>
                <w:sz w:val="18"/>
                <w:szCs w:val="18"/>
                <w:lang w:val="fr-FR"/>
              </w:rPr>
              <w:t>appuyer sur des partenaires pluridisciplinaires, d</w:t>
            </w:r>
            <w:r w:rsidR="00B34E4F">
              <w:rPr>
                <w:sz w:val="18"/>
                <w:szCs w:val="18"/>
                <w:lang w:val="fr-FR"/>
              </w:rPr>
              <w:t>’</w:t>
            </w:r>
            <w:r w:rsidRPr="00BF2360">
              <w:rPr>
                <w:sz w:val="18"/>
                <w:szCs w:val="18"/>
                <w:lang w:val="fr-FR"/>
              </w:rPr>
              <w:t>investir dans le développement des capacités et de formuler des directives et des recommandations techniques ayant un impact mondial.</w:t>
            </w:r>
          </w:p>
          <w:p w14:paraId="58DBF888" w14:textId="77777777" w:rsidR="00E947AA" w:rsidRPr="00BF2360" w:rsidRDefault="00E947AA" w:rsidP="00BF2360">
            <w:pPr>
              <w:jc w:val="left"/>
              <w:rPr>
                <w:rFonts w:eastAsia="Times New Roman" w:cstheme="majorBidi"/>
                <w:sz w:val="18"/>
                <w:szCs w:val="18"/>
                <w:lang w:val="fr-FR"/>
              </w:rPr>
            </w:pPr>
          </w:p>
          <w:p w14:paraId="13C94E5D" w14:textId="09DA50B4" w:rsidR="00E947AA" w:rsidRPr="00BF2360" w:rsidRDefault="00E947AA" w:rsidP="00BF2360">
            <w:pPr>
              <w:spacing w:after="120"/>
              <w:jc w:val="left"/>
              <w:rPr>
                <w:rFonts w:eastAsia="Times New Roman" w:cstheme="majorHAnsi"/>
                <w:sz w:val="18"/>
                <w:szCs w:val="18"/>
                <w:lang w:val="fr-FR"/>
              </w:rPr>
            </w:pPr>
            <w:r w:rsidRPr="00BF2360">
              <w:rPr>
                <w:sz w:val="18"/>
                <w:szCs w:val="18"/>
                <w:lang w:val="fr-FR"/>
              </w:rPr>
              <w:t xml:space="preserve">Visibilité: Les logos institutionnels sont mis en évidence, le cas échéant, et conformément aux exigences des donateurs. </w:t>
            </w:r>
          </w:p>
        </w:tc>
        <w:tc>
          <w:tcPr>
            <w:tcW w:w="0" w:type="auto"/>
          </w:tcPr>
          <w:p w14:paraId="735C5C0E" w14:textId="77777777" w:rsidR="00E947AA" w:rsidRPr="00BF2360" w:rsidRDefault="00E947AA" w:rsidP="00BF2360">
            <w:pPr>
              <w:jc w:val="left"/>
              <w:rPr>
                <w:rFonts w:eastAsia="Times New Roman" w:cstheme="majorBidi"/>
                <w:sz w:val="18"/>
                <w:szCs w:val="18"/>
              </w:rPr>
            </w:pPr>
            <w:proofErr w:type="spellStart"/>
            <w:r w:rsidRPr="00BF2360">
              <w:rPr>
                <w:sz w:val="18"/>
                <w:szCs w:val="18"/>
                <w:lang w:val="fr-FR"/>
              </w:rPr>
              <w:t>Welcome</w:t>
            </w:r>
            <w:proofErr w:type="spellEnd"/>
            <w:r w:rsidRPr="00BF2360">
              <w:rPr>
                <w:sz w:val="18"/>
                <w:szCs w:val="18"/>
                <w:lang w:val="fr-FR"/>
              </w:rPr>
              <w:t xml:space="preserve"> Trust</w:t>
            </w:r>
          </w:p>
          <w:p w14:paraId="39446CF0" w14:textId="77777777" w:rsidR="00E947AA" w:rsidRPr="00BF2360" w:rsidRDefault="00E947AA" w:rsidP="00BF2360">
            <w:pPr>
              <w:jc w:val="left"/>
              <w:rPr>
                <w:rFonts w:eastAsia="Times New Roman" w:cstheme="majorHAnsi"/>
                <w:sz w:val="18"/>
                <w:szCs w:val="18"/>
              </w:rPr>
            </w:pPr>
          </w:p>
          <w:p w14:paraId="111403BD" w14:textId="77777777" w:rsidR="00E947AA" w:rsidRPr="00BF2360" w:rsidRDefault="00E947AA" w:rsidP="00BF2360">
            <w:pPr>
              <w:jc w:val="left"/>
              <w:rPr>
                <w:rFonts w:eastAsia="Times New Roman" w:cstheme="majorHAnsi"/>
                <w:sz w:val="18"/>
                <w:szCs w:val="18"/>
              </w:rPr>
            </w:pPr>
            <w:r w:rsidRPr="00BF2360">
              <w:rPr>
                <w:sz w:val="18"/>
                <w:szCs w:val="18"/>
                <w:lang w:val="fr-FR"/>
              </w:rPr>
              <w:t xml:space="preserve">Public </w:t>
            </w:r>
            <w:proofErr w:type="spellStart"/>
            <w:r w:rsidRPr="00BF2360">
              <w:rPr>
                <w:sz w:val="18"/>
                <w:szCs w:val="18"/>
                <w:lang w:val="fr-FR"/>
              </w:rPr>
              <w:t>Health</w:t>
            </w:r>
            <w:proofErr w:type="spellEnd"/>
            <w:r w:rsidRPr="00BF2360">
              <w:rPr>
                <w:sz w:val="18"/>
                <w:szCs w:val="18"/>
                <w:lang w:val="fr-FR"/>
              </w:rPr>
              <w:t xml:space="preserve"> </w:t>
            </w:r>
            <w:proofErr w:type="spellStart"/>
            <w:r w:rsidRPr="00BF2360">
              <w:rPr>
                <w:sz w:val="18"/>
                <w:szCs w:val="18"/>
                <w:lang w:val="fr-FR"/>
              </w:rPr>
              <w:t>England</w:t>
            </w:r>
            <w:proofErr w:type="spellEnd"/>
            <w:r w:rsidRPr="00BF2360">
              <w:rPr>
                <w:sz w:val="18"/>
                <w:szCs w:val="18"/>
                <w:lang w:val="fr-FR"/>
              </w:rPr>
              <w:t xml:space="preserve"> </w:t>
            </w:r>
          </w:p>
          <w:p w14:paraId="42244ACE" w14:textId="1756ADF5" w:rsidR="00E947AA" w:rsidRPr="00BF2360" w:rsidRDefault="00E947AA" w:rsidP="00BF2360">
            <w:pPr>
              <w:jc w:val="left"/>
              <w:rPr>
                <w:rFonts w:eastAsia="Times New Roman" w:cstheme="majorHAnsi"/>
                <w:sz w:val="18"/>
                <w:szCs w:val="18"/>
              </w:rPr>
            </w:pPr>
          </w:p>
        </w:tc>
        <w:tc>
          <w:tcPr>
            <w:tcW w:w="862" w:type="pct"/>
          </w:tcPr>
          <w:p w14:paraId="0556943C" w14:textId="7D4EA7ED" w:rsidR="00E947AA" w:rsidRPr="00BF2360" w:rsidRDefault="00E947AA" w:rsidP="00BF2360">
            <w:pPr>
              <w:spacing w:before="120" w:after="120"/>
              <w:jc w:val="left"/>
              <w:rPr>
                <w:rFonts w:eastAsia="Times New Roman" w:cstheme="majorHAnsi"/>
                <w:sz w:val="18"/>
                <w:szCs w:val="18"/>
              </w:rPr>
            </w:pPr>
            <w:r w:rsidRPr="00BF2360">
              <w:rPr>
                <w:sz w:val="18"/>
                <w:szCs w:val="18"/>
                <w:lang w:val="fr-FR"/>
              </w:rPr>
              <w:t>Accord de financement</w:t>
            </w:r>
          </w:p>
        </w:tc>
      </w:tr>
      <w:tr w:rsidR="00E947AA" w:rsidRPr="00A31F99" w14:paraId="5301CE4C" w14:textId="77777777" w:rsidTr="00BF2360">
        <w:tc>
          <w:tcPr>
            <w:tcW w:w="853" w:type="pct"/>
          </w:tcPr>
          <w:p w14:paraId="564F07A8" w14:textId="135CBE36" w:rsidR="00E947AA" w:rsidRPr="00A31F99" w:rsidRDefault="00E947AA" w:rsidP="00BF2360">
            <w:pPr>
              <w:spacing w:before="120" w:after="120"/>
              <w:jc w:val="left"/>
              <w:rPr>
                <w:b/>
                <w:bCs/>
                <w:sz w:val="18"/>
                <w:szCs w:val="18"/>
                <w:lang w:val="fr-FR"/>
              </w:rPr>
            </w:pPr>
            <w:r w:rsidRPr="00A31F99">
              <w:rPr>
                <w:b/>
                <w:bCs/>
                <w:sz w:val="18"/>
                <w:szCs w:val="18"/>
                <w:lang w:val="fr-FR"/>
              </w:rPr>
              <w:t>Partenaires institutionnels de coparrainage</w:t>
            </w:r>
            <w:r w:rsidR="00807EF1">
              <w:rPr>
                <w:b/>
                <w:bCs/>
                <w:sz w:val="18"/>
                <w:szCs w:val="18"/>
                <w:lang w:val="fr-FR"/>
              </w:rPr>
              <w:t xml:space="preserve"> </w:t>
            </w:r>
          </w:p>
        </w:tc>
        <w:tc>
          <w:tcPr>
            <w:tcW w:w="1092" w:type="pct"/>
          </w:tcPr>
          <w:p w14:paraId="09F3454C" w14:textId="7932D0B8" w:rsidR="00E947AA" w:rsidRPr="00A31F99" w:rsidRDefault="00E947AA" w:rsidP="00BF2360">
            <w:pPr>
              <w:jc w:val="left"/>
              <w:rPr>
                <w:rFonts w:eastAsia="Times New Roman" w:cstheme="majorHAnsi"/>
                <w:sz w:val="18"/>
                <w:szCs w:val="18"/>
                <w:lang w:val="fr-FR"/>
              </w:rPr>
            </w:pPr>
            <w:r w:rsidRPr="00A31F99">
              <w:rPr>
                <w:sz w:val="18"/>
                <w:szCs w:val="18"/>
                <w:lang w:val="fr-FR"/>
              </w:rPr>
              <w:t xml:space="preserve">Les </w:t>
            </w:r>
            <w:r w:rsidRPr="00A31F99">
              <w:rPr>
                <w:b/>
                <w:bCs/>
                <w:sz w:val="18"/>
                <w:szCs w:val="18"/>
                <w:lang w:val="fr-FR"/>
              </w:rPr>
              <w:t xml:space="preserve">partenaires institutionnels </w:t>
            </w:r>
            <w:r w:rsidRPr="00A31F99">
              <w:rPr>
                <w:sz w:val="18"/>
                <w:szCs w:val="18"/>
                <w:lang w:val="fr-FR"/>
              </w:rPr>
              <w:t>fournissent un soutien financier annuel minimum (en espèces ou en nature) de 75 000 dollars des États-Unis.</w:t>
            </w:r>
            <w:r w:rsidR="00807EF1">
              <w:rPr>
                <w:sz w:val="18"/>
                <w:szCs w:val="18"/>
                <w:lang w:val="fr-FR"/>
              </w:rPr>
              <w:t xml:space="preserve"> </w:t>
            </w:r>
          </w:p>
          <w:p w14:paraId="54B62DB4" w14:textId="77777777" w:rsidR="00E947AA" w:rsidRPr="00A31F99" w:rsidRDefault="00E947AA" w:rsidP="00BF2360">
            <w:pPr>
              <w:jc w:val="left"/>
              <w:rPr>
                <w:rFonts w:eastAsia="Times New Roman" w:cstheme="majorHAnsi"/>
                <w:sz w:val="18"/>
                <w:szCs w:val="18"/>
                <w:lang w:val="fr-FR"/>
              </w:rPr>
            </w:pPr>
          </w:p>
          <w:p w14:paraId="30E592D8" w14:textId="6C043BF6" w:rsidR="00E947AA" w:rsidRPr="00A31F99" w:rsidRDefault="00E947AA" w:rsidP="00BF2360">
            <w:pPr>
              <w:spacing w:before="120" w:after="120"/>
              <w:jc w:val="left"/>
              <w:rPr>
                <w:b/>
                <w:bCs/>
                <w:sz w:val="18"/>
                <w:szCs w:val="18"/>
                <w:lang w:val="fr-FR"/>
              </w:rPr>
            </w:pPr>
            <w:r w:rsidRPr="00A31F99">
              <w:rPr>
                <w:sz w:val="18"/>
                <w:szCs w:val="18"/>
                <w:lang w:val="fr-FR"/>
              </w:rPr>
              <w:t xml:space="preserve">Responsabilités: Les </w:t>
            </w:r>
            <w:proofErr w:type="spellStart"/>
            <w:r w:rsidRPr="00A31F99">
              <w:rPr>
                <w:sz w:val="18"/>
                <w:szCs w:val="18"/>
                <w:lang w:val="fr-FR"/>
              </w:rPr>
              <w:t>co</w:t>
            </w:r>
            <w:proofErr w:type="spellEnd"/>
            <w:r w:rsidRPr="00A31F99">
              <w:rPr>
                <w:sz w:val="18"/>
                <w:szCs w:val="18"/>
                <w:lang w:val="fr-FR"/>
              </w:rPr>
              <w:t>-parrains jouent un rôle de premier plan dans la coordination et la mise en œuvre des activités.</w:t>
            </w:r>
          </w:p>
        </w:tc>
        <w:tc>
          <w:tcPr>
            <w:tcW w:w="1413" w:type="pct"/>
          </w:tcPr>
          <w:p w14:paraId="797D49F2" w14:textId="5A52BDB2" w:rsidR="00E947AA" w:rsidRPr="00A31F99" w:rsidRDefault="00E947AA" w:rsidP="00BF2360">
            <w:pPr>
              <w:jc w:val="left"/>
              <w:rPr>
                <w:rFonts w:eastAsia="Times New Roman" w:cstheme="majorHAnsi"/>
                <w:sz w:val="18"/>
                <w:szCs w:val="18"/>
                <w:lang w:val="fr-FR"/>
              </w:rPr>
            </w:pPr>
            <w:r w:rsidRPr="00A31F99">
              <w:rPr>
                <w:sz w:val="18"/>
                <w:szCs w:val="18"/>
                <w:lang w:val="fr-FR"/>
              </w:rPr>
              <w:t xml:space="preserve">Prise de décision: Les </w:t>
            </w:r>
            <w:proofErr w:type="spellStart"/>
            <w:r w:rsidRPr="00A31F99">
              <w:rPr>
                <w:sz w:val="18"/>
                <w:szCs w:val="18"/>
                <w:lang w:val="fr-FR"/>
              </w:rPr>
              <w:t>co</w:t>
            </w:r>
            <w:proofErr w:type="spellEnd"/>
            <w:r w:rsidRPr="00A31F99">
              <w:rPr>
                <w:sz w:val="18"/>
                <w:szCs w:val="18"/>
                <w:lang w:val="fr-FR"/>
              </w:rPr>
              <w:t>-parrains auront la possibilité de participer à la gouvernance du Réseau, à la définition des priorités stratégiques et à sa mise en œuvre.</w:t>
            </w:r>
            <w:r w:rsidR="00807EF1">
              <w:rPr>
                <w:sz w:val="18"/>
                <w:szCs w:val="18"/>
                <w:lang w:val="fr-FR"/>
              </w:rPr>
              <w:t xml:space="preserve"> </w:t>
            </w:r>
          </w:p>
          <w:p w14:paraId="568AB33C" w14:textId="77777777" w:rsidR="00E947AA" w:rsidRPr="00A31F99" w:rsidRDefault="00E947AA" w:rsidP="00BF2360">
            <w:pPr>
              <w:jc w:val="left"/>
              <w:rPr>
                <w:rFonts w:eastAsia="Times New Roman" w:cstheme="majorHAnsi"/>
                <w:sz w:val="18"/>
                <w:szCs w:val="18"/>
                <w:lang w:val="fr-FR"/>
              </w:rPr>
            </w:pPr>
          </w:p>
          <w:p w14:paraId="723F4800" w14:textId="220AFB69" w:rsidR="00E947AA" w:rsidRPr="00A31F99" w:rsidRDefault="00E947AA" w:rsidP="00BF2360">
            <w:pPr>
              <w:jc w:val="left"/>
              <w:rPr>
                <w:sz w:val="18"/>
                <w:szCs w:val="18"/>
                <w:lang w:val="fr-FR"/>
              </w:rPr>
            </w:pPr>
            <w:r w:rsidRPr="00A31F99">
              <w:rPr>
                <w:sz w:val="18"/>
                <w:szCs w:val="18"/>
                <w:lang w:val="fr-FR"/>
              </w:rPr>
              <w:t>Visibilité: Les logos institutionnels sont mis en évidence, le cas échéant.</w:t>
            </w:r>
          </w:p>
        </w:tc>
        <w:tc>
          <w:tcPr>
            <w:tcW w:w="0" w:type="auto"/>
          </w:tcPr>
          <w:p w14:paraId="1A5BB33A" w14:textId="77777777" w:rsidR="00E947AA" w:rsidRPr="00A31F99" w:rsidRDefault="00E947AA" w:rsidP="00BF2360">
            <w:pPr>
              <w:jc w:val="left"/>
              <w:rPr>
                <w:rFonts w:eastAsia="Times New Roman" w:cstheme="majorHAnsi"/>
                <w:sz w:val="18"/>
                <w:szCs w:val="18"/>
              </w:rPr>
            </w:pPr>
            <w:proofErr w:type="spellStart"/>
            <w:r w:rsidRPr="00A31F99">
              <w:rPr>
                <w:sz w:val="18"/>
                <w:szCs w:val="18"/>
                <w:lang w:val="fr-FR"/>
              </w:rPr>
              <w:t>NOAA</w:t>
            </w:r>
            <w:proofErr w:type="spellEnd"/>
          </w:p>
          <w:p w14:paraId="4AF787DE" w14:textId="77777777" w:rsidR="00E947AA" w:rsidRPr="00A31F99" w:rsidRDefault="00E947AA" w:rsidP="00BF2360">
            <w:pPr>
              <w:jc w:val="left"/>
              <w:rPr>
                <w:rFonts w:eastAsia="Times New Roman" w:cstheme="majorHAnsi"/>
                <w:sz w:val="18"/>
                <w:szCs w:val="18"/>
              </w:rPr>
            </w:pPr>
          </w:p>
          <w:p w14:paraId="15243AA6" w14:textId="77777777" w:rsidR="00E947AA" w:rsidRPr="00A31F99" w:rsidRDefault="00E947AA" w:rsidP="00BF2360">
            <w:pPr>
              <w:jc w:val="left"/>
              <w:rPr>
                <w:rFonts w:eastAsia="Times New Roman" w:cstheme="majorHAnsi"/>
                <w:sz w:val="18"/>
                <w:szCs w:val="18"/>
              </w:rPr>
            </w:pPr>
            <w:r w:rsidRPr="00A31F99">
              <w:rPr>
                <w:sz w:val="18"/>
                <w:szCs w:val="18"/>
                <w:lang w:val="fr-FR"/>
              </w:rPr>
              <w:t>OMS</w:t>
            </w:r>
          </w:p>
          <w:p w14:paraId="29EAB478" w14:textId="77777777" w:rsidR="00E947AA" w:rsidRPr="00A31F99" w:rsidRDefault="00E947AA" w:rsidP="00BF2360">
            <w:pPr>
              <w:jc w:val="left"/>
              <w:rPr>
                <w:rFonts w:eastAsia="Times New Roman" w:cstheme="majorHAnsi"/>
                <w:sz w:val="18"/>
                <w:szCs w:val="18"/>
              </w:rPr>
            </w:pPr>
          </w:p>
          <w:p w14:paraId="00BA188C" w14:textId="2C1A21FB" w:rsidR="00E947AA" w:rsidRPr="00A31F99" w:rsidRDefault="00E947AA" w:rsidP="00BF2360">
            <w:pPr>
              <w:jc w:val="left"/>
              <w:rPr>
                <w:sz w:val="18"/>
                <w:szCs w:val="18"/>
                <w:lang w:val="fr-FR"/>
              </w:rPr>
            </w:pPr>
            <w:r w:rsidRPr="00A31F99">
              <w:rPr>
                <w:sz w:val="18"/>
                <w:szCs w:val="18"/>
                <w:lang w:val="fr-FR"/>
              </w:rPr>
              <w:t>OMM</w:t>
            </w:r>
          </w:p>
        </w:tc>
        <w:tc>
          <w:tcPr>
            <w:tcW w:w="862" w:type="pct"/>
          </w:tcPr>
          <w:p w14:paraId="0196717B" w14:textId="77777777" w:rsidR="00E947AA" w:rsidRPr="00A31F99" w:rsidRDefault="00E947AA" w:rsidP="00BF2360">
            <w:pPr>
              <w:pStyle w:val="ListParagraph"/>
              <w:numPr>
                <w:ilvl w:val="0"/>
                <w:numId w:val="8"/>
              </w:numPr>
              <w:spacing w:after="0" w:line="240" w:lineRule="auto"/>
              <w:ind w:left="130" w:hanging="165"/>
              <w:rPr>
                <w:rFonts w:ascii="Verdana" w:eastAsia="Times New Roman" w:hAnsi="Verdana" w:cstheme="majorHAnsi"/>
                <w:sz w:val="18"/>
                <w:szCs w:val="18"/>
              </w:rPr>
            </w:pPr>
            <w:r w:rsidRPr="00A31F99">
              <w:rPr>
                <w:rFonts w:ascii="Verdana" w:hAnsi="Verdana"/>
                <w:sz w:val="18"/>
                <w:szCs w:val="18"/>
                <w:lang w:val="fr-FR"/>
              </w:rPr>
              <w:t xml:space="preserve">Lettre de mission </w:t>
            </w:r>
          </w:p>
          <w:p w14:paraId="038C2041" w14:textId="77777777" w:rsidR="00E947AA" w:rsidRPr="00A31F99" w:rsidRDefault="00E947AA" w:rsidP="00BF2360">
            <w:pPr>
              <w:pStyle w:val="ListParagraph"/>
              <w:spacing w:line="240" w:lineRule="auto"/>
              <w:ind w:left="130"/>
              <w:rPr>
                <w:rFonts w:ascii="Verdana" w:eastAsia="Times New Roman" w:hAnsi="Verdana" w:cstheme="majorHAnsi"/>
                <w:sz w:val="18"/>
                <w:szCs w:val="18"/>
                <w:lang w:val="en-GB"/>
              </w:rPr>
            </w:pPr>
          </w:p>
          <w:p w14:paraId="31BE034E" w14:textId="79537D00" w:rsidR="00E947AA" w:rsidRPr="00A31F99" w:rsidRDefault="00E947AA" w:rsidP="00BF2360">
            <w:pPr>
              <w:pStyle w:val="ListParagraph"/>
              <w:numPr>
                <w:ilvl w:val="0"/>
                <w:numId w:val="8"/>
              </w:numPr>
              <w:spacing w:after="0" w:line="240" w:lineRule="auto"/>
              <w:ind w:left="130" w:hanging="165"/>
              <w:rPr>
                <w:rFonts w:ascii="Verdana" w:eastAsia="Times New Roman" w:hAnsi="Verdana" w:cstheme="majorHAnsi"/>
                <w:sz w:val="18"/>
                <w:szCs w:val="18"/>
                <w:lang w:val="fr-FR"/>
              </w:rPr>
            </w:pPr>
            <w:r w:rsidRPr="00A31F99">
              <w:rPr>
                <w:rFonts w:ascii="Verdana" w:hAnsi="Verdana"/>
                <w:sz w:val="18"/>
                <w:szCs w:val="18"/>
                <w:lang w:val="fr-FR"/>
              </w:rPr>
              <w:t>Personnel désigné et attributions pour l</w:t>
            </w:r>
            <w:r w:rsidR="00B34E4F">
              <w:rPr>
                <w:rFonts w:ascii="Verdana" w:hAnsi="Verdana"/>
                <w:sz w:val="18"/>
                <w:szCs w:val="18"/>
                <w:lang w:val="fr-FR"/>
              </w:rPr>
              <w:t>’</w:t>
            </w:r>
            <w:r w:rsidRPr="00A31F99">
              <w:rPr>
                <w:rFonts w:ascii="Verdana" w:hAnsi="Verdana"/>
                <w:sz w:val="18"/>
                <w:szCs w:val="18"/>
                <w:lang w:val="fr-FR"/>
              </w:rPr>
              <w:t>appui à la TSU</w:t>
            </w:r>
          </w:p>
          <w:p w14:paraId="7E4C5FBD" w14:textId="77777777" w:rsidR="00E947AA" w:rsidRPr="00A31F99" w:rsidRDefault="00E947AA" w:rsidP="00BF2360">
            <w:pPr>
              <w:spacing w:before="120" w:after="120"/>
              <w:jc w:val="left"/>
              <w:rPr>
                <w:sz w:val="18"/>
                <w:szCs w:val="18"/>
                <w:lang w:val="fr-FR"/>
              </w:rPr>
            </w:pPr>
          </w:p>
        </w:tc>
      </w:tr>
      <w:tr w:rsidR="00A31F99" w:rsidRPr="00A31F99" w14:paraId="2AE774D5" w14:textId="77777777" w:rsidTr="00BF2360">
        <w:tc>
          <w:tcPr>
            <w:tcW w:w="853" w:type="pct"/>
          </w:tcPr>
          <w:p w14:paraId="0E1FF3DB" w14:textId="339662E8" w:rsidR="00A31F99" w:rsidRPr="00A31F99" w:rsidRDefault="00A31F99" w:rsidP="00BF2360">
            <w:pPr>
              <w:spacing w:before="120" w:after="120"/>
              <w:jc w:val="left"/>
              <w:rPr>
                <w:b/>
                <w:bCs/>
                <w:sz w:val="18"/>
                <w:szCs w:val="18"/>
                <w:lang w:val="fr-FR"/>
              </w:rPr>
            </w:pPr>
            <w:r w:rsidRPr="00A31F99">
              <w:rPr>
                <w:b/>
                <w:bCs/>
                <w:sz w:val="18"/>
                <w:szCs w:val="18"/>
                <w:lang w:val="fr-FR"/>
              </w:rPr>
              <w:lastRenderedPageBreak/>
              <w:t>Partenaires contributeurs</w:t>
            </w:r>
          </w:p>
        </w:tc>
        <w:tc>
          <w:tcPr>
            <w:tcW w:w="1092" w:type="pct"/>
          </w:tcPr>
          <w:p w14:paraId="2B5D247E" w14:textId="77777777" w:rsidR="00A31F99" w:rsidRPr="00A31F99" w:rsidRDefault="00A31F99" w:rsidP="00BF2360">
            <w:pPr>
              <w:jc w:val="left"/>
              <w:rPr>
                <w:rFonts w:eastAsia="Times New Roman" w:cstheme="majorBidi"/>
                <w:sz w:val="18"/>
                <w:szCs w:val="18"/>
                <w:lang w:val="fr-FR"/>
              </w:rPr>
            </w:pPr>
            <w:r w:rsidRPr="00A31F99">
              <w:rPr>
                <w:sz w:val="18"/>
                <w:szCs w:val="18"/>
                <w:lang w:val="fr-FR"/>
              </w:rPr>
              <w:t xml:space="preserve">Les </w:t>
            </w:r>
            <w:r w:rsidRPr="00A31F99">
              <w:rPr>
                <w:b/>
                <w:bCs/>
                <w:sz w:val="18"/>
                <w:szCs w:val="18"/>
                <w:lang w:val="fr-FR"/>
              </w:rPr>
              <w:t xml:space="preserve">partenaires institutionnels </w:t>
            </w:r>
            <w:r w:rsidRPr="00A31F99">
              <w:rPr>
                <w:sz w:val="18"/>
                <w:szCs w:val="18"/>
                <w:lang w:val="fr-FR"/>
              </w:rPr>
              <w:t xml:space="preserve">fournissent un soutien financier semestriel minimum (en espèces ou en nature) de 10 000 dollars des États-Unis pour la mise en œuvre, la coordination et/ou la contribution à des activités et projets spécifiques par an. </w:t>
            </w:r>
          </w:p>
          <w:p w14:paraId="2F4DB0D1" w14:textId="77777777" w:rsidR="00A31F99" w:rsidRPr="00A31F99" w:rsidRDefault="00A31F99" w:rsidP="00BF2360">
            <w:pPr>
              <w:jc w:val="left"/>
              <w:rPr>
                <w:rFonts w:eastAsia="Times New Roman" w:cstheme="majorHAnsi"/>
                <w:sz w:val="18"/>
                <w:szCs w:val="18"/>
                <w:lang w:val="fr-FR"/>
              </w:rPr>
            </w:pPr>
          </w:p>
          <w:p w14:paraId="7ADACB95" w14:textId="528520DC" w:rsidR="00A31F99" w:rsidRPr="00A31F99" w:rsidRDefault="00A31F99" w:rsidP="00BF2360">
            <w:pPr>
              <w:spacing w:before="120" w:after="120"/>
              <w:jc w:val="left"/>
              <w:rPr>
                <w:b/>
                <w:bCs/>
                <w:sz w:val="18"/>
                <w:szCs w:val="18"/>
                <w:lang w:val="fr-FR"/>
              </w:rPr>
            </w:pPr>
            <w:r w:rsidRPr="00A31F99">
              <w:rPr>
                <w:sz w:val="18"/>
                <w:szCs w:val="18"/>
                <w:lang w:val="fr-FR"/>
              </w:rPr>
              <w:t>Les antennes de réseau régionales sont considérées comme des partenaires contributeurs, avec des termes de référence supplémentaires.</w:t>
            </w:r>
          </w:p>
        </w:tc>
        <w:tc>
          <w:tcPr>
            <w:tcW w:w="1413" w:type="pct"/>
          </w:tcPr>
          <w:p w14:paraId="584A7714" w14:textId="5AF04D3F" w:rsidR="00A31F99" w:rsidRPr="00A31F99" w:rsidRDefault="00A31F99" w:rsidP="00BF2360">
            <w:pPr>
              <w:jc w:val="left"/>
              <w:rPr>
                <w:rFonts w:eastAsia="Times New Roman" w:cstheme="majorBidi"/>
                <w:sz w:val="18"/>
                <w:szCs w:val="18"/>
                <w:lang w:val="fr-FR"/>
              </w:rPr>
            </w:pPr>
            <w:r w:rsidRPr="00A31F99">
              <w:rPr>
                <w:sz w:val="18"/>
                <w:szCs w:val="18"/>
                <w:lang w:val="fr-FR"/>
              </w:rPr>
              <w:t>Prise de décision: Les membres de soutien auront la possibilité de participer à la gouvernance du Réseau, à la définition des priorités stratégiques et à la mise en œuvre via le Groupe consultatif, et de rendre compte des progrès réalisés.</w:t>
            </w:r>
            <w:r w:rsidR="00807EF1">
              <w:rPr>
                <w:sz w:val="18"/>
                <w:szCs w:val="18"/>
                <w:lang w:val="fr-FR"/>
              </w:rPr>
              <w:t xml:space="preserve"> </w:t>
            </w:r>
          </w:p>
          <w:p w14:paraId="3BC72E55" w14:textId="77777777" w:rsidR="00A31F99" w:rsidRPr="00A31F99" w:rsidRDefault="00A31F99" w:rsidP="00BF2360">
            <w:pPr>
              <w:jc w:val="left"/>
              <w:rPr>
                <w:rFonts w:eastAsia="Times New Roman" w:cstheme="majorBidi"/>
                <w:sz w:val="18"/>
                <w:szCs w:val="18"/>
                <w:lang w:val="fr-FR"/>
              </w:rPr>
            </w:pPr>
          </w:p>
          <w:p w14:paraId="63493437" w14:textId="77777777" w:rsidR="00A31F99" w:rsidRPr="00A31F99" w:rsidRDefault="00A31F99" w:rsidP="00BF2360">
            <w:pPr>
              <w:jc w:val="left"/>
              <w:rPr>
                <w:rFonts w:eastAsia="Times New Roman" w:cstheme="majorBidi"/>
                <w:sz w:val="18"/>
                <w:szCs w:val="18"/>
                <w:lang w:val="fr-FR"/>
              </w:rPr>
            </w:pPr>
            <w:r w:rsidRPr="00A31F99">
              <w:rPr>
                <w:sz w:val="18"/>
                <w:szCs w:val="18"/>
                <w:lang w:val="fr-FR"/>
              </w:rPr>
              <w:t xml:space="preserve">Visibilité: Les logos institutionnels sont mis en évidence, le cas échéant, </w:t>
            </w:r>
          </w:p>
          <w:p w14:paraId="36C107B8" w14:textId="0A650ACF" w:rsidR="00A31F99" w:rsidRPr="00A31F99" w:rsidRDefault="00A31F99" w:rsidP="00BF2360">
            <w:pPr>
              <w:jc w:val="left"/>
              <w:rPr>
                <w:sz w:val="18"/>
                <w:szCs w:val="18"/>
                <w:lang w:val="fr-FR"/>
              </w:rPr>
            </w:pPr>
            <w:r w:rsidRPr="00A31F99">
              <w:rPr>
                <w:sz w:val="18"/>
                <w:szCs w:val="18"/>
                <w:lang w:val="fr-FR"/>
              </w:rPr>
              <w:t xml:space="preserve">Projets approuvés par le </w:t>
            </w:r>
            <w:proofErr w:type="spellStart"/>
            <w:r w:rsidRPr="00A31F99">
              <w:rPr>
                <w:sz w:val="18"/>
                <w:szCs w:val="18"/>
                <w:lang w:val="fr-FR"/>
              </w:rPr>
              <w:t>GHHIN</w:t>
            </w:r>
            <w:proofErr w:type="spellEnd"/>
          </w:p>
        </w:tc>
        <w:tc>
          <w:tcPr>
            <w:tcW w:w="0" w:type="auto"/>
          </w:tcPr>
          <w:p w14:paraId="615C5F18" w14:textId="77777777" w:rsidR="00A31F99" w:rsidRPr="00A31F99" w:rsidRDefault="00A31F99" w:rsidP="00BF2360">
            <w:pPr>
              <w:jc w:val="left"/>
              <w:rPr>
                <w:rFonts w:eastAsia="Times New Roman" w:cstheme="majorHAnsi"/>
                <w:sz w:val="18"/>
                <w:szCs w:val="18"/>
                <w:lang w:val="fr-FR"/>
              </w:rPr>
            </w:pPr>
            <w:r w:rsidRPr="00A31F99">
              <w:rPr>
                <w:sz w:val="18"/>
                <w:szCs w:val="18"/>
                <w:lang w:val="fr-FR"/>
              </w:rPr>
              <w:t>E.g.</w:t>
            </w:r>
          </w:p>
          <w:p w14:paraId="2FB908E4" w14:textId="77777777" w:rsidR="00A31F99" w:rsidRPr="00A31F99" w:rsidRDefault="00A31F99" w:rsidP="00BF2360">
            <w:pPr>
              <w:jc w:val="left"/>
              <w:rPr>
                <w:rFonts w:eastAsia="Times New Roman" w:cstheme="majorHAnsi"/>
                <w:sz w:val="18"/>
                <w:szCs w:val="18"/>
                <w:lang w:val="fr-FR"/>
              </w:rPr>
            </w:pPr>
            <w:r w:rsidRPr="00A31F99">
              <w:rPr>
                <w:sz w:val="18"/>
                <w:szCs w:val="18"/>
                <w:lang w:val="fr-FR"/>
              </w:rPr>
              <w:t>OPS</w:t>
            </w:r>
          </w:p>
          <w:p w14:paraId="6896DF41" w14:textId="77777777" w:rsidR="00A31F99" w:rsidRPr="00A31F99" w:rsidRDefault="00A31F99" w:rsidP="00BF2360">
            <w:pPr>
              <w:jc w:val="left"/>
              <w:rPr>
                <w:rFonts w:eastAsia="Times New Roman" w:cstheme="majorHAnsi"/>
                <w:sz w:val="18"/>
                <w:szCs w:val="18"/>
                <w:lang w:val="fr-FR"/>
              </w:rPr>
            </w:pPr>
            <w:proofErr w:type="spellStart"/>
            <w:r w:rsidRPr="00A31F99">
              <w:rPr>
                <w:sz w:val="18"/>
                <w:szCs w:val="18"/>
                <w:lang w:val="fr-FR"/>
              </w:rPr>
              <w:t>IITM</w:t>
            </w:r>
            <w:proofErr w:type="spellEnd"/>
          </w:p>
          <w:p w14:paraId="2651E999" w14:textId="7EFFA4F0" w:rsidR="00A31F99" w:rsidRPr="00A31F99" w:rsidRDefault="00A31F99" w:rsidP="00BF2360">
            <w:pPr>
              <w:jc w:val="left"/>
              <w:rPr>
                <w:sz w:val="18"/>
                <w:szCs w:val="18"/>
                <w:lang w:val="fr-FR"/>
              </w:rPr>
            </w:pPr>
            <w:r w:rsidRPr="00A31F99">
              <w:rPr>
                <w:sz w:val="18"/>
                <w:szCs w:val="18"/>
                <w:lang w:val="fr-FR"/>
              </w:rPr>
              <w:t>Université de Copenhague</w:t>
            </w:r>
          </w:p>
        </w:tc>
        <w:tc>
          <w:tcPr>
            <w:tcW w:w="862" w:type="pct"/>
          </w:tcPr>
          <w:p w14:paraId="306793B5" w14:textId="77777777" w:rsidR="00A31F99" w:rsidRPr="00A31F99" w:rsidRDefault="00A31F99" w:rsidP="00BF2360">
            <w:pPr>
              <w:pStyle w:val="ListParagraph"/>
              <w:numPr>
                <w:ilvl w:val="0"/>
                <w:numId w:val="8"/>
              </w:numPr>
              <w:spacing w:after="0" w:line="240" w:lineRule="auto"/>
              <w:ind w:left="130" w:hanging="165"/>
              <w:rPr>
                <w:rFonts w:ascii="Verdana" w:eastAsia="Times New Roman" w:hAnsi="Verdana" w:cstheme="majorBidi"/>
                <w:sz w:val="18"/>
                <w:szCs w:val="18"/>
                <w:lang w:val="fr-FR"/>
              </w:rPr>
            </w:pPr>
            <w:r w:rsidRPr="00A31F99">
              <w:rPr>
                <w:rFonts w:ascii="Verdana" w:hAnsi="Verdana"/>
                <w:sz w:val="18"/>
                <w:szCs w:val="18"/>
                <w:lang w:val="fr-FR"/>
              </w:rPr>
              <w:t>Lettre de mission et contributions attendues</w:t>
            </w:r>
          </w:p>
          <w:p w14:paraId="109A5ECC" w14:textId="77777777" w:rsidR="00A31F99" w:rsidRPr="00A31F99" w:rsidRDefault="00A31F99" w:rsidP="00BF2360">
            <w:pPr>
              <w:pStyle w:val="ListParagraph"/>
              <w:numPr>
                <w:ilvl w:val="0"/>
                <w:numId w:val="8"/>
              </w:numPr>
              <w:spacing w:after="0" w:line="240" w:lineRule="auto"/>
              <w:ind w:left="130" w:hanging="165"/>
              <w:rPr>
                <w:rFonts w:ascii="Verdana" w:eastAsia="Times New Roman" w:hAnsi="Verdana" w:cstheme="majorHAnsi"/>
                <w:sz w:val="18"/>
                <w:szCs w:val="18"/>
              </w:rPr>
            </w:pPr>
            <w:r w:rsidRPr="00A31F99">
              <w:rPr>
                <w:rFonts w:ascii="Verdana" w:hAnsi="Verdana"/>
                <w:sz w:val="18"/>
                <w:szCs w:val="18"/>
                <w:lang w:val="fr-FR"/>
              </w:rPr>
              <w:t>Correspondant désigné</w:t>
            </w:r>
          </w:p>
          <w:p w14:paraId="0D337BFF" w14:textId="38AEE55C" w:rsidR="00A31F99" w:rsidRPr="00A31F99" w:rsidRDefault="00A31F99" w:rsidP="00BF2360">
            <w:pPr>
              <w:pStyle w:val="ListParagraph"/>
              <w:numPr>
                <w:ilvl w:val="0"/>
                <w:numId w:val="8"/>
              </w:numPr>
              <w:spacing w:after="0" w:line="240" w:lineRule="auto"/>
              <w:ind w:left="130" w:hanging="165"/>
              <w:rPr>
                <w:rFonts w:ascii="Verdana" w:eastAsia="Times New Roman" w:hAnsi="Verdana" w:cstheme="majorHAnsi"/>
                <w:sz w:val="18"/>
                <w:szCs w:val="18"/>
                <w:lang w:val="fr-FR"/>
              </w:rPr>
            </w:pPr>
            <w:r w:rsidRPr="00A31F99">
              <w:rPr>
                <w:rFonts w:ascii="Verdana" w:hAnsi="Verdana"/>
                <w:sz w:val="18"/>
                <w:szCs w:val="18"/>
                <w:lang w:val="fr-FR"/>
              </w:rPr>
              <w:t>Protocole d</w:t>
            </w:r>
            <w:r w:rsidR="00B34E4F">
              <w:rPr>
                <w:rFonts w:ascii="Verdana" w:hAnsi="Verdana"/>
                <w:sz w:val="18"/>
                <w:szCs w:val="18"/>
                <w:lang w:val="fr-FR"/>
              </w:rPr>
              <w:t>’</w:t>
            </w:r>
            <w:r w:rsidRPr="00A31F99">
              <w:rPr>
                <w:rFonts w:ascii="Verdana" w:hAnsi="Verdana"/>
                <w:sz w:val="18"/>
                <w:szCs w:val="18"/>
                <w:lang w:val="fr-FR"/>
              </w:rPr>
              <w:t xml:space="preserve">accord avec les </w:t>
            </w:r>
            <w:proofErr w:type="spellStart"/>
            <w:r w:rsidRPr="00A31F99">
              <w:rPr>
                <w:rFonts w:ascii="Verdana" w:hAnsi="Verdana"/>
                <w:sz w:val="18"/>
                <w:szCs w:val="18"/>
                <w:lang w:val="fr-FR"/>
              </w:rPr>
              <w:t>co</w:t>
            </w:r>
            <w:proofErr w:type="spellEnd"/>
            <w:r w:rsidRPr="00A31F99">
              <w:rPr>
                <w:rFonts w:ascii="Verdana" w:hAnsi="Verdana"/>
                <w:sz w:val="18"/>
                <w:szCs w:val="18"/>
                <w:lang w:val="fr-FR"/>
              </w:rPr>
              <w:t>-parrains pour le financement (le cas échéant)</w:t>
            </w:r>
          </w:p>
          <w:p w14:paraId="0B28AED8" w14:textId="77777777" w:rsidR="00A31F99" w:rsidRPr="00A31F99" w:rsidRDefault="00A31F99" w:rsidP="00BF2360">
            <w:pPr>
              <w:pStyle w:val="ListParagraph"/>
              <w:spacing w:line="240" w:lineRule="auto"/>
              <w:ind w:left="130"/>
              <w:rPr>
                <w:rFonts w:ascii="Verdana" w:eastAsia="Times New Roman" w:hAnsi="Verdana" w:cstheme="majorHAnsi"/>
                <w:sz w:val="18"/>
                <w:szCs w:val="18"/>
                <w:lang w:val="fr-FR"/>
              </w:rPr>
            </w:pPr>
            <w:r w:rsidRPr="00A31F99">
              <w:rPr>
                <w:rFonts w:ascii="Verdana" w:hAnsi="Verdana"/>
                <w:sz w:val="18"/>
                <w:szCs w:val="18"/>
                <w:lang w:val="fr-FR"/>
              </w:rPr>
              <w:t>(Alt.)</w:t>
            </w:r>
          </w:p>
          <w:p w14:paraId="2F7B5E90" w14:textId="32C859B4" w:rsidR="00A31F99" w:rsidRPr="00A31F99" w:rsidRDefault="00A31F99" w:rsidP="00BF2360">
            <w:pPr>
              <w:spacing w:before="120" w:after="120"/>
              <w:jc w:val="left"/>
              <w:rPr>
                <w:sz w:val="18"/>
                <w:szCs w:val="18"/>
                <w:lang w:val="fr-FR"/>
              </w:rPr>
            </w:pPr>
            <w:r w:rsidRPr="00A31F99">
              <w:rPr>
                <w:sz w:val="18"/>
                <w:szCs w:val="18"/>
                <w:lang w:val="fr-FR"/>
              </w:rPr>
              <w:t xml:space="preserve">Approbation du projet par le Comité de gestion </w:t>
            </w:r>
          </w:p>
        </w:tc>
      </w:tr>
      <w:tr w:rsidR="00905820" w:rsidRPr="00706140" w14:paraId="582129F0" w14:textId="77777777" w:rsidTr="001E276E">
        <w:tc>
          <w:tcPr>
            <w:tcW w:w="5000" w:type="pct"/>
            <w:gridSpan w:val="5"/>
            <w:shd w:val="clear" w:color="auto" w:fill="D99594" w:themeFill="accent2" w:themeFillTint="99"/>
          </w:tcPr>
          <w:p w14:paraId="75B266DD" w14:textId="43E5E16E" w:rsidR="00905820" w:rsidRPr="00706140" w:rsidRDefault="00706140" w:rsidP="00706140">
            <w:pPr>
              <w:spacing w:before="120" w:after="120"/>
              <w:jc w:val="center"/>
              <w:rPr>
                <w:rFonts w:eastAsia="Times New Roman" w:cstheme="majorHAnsi"/>
                <w:b/>
                <w:bCs/>
                <w:sz w:val="18"/>
                <w:szCs w:val="18"/>
                <w:lang w:val="fr-FR"/>
              </w:rPr>
            </w:pPr>
            <w:r w:rsidRPr="00706140">
              <w:rPr>
                <w:rFonts w:eastAsia="Times New Roman" w:cstheme="majorBidi"/>
                <w:b/>
                <w:bCs/>
                <w:sz w:val="18"/>
                <w:szCs w:val="18"/>
                <w:lang w:val="fr-FR"/>
              </w:rPr>
              <w:t xml:space="preserve">MEMBRES PARTICIPANTS DU </w:t>
            </w:r>
            <w:proofErr w:type="spellStart"/>
            <w:r w:rsidRPr="00706140">
              <w:rPr>
                <w:rFonts w:eastAsia="Times New Roman" w:cstheme="majorBidi"/>
                <w:b/>
                <w:bCs/>
                <w:sz w:val="18"/>
                <w:szCs w:val="18"/>
                <w:lang w:val="fr-FR"/>
              </w:rPr>
              <w:t>GHHIN</w:t>
            </w:r>
            <w:proofErr w:type="spellEnd"/>
            <w:r w:rsidRPr="00706140">
              <w:rPr>
                <w:rFonts w:eastAsia="Times New Roman" w:cstheme="majorBidi"/>
                <w:b/>
                <w:bCs/>
                <w:sz w:val="18"/>
                <w:szCs w:val="18"/>
                <w:lang w:val="fr-FR"/>
              </w:rPr>
              <w:t xml:space="preserve"> (Experts individuels dans la communauté de pratique)</w:t>
            </w:r>
          </w:p>
        </w:tc>
      </w:tr>
      <w:tr w:rsidR="00BF2360" w:rsidRPr="00D760DF" w14:paraId="28910610" w14:textId="77777777" w:rsidTr="001E276E">
        <w:tc>
          <w:tcPr>
            <w:tcW w:w="853" w:type="pct"/>
          </w:tcPr>
          <w:p w14:paraId="1F5AA6A5" w14:textId="6F879445" w:rsidR="00BF2360" w:rsidRPr="00BF2360" w:rsidRDefault="00BF2360" w:rsidP="00BF2360">
            <w:pPr>
              <w:spacing w:before="120" w:after="120"/>
              <w:jc w:val="center"/>
              <w:rPr>
                <w:rFonts w:eastAsia="Times New Roman" w:cstheme="majorHAnsi"/>
                <w:b/>
                <w:bCs/>
                <w:sz w:val="18"/>
                <w:szCs w:val="18"/>
              </w:rPr>
            </w:pPr>
            <w:r w:rsidRPr="00BF2360">
              <w:rPr>
                <w:b/>
                <w:bCs/>
                <w:sz w:val="18"/>
                <w:szCs w:val="18"/>
                <w:lang w:val="fr-FR"/>
              </w:rPr>
              <w:t>Type de membre</w:t>
            </w:r>
          </w:p>
        </w:tc>
        <w:tc>
          <w:tcPr>
            <w:tcW w:w="1092" w:type="pct"/>
          </w:tcPr>
          <w:p w14:paraId="73B7C468" w14:textId="7BE01E17" w:rsidR="00BF2360" w:rsidRPr="00BF2360" w:rsidRDefault="00BF2360" w:rsidP="00BF2360">
            <w:pPr>
              <w:spacing w:before="120" w:after="120"/>
              <w:jc w:val="center"/>
              <w:rPr>
                <w:rFonts w:eastAsia="Times New Roman" w:cstheme="majorHAnsi"/>
                <w:b/>
                <w:bCs/>
                <w:sz w:val="18"/>
                <w:szCs w:val="18"/>
                <w:u w:val="single"/>
              </w:rPr>
            </w:pPr>
            <w:r w:rsidRPr="00BF2360">
              <w:rPr>
                <w:b/>
                <w:bCs/>
                <w:sz w:val="18"/>
                <w:szCs w:val="18"/>
                <w:lang w:val="fr-FR"/>
              </w:rPr>
              <w:t>Rôle</w:t>
            </w:r>
          </w:p>
        </w:tc>
        <w:tc>
          <w:tcPr>
            <w:tcW w:w="1413" w:type="pct"/>
          </w:tcPr>
          <w:p w14:paraId="6BF6BA06" w14:textId="7BF459F7" w:rsidR="00BF2360" w:rsidRPr="00BF2360" w:rsidRDefault="00BF2360" w:rsidP="00BF2360">
            <w:pPr>
              <w:spacing w:before="120" w:after="120"/>
              <w:jc w:val="center"/>
              <w:rPr>
                <w:rFonts w:eastAsia="Times New Roman" w:cstheme="majorHAnsi"/>
                <w:b/>
                <w:bCs/>
                <w:sz w:val="18"/>
                <w:szCs w:val="18"/>
                <w:u w:val="single"/>
              </w:rPr>
            </w:pPr>
            <w:r w:rsidRPr="00BF2360">
              <w:rPr>
                <w:b/>
                <w:bCs/>
                <w:sz w:val="18"/>
                <w:szCs w:val="18"/>
                <w:lang w:val="fr-FR"/>
              </w:rPr>
              <w:t xml:space="preserve">Privilèges </w:t>
            </w:r>
          </w:p>
        </w:tc>
        <w:tc>
          <w:tcPr>
            <w:tcW w:w="780" w:type="pct"/>
          </w:tcPr>
          <w:p w14:paraId="734B55EA" w14:textId="09622EE2" w:rsidR="00BF2360" w:rsidRPr="00BF2360" w:rsidRDefault="00BF2360" w:rsidP="00BF2360">
            <w:pPr>
              <w:spacing w:before="120" w:after="120"/>
              <w:jc w:val="center"/>
              <w:rPr>
                <w:rFonts w:eastAsia="Times New Roman" w:cstheme="majorHAnsi"/>
                <w:b/>
                <w:bCs/>
                <w:sz w:val="18"/>
                <w:szCs w:val="18"/>
              </w:rPr>
            </w:pPr>
            <w:r w:rsidRPr="00BF2360">
              <w:rPr>
                <w:b/>
                <w:bCs/>
                <w:sz w:val="18"/>
                <w:szCs w:val="18"/>
                <w:lang w:val="fr-FR"/>
              </w:rPr>
              <w:t>Exemple actuel</w:t>
            </w:r>
          </w:p>
        </w:tc>
        <w:tc>
          <w:tcPr>
            <w:tcW w:w="862" w:type="pct"/>
          </w:tcPr>
          <w:p w14:paraId="2C2BD4D7" w14:textId="0E300681" w:rsidR="00BF2360" w:rsidRPr="00BF2360" w:rsidRDefault="00BF2360" w:rsidP="00BF2360">
            <w:pPr>
              <w:spacing w:before="120" w:after="120"/>
              <w:jc w:val="center"/>
              <w:rPr>
                <w:rFonts w:eastAsia="Times New Roman" w:cstheme="majorHAnsi"/>
                <w:b/>
                <w:bCs/>
                <w:sz w:val="18"/>
                <w:szCs w:val="18"/>
              </w:rPr>
            </w:pPr>
            <w:r w:rsidRPr="00BF2360">
              <w:rPr>
                <w:b/>
                <w:bCs/>
                <w:sz w:val="18"/>
                <w:szCs w:val="18"/>
                <w:lang w:val="fr-FR"/>
              </w:rPr>
              <w:t>Appuyé par</w:t>
            </w:r>
          </w:p>
        </w:tc>
      </w:tr>
      <w:tr w:rsidR="009E6948" w:rsidRPr="009E6948" w14:paraId="156E4D07" w14:textId="77777777" w:rsidTr="001E276E">
        <w:tc>
          <w:tcPr>
            <w:tcW w:w="853" w:type="pct"/>
            <w:vMerge w:val="restart"/>
          </w:tcPr>
          <w:p w14:paraId="03531352" w14:textId="77777777" w:rsidR="009E6948" w:rsidRPr="009E6948" w:rsidRDefault="009E6948" w:rsidP="009E6948">
            <w:pPr>
              <w:rPr>
                <w:rFonts w:eastAsia="Times New Roman" w:cstheme="majorBidi"/>
                <w:sz w:val="18"/>
                <w:szCs w:val="18"/>
              </w:rPr>
            </w:pPr>
            <w:r w:rsidRPr="009E6948">
              <w:rPr>
                <w:b/>
                <w:bCs/>
                <w:sz w:val="18"/>
                <w:szCs w:val="18"/>
                <w:lang w:val="fr-FR"/>
              </w:rPr>
              <w:t>Membres participants</w:t>
            </w:r>
            <w:r w:rsidRPr="009E6948">
              <w:rPr>
                <w:sz w:val="18"/>
                <w:szCs w:val="18"/>
                <w:lang w:val="fr-FR"/>
              </w:rPr>
              <w:t xml:space="preserve"> </w:t>
            </w:r>
          </w:p>
          <w:p w14:paraId="4E985ECA" w14:textId="5CC81824" w:rsidR="009E6948" w:rsidRPr="009E6948" w:rsidRDefault="009E6948" w:rsidP="009E6948">
            <w:pPr>
              <w:spacing w:before="120" w:after="120"/>
              <w:rPr>
                <w:rFonts w:eastAsia="Times New Roman" w:cstheme="majorBidi"/>
                <w:sz w:val="18"/>
                <w:szCs w:val="18"/>
              </w:rPr>
            </w:pPr>
          </w:p>
        </w:tc>
        <w:tc>
          <w:tcPr>
            <w:tcW w:w="1092" w:type="pct"/>
            <w:vMerge w:val="restart"/>
          </w:tcPr>
          <w:p w14:paraId="44D7AEF3" w14:textId="63A0BCC7" w:rsidR="009E6948" w:rsidRPr="009E6948" w:rsidRDefault="009E6948" w:rsidP="009E6948">
            <w:pPr>
              <w:jc w:val="left"/>
              <w:rPr>
                <w:rFonts w:eastAsia="Times New Roman" w:cstheme="majorHAnsi"/>
                <w:sz w:val="18"/>
                <w:szCs w:val="18"/>
                <w:lang w:val="fr-FR"/>
              </w:rPr>
            </w:pPr>
            <w:r w:rsidRPr="009E6948">
              <w:rPr>
                <w:sz w:val="18"/>
                <w:szCs w:val="18"/>
                <w:lang w:val="fr-FR"/>
              </w:rPr>
              <w:t xml:space="preserve">Les </w:t>
            </w:r>
            <w:r w:rsidRPr="009E6948">
              <w:rPr>
                <w:b/>
                <w:bCs/>
                <w:sz w:val="18"/>
                <w:szCs w:val="18"/>
                <w:lang w:val="fr-FR"/>
              </w:rPr>
              <w:t>membres individuels</w:t>
            </w:r>
            <w:r w:rsidRPr="009E6948">
              <w:rPr>
                <w:sz w:val="18"/>
                <w:szCs w:val="18"/>
                <w:lang w:val="fr-FR"/>
              </w:rPr>
              <w:t xml:space="preserve"> peuvent avoir des niveaux d</w:t>
            </w:r>
            <w:r w:rsidR="00B34E4F">
              <w:rPr>
                <w:sz w:val="18"/>
                <w:szCs w:val="18"/>
                <w:lang w:val="fr-FR"/>
              </w:rPr>
              <w:t>’</w:t>
            </w:r>
            <w:r w:rsidRPr="009E6948">
              <w:rPr>
                <w:sz w:val="18"/>
                <w:szCs w:val="18"/>
                <w:lang w:val="fr-FR"/>
              </w:rPr>
              <w:t>activité différents:</w:t>
            </w:r>
          </w:p>
          <w:p w14:paraId="215F7A0B" w14:textId="77777777" w:rsidR="009E6948" w:rsidRPr="009E6948" w:rsidRDefault="009E6948" w:rsidP="009E6948">
            <w:pPr>
              <w:jc w:val="left"/>
              <w:rPr>
                <w:rFonts w:eastAsia="Times New Roman" w:cstheme="majorHAnsi"/>
                <w:sz w:val="18"/>
                <w:szCs w:val="18"/>
                <w:lang w:val="fr-FR"/>
              </w:rPr>
            </w:pPr>
          </w:p>
          <w:p w14:paraId="66D9C2B3" w14:textId="2D9533B2" w:rsidR="009E6948" w:rsidRPr="009E6948" w:rsidRDefault="009E6948" w:rsidP="009E6948">
            <w:pPr>
              <w:jc w:val="left"/>
              <w:rPr>
                <w:rFonts w:eastAsia="Times New Roman" w:cstheme="majorHAnsi"/>
                <w:sz w:val="18"/>
                <w:szCs w:val="18"/>
                <w:lang w:val="fr-FR"/>
              </w:rPr>
            </w:pPr>
            <w:r w:rsidRPr="009E6948">
              <w:rPr>
                <w:sz w:val="18"/>
                <w:szCs w:val="18"/>
                <w:lang w:val="fr-FR"/>
              </w:rPr>
              <w:t>Certains membres peuvent fournir du temps et des compétences en nature pour venir appuyer des activités telles que l</w:t>
            </w:r>
            <w:r w:rsidR="00B34E4F">
              <w:rPr>
                <w:sz w:val="18"/>
                <w:szCs w:val="18"/>
                <w:lang w:val="fr-FR"/>
              </w:rPr>
              <w:t>’</w:t>
            </w:r>
            <w:r w:rsidRPr="009E6948">
              <w:rPr>
                <w:sz w:val="18"/>
                <w:szCs w:val="18"/>
                <w:lang w:val="fr-FR"/>
              </w:rPr>
              <w:t>organisation de webinaires, de formations, d</w:t>
            </w:r>
            <w:r w:rsidR="00B34E4F">
              <w:rPr>
                <w:sz w:val="18"/>
                <w:szCs w:val="18"/>
                <w:lang w:val="fr-FR"/>
              </w:rPr>
              <w:t>’</w:t>
            </w:r>
            <w:r w:rsidRPr="009E6948">
              <w:rPr>
                <w:sz w:val="18"/>
                <w:szCs w:val="18"/>
                <w:lang w:val="fr-FR"/>
              </w:rPr>
              <w:t xml:space="preserve">ateliers, la rédaction et la révision de documents techniques. </w:t>
            </w:r>
          </w:p>
          <w:p w14:paraId="4B0F2A8A" w14:textId="77777777" w:rsidR="009E6948" w:rsidRPr="009E6948" w:rsidRDefault="009E6948" w:rsidP="009E6948">
            <w:pPr>
              <w:jc w:val="left"/>
              <w:rPr>
                <w:rFonts w:eastAsia="Times New Roman" w:cstheme="majorHAnsi"/>
                <w:sz w:val="18"/>
                <w:szCs w:val="18"/>
                <w:lang w:val="fr-FR"/>
              </w:rPr>
            </w:pPr>
          </w:p>
          <w:p w14:paraId="1FDFBDFC" w14:textId="77777777" w:rsidR="009E6948" w:rsidRPr="009E6948" w:rsidRDefault="009E6948" w:rsidP="009E6948">
            <w:pPr>
              <w:jc w:val="left"/>
              <w:rPr>
                <w:rFonts w:eastAsia="Times New Roman" w:cstheme="majorBidi"/>
                <w:sz w:val="18"/>
                <w:szCs w:val="18"/>
                <w:lang w:val="fr-FR"/>
              </w:rPr>
            </w:pPr>
            <w:r w:rsidRPr="009E6948">
              <w:rPr>
                <w:sz w:val="18"/>
                <w:szCs w:val="18"/>
                <w:lang w:val="fr-FR"/>
              </w:rPr>
              <w:t xml:space="preserve">Comprend les membres du Comité de gestion qui y consacrent beaucoup de temps (5 à 10 jours par an). </w:t>
            </w:r>
          </w:p>
          <w:p w14:paraId="65883BD2" w14:textId="77777777" w:rsidR="009E6948" w:rsidRPr="009E6948" w:rsidRDefault="009E6948" w:rsidP="009E6948">
            <w:pPr>
              <w:jc w:val="left"/>
              <w:rPr>
                <w:rFonts w:eastAsia="Times New Roman" w:cstheme="majorHAnsi"/>
                <w:sz w:val="18"/>
                <w:szCs w:val="18"/>
                <w:lang w:val="fr-FR"/>
              </w:rPr>
            </w:pPr>
          </w:p>
          <w:p w14:paraId="063BEAB6" w14:textId="50BF327B" w:rsidR="009E6948" w:rsidRPr="009E6948" w:rsidRDefault="009E6948" w:rsidP="009E6948">
            <w:pPr>
              <w:spacing w:before="120" w:after="120"/>
              <w:jc w:val="left"/>
              <w:rPr>
                <w:rFonts w:eastAsia="Times New Roman" w:cstheme="majorBidi"/>
                <w:sz w:val="18"/>
                <w:szCs w:val="18"/>
              </w:rPr>
            </w:pPr>
            <w:r w:rsidRPr="009E6948">
              <w:rPr>
                <w:sz w:val="18"/>
                <w:szCs w:val="18"/>
                <w:lang w:val="fr-FR"/>
              </w:rPr>
              <w:lastRenderedPageBreak/>
              <w:t>Certains peuvent assister à des activités et partager des leçons et des recherches lors d</w:t>
            </w:r>
            <w:r w:rsidR="00B34E4F">
              <w:rPr>
                <w:sz w:val="18"/>
                <w:szCs w:val="18"/>
                <w:lang w:val="fr-FR"/>
              </w:rPr>
              <w:t>’</w:t>
            </w:r>
            <w:r w:rsidRPr="009E6948">
              <w:rPr>
                <w:sz w:val="18"/>
                <w:szCs w:val="18"/>
                <w:lang w:val="fr-FR"/>
              </w:rPr>
              <w:t>événements du Réseau. (par exemple, participer ou présenter des événements du Réseau)</w:t>
            </w:r>
          </w:p>
        </w:tc>
        <w:tc>
          <w:tcPr>
            <w:tcW w:w="1413" w:type="pct"/>
            <w:vMerge w:val="restart"/>
          </w:tcPr>
          <w:p w14:paraId="1F64C6F2" w14:textId="76FCA76D" w:rsidR="009E6948" w:rsidRPr="009E6948" w:rsidRDefault="009E6948" w:rsidP="009E6948">
            <w:pPr>
              <w:jc w:val="left"/>
              <w:rPr>
                <w:rFonts w:eastAsia="Times New Roman" w:cstheme="majorBidi"/>
                <w:sz w:val="18"/>
                <w:szCs w:val="18"/>
                <w:lang w:val="fr-FR"/>
              </w:rPr>
            </w:pPr>
            <w:r w:rsidRPr="009E6948">
              <w:rPr>
                <w:sz w:val="18"/>
                <w:szCs w:val="18"/>
                <w:lang w:val="fr-FR"/>
              </w:rPr>
              <w:lastRenderedPageBreak/>
              <w:t>Visibilité: Les membres individuels ont la possibilité de figurer dans le «Réseau d</w:t>
            </w:r>
            <w:r w:rsidR="00B34E4F">
              <w:rPr>
                <w:sz w:val="18"/>
                <w:szCs w:val="18"/>
                <w:lang w:val="fr-FR"/>
              </w:rPr>
              <w:t>’</w:t>
            </w:r>
            <w:r w:rsidRPr="009E6948">
              <w:rPr>
                <w:sz w:val="18"/>
                <w:szCs w:val="18"/>
                <w:lang w:val="fr-FR"/>
              </w:rPr>
              <w:t>experts» et de voir leurs travaux pris en considération pour la bibliothèque.</w:t>
            </w:r>
          </w:p>
          <w:p w14:paraId="7830FB7E" w14:textId="77777777" w:rsidR="009E6948" w:rsidRPr="009E6948" w:rsidRDefault="009E6948" w:rsidP="009E6948">
            <w:pPr>
              <w:jc w:val="left"/>
              <w:rPr>
                <w:rFonts w:eastAsia="Times New Roman" w:cstheme="majorBidi"/>
                <w:sz w:val="18"/>
                <w:szCs w:val="18"/>
                <w:lang w:val="fr-FR"/>
              </w:rPr>
            </w:pPr>
          </w:p>
          <w:p w14:paraId="0A2CF8DA" w14:textId="59ABC65B" w:rsidR="009E6948" w:rsidRPr="009E6948" w:rsidRDefault="009E6948" w:rsidP="009E6948">
            <w:pPr>
              <w:jc w:val="left"/>
              <w:rPr>
                <w:rFonts w:eastAsia="Times New Roman" w:cstheme="majorBidi"/>
                <w:sz w:val="18"/>
                <w:szCs w:val="18"/>
                <w:lang w:val="fr-FR"/>
              </w:rPr>
            </w:pPr>
            <w:r w:rsidRPr="009E6948">
              <w:rPr>
                <w:sz w:val="18"/>
                <w:szCs w:val="18"/>
                <w:lang w:val="fr-FR"/>
              </w:rPr>
              <w:t>Possibilité d</w:t>
            </w:r>
            <w:r w:rsidR="00B34E4F">
              <w:rPr>
                <w:sz w:val="18"/>
                <w:szCs w:val="18"/>
                <w:lang w:val="fr-FR"/>
              </w:rPr>
              <w:t>’</w:t>
            </w:r>
            <w:r w:rsidRPr="009E6948">
              <w:rPr>
                <w:sz w:val="18"/>
                <w:szCs w:val="18"/>
                <w:lang w:val="fr-FR"/>
              </w:rPr>
              <w:t>élaborer et de contribuer à des recommandations de haut niveau qui sont utilisées dans le monde entier.</w:t>
            </w:r>
          </w:p>
          <w:p w14:paraId="7A538235" w14:textId="77777777" w:rsidR="009E6948" w:rsidRPr="009E6948" w:rsidRDefault="009E6948" w:rsidP="009E6948">
            <w:pPr>
              <w:jc w:val="left"/>
              <w:rPr>
                <w:rFonts w:eastAsia="Times New Roman" w:cstheme="majorBidi"/>
                <w:sz w:val="18"/>
                <w:szCs w:val="18"/>
                <w:lang w:val="fr-FR"/>
              </w:rPr>
            </w:pPr>
          </w:p>
          <w:p w14:paraId="70B7223D" w14:textId="38CC36D5" w:rsidR="009E6948" w:rsidRPr="009E6948" w:rsidRDefault="009E6948" w:rsidP="009E6948">
            <w:pPr>
              <w:jc w:val="left"/>
              <w:rPr>
                <w:rFonts w:eastAsia="Times New Roman" w:cstheme="majorBidi"/>
                <w:sz w:val="18"/>
                <w:szCs w:val="18"/>
                <w:lang w:val="fr-FR"/>
              </w:rPr>
            </w:pPr>
            <w:r w:rsidRPr="009E6948">
              <w:rPr>
                <w:sz w:val="18"/>
                <w:szCs w:val="18"/>
                <w:lang w:val="fr-FR"/>
              </w:rPr>
              <w:t>Donne la possibilité d</w:t>
            </w:r>
            <w:r w:rsidR="00B34E4F">
              <w:rPr>
                <w:sz w:val="18"/>
                <w:szCs w:val="18"/>
                <w:lang w:val="fr-FR"/>
              </w:rPr>
              <w:t>’</w:t>
            </w:r>
            <w:r w:rsidRPr="009E6948">
              <w:rPr>
                <w:sz w:val="18"/>
                <w:szCs w:val="18"/>
                <w:lang w:val="fr-FR"/>
              </w:rPr>
              <w:t>impliquer ou non les institutions d</w:t>
            </w:r>
            <w:r w:rsidR="00B34E4F">
              <w:rPr>
                <w:sz w:val="18"/>
                <w:szCs w:val="18"/>
                <w:lang w:val="fr-FR"/>
              </w:rPr>
              <w:t>’</w:t>
            </w:r>
            <w:r w:rsidRPr="009E6948">
              <w:rPr>
                <w:sz w:val="18"/>
                <w:szCs w:val="18"/>
                <w:lang w:val="fr-FR"/>
              </w:rPr>
              <w:t>origine.</w:t>
            </w:r>
          </w:p>
          <w:p w14:paraId="3CA96915" w14:textId="77777777" w:rsidR="009E6948" w:rsidRPr="009E6948" w:rsidRDefault="009E6948" w:rsidP="009E6948">
            <w:pPr>
              <w:jc w:val="left"/>
              <w:rPr>
                <w:rFonts w:eastAsia="Times New Roman" w:cstheme="majorHAnsi"/>
                <w:sz w:val="18"/>
                <w:szCs w:val="18"/>
                <w:lang w:val="fr-FR"/>
              </w:rPr>
            </w:pPr>
          </w:p>
          <w:p w14:paraId="4A312C43" w14:textId="77777777" w:rsidR="009E6948" w:rsidRPr="009E6948" w:rsidRDefault="009E6948" w:rsidP="009E6948">
            <w:pPr>
              <w:jc w:val="left"/>
              <w:rPr>
                <w:rFonts w:eastAsia="Times New Roman" w:cstheme="majorBidi"/>
                <w:sz w:val="18"/>
                <w:szCs w:val="18"/>
                <w:lang w:val="fr-FR"/>
              </w:rPr>
            </w:pPr>
            <w:r w:rsidRPr="009E6948">
              <w:rPr>
                <w:sz w:val="18"/>
                <w:szCs w:val="18"/>
                <w:lang w:val="fr-FR"/>
              </w:rPr>
              <w:t xml:space="preserve">Représentation: Les membres participants seront invités aux réunions annuelles du Groupe consultatif et auront la possibilité de soumettre leur candidature ou de démontrer leur intérêt aux organes de gouvernance afin de représenter les membres contributeurs, ainsi que de se </w:t>
            </w:r>
            <w:r w:rsidRPr="009E6948">
              <w:rPr>
                <w:sz w:val="18"/>
                <w:szCs w:val="18"/>
                <w:lang w:val="fr-FR"/>
              </w:rPr>
              <w:lastRenderedPageBreak/>
              <w:t xml:space="preserve">joindre et de participer aux activités et autres groupes de travail techniques. </w:t>
            </w:r>
          </w:p>
          <w:p w14:paraId="5B7BD3D0" w14:textId="77777777" w:rsidR="009E6948" w:rsidRPr="009E6948" w:rsidRDefault="009E6948" w:rsidP="009E6948">
            <w:pPr>
              <w:jc w:val="left"/>
              <w:rPr>
                <w:rFonts w:eastAsia="Times New Roman" w:cstheme="majorHAnsi"/>
                <w:sz w:val="18"/>
                <w:szCs w:val="18"/>
                <w:lang w:val="fr-FR"/>
              </w:rPr>
            </w:pPr>
          </w:p>
          <w:p w14:paraId="39810A16" w14:textId="5FDF9505" w:rsidR="009E6948" w:rsidRPr="009E6948" w:rsidRDefault="009E6948" w:rsidP="009E6948">
            <w:pPr>
              <w:spacing w:before="120" w:after="120"/>
              <w:jc w:val="left"/>
              <w:rPr>
                <w:rFonts w:eastAsia="Times New Roman" w:cstheme="majorBidi"/>
                <w:sz w:val="18"/>
                <w:szCs w:val="18"/>
                <w:lang w:val="fr-FR"/>
              </w:rPr>
            </w:pPr>
          </w:p>
        </w:tc>
        <w:tc>
          <w:tcPr>
            <w:tcW w:w="780" w:type="pct"/>
          </w:tcPr>
          <w:p w14:paraId="33894708" w14:textId="77777777" w:rsidR="009E6948" w:rsidRPr="009E6948" w:rsidRDefault="009E6948" w:rsidP="009E6948">
            <w:pPr>
              <w:jc w:val="left"/>
              <w:rPr>
                <w:rFonts w:eastAsia="Times New Roman" w:cstheme="majorBidi"/>
                <w:sz w:val="18"/>
                <w:szCs w:val="18"/>
                <w:lang w:val="fr-FR"/>
              </w:rPr>
            </w:pPr>
            <w:r w:rsidRPr="009E6948">
              <w:rPr>
                <w:sz w:val="18"/>
                <w:szCs w:val="18"/>
                <w:lang w:val="fr-FR"/>
              </w:rPr>
              <w:lastRenderedPageBreak/>
              <w:t>Certains membres du Comité de gestion</w:t>
            </w:r>
          </w:p>
          <w:p w14:paraId="3476DB0B" w14:textId="77777777" w:rsidR="009E6948" w:rsidRPr="009E6948" w:rsidRDefault="009E6948" w:rsidP="009E6948">
            <w:pPr>
              <w:jc w:val="left"/>
              <w:rPr>
                <w:rFonts w:eastAsia="Times New Roman" w:cstheme="majorBidi"/>
                <w:sz w:val="18"/>
                <w:szCs w:val="18"/>
                <w:lang w:val="fr-FR"/>
              </w:rPr>
            </w:pPr>
            <w:r w:rsidRPr="009E6948">
              <w:rPr>
                <w:rFonts w:eastAsia="Times New Roman" w:cstheme="majorBidi"/>
                <w:sz w:val="18"/>
                <w:szCs w:val="18"/>
                <w:lang w:val="fr-FR"/>
              </w:rPr>
              <w:t xml:space="preserve"> </w:t>
            </w:r>
          </w:p>
          <w:p w14:paraId="4EBE065E" w14:textId="42FF6D38" w:rsidR="009E6948" w:rsidRPr="009E6948" w:rsidRDefault="009E6948" w:rsidP="009E6948">
            <w:pPr>
              <w:jc w:val="left"/>
              <w:rPr>
                <w:rFonts w:eastAsia="Times New Roman" w:cstheme="majorBidi"/>
                <w:sz w:val="18"/>
                <w:szCs w:val="18"/>
                <w:lang w:val="fr-FR"/>
              </w:rPr>
            </w:pPr>
            <w:r w:rsidRPr="009E6948">
              <w:rPr>
                <w:sz w:val="18"/>
                <w:szCs w:val="18"/>
                <w:lang w:val="fr-FR"/>
              </w:rPr>
              <w:t>Peuvent ou non apporter une affiliation institutionnelle mais participent en tant qu</w:t>
            </w:r>
            <w:r w:rsidR="00B34E4F">
              <w:rPr>
                <w:sz w:val="18"/>
                <w:szCs w:val="18"/>
                <w:lang w:val="fr-FR"/>
              </w:rPr>
              <w:t>’</w:t>
            </w:r>
            <w:r w:rsidRPr="009E6948">
              <w:rPr>
                <w:sz w:val="18"/>
                <w:szCs w:val="18"/>
                <w:lang w:val="fr-FR"/>
              </w:rPr>
              <w:t>experts</w:t>
            </w:r>
          </w:p>
          <w:p w14:paraId="3569317E" w14:textId="3879CBB9" w:rsidR="009E6948" w:rsidRPr="009E6948" w:rsidRDefault="009E6948" w:rsidP="009E6948">
            <w:pPr>
              <w:spacing w:before="120" w:after="120"/>
              <w:jc w:val="left"/>
              <w:rPr>
                <w:rFonts w:eastAsia="Times New Roman" w:cstheme="majorBidi"/>
                <w:sz w:val="18"/>
                <w:szCs w:val="18"/>
                <w:lang w:val="fr-FR"/>
              </w:rPr>
            </w:pPr>
          </w:p>
        </w:tc>
        <w:tc>
          <w:tcPr>
            <w:tcW w:w="862" w:type="pct"/>
          </w:tcPr>
          <w:p w14:paraId="0C977341" w14:textId="77777777" w:rsidR="009E6948" w:rsidRPr="009E6948" w:rsidRDefault="009E6948" w:rsidP="009E6948">
            <w:pPr>
              <w:jc w:val="left"/>
              <w:rPr>
                <w:rFonts w:eastAsia="Times New Roman" w:cstheme="majorHAnsi"/>
                <w:sz w:val="18"/>
                <w:szCs w:val="18"/>
                <w:lang w:val="fr-FR"/>
              </w:rPr>
            </w:pPr>
            <w:r w:rsidRPr="009E6948">
              <w:rPr>
                <w:sz w:val="18"/>
                <w:szCs w:val="18"/>
                <w:lang w:val="fr-FR"/>
              </w:rPr>
              <w:t>Reconnus par les dossiers de participation</w:t>
            </w:r>
          </w:p>
          <w:p w14:paraId="292D4EDE" w14:textId="77777777" w:rsidR="009E6948" w:rsidRPr="009E6948" w:rsidRDefault="009E6948" w:rsidP="009E6948">
            <w:pPr>
              <w:jc w:val="left"/>
              <w:rPr>
                <w:rFonts w:eastAsia="Times New Roman" w:cstheme="majorHAnsi"/>
                <w:sz w:val="18"/>
                <w:szCs w:val="18"/>
                <w:lang w:val="fr-FR"/>
              </w:rPr>
            </w:pPr>
          </w:p>
          <w:p w14:paraId="4A3774B6" w14:textId="450DDC25" w:rsidR="009E6948" w:rsidRPr="009E6948" w:rsidRDefault="009E6948" w:rsidP="009E6948">
            <w:pPr>
              <w:jc w:val="left"/>
              <w:rPr>
                <w:rFonts w:eastAsia="Times New Roman" w:cstheme="majorHAnsi"/>
                <w:sz w:val="18"/>
                <w:szCs w:val="18"/>
                <w:lang w:val="fr-FR"/>
              </w:rPr>
            </w:pPr>
            <w:r w:rsidRPr="009E6948">
              <w:rPr>
                <w:sz w:val="18"/>
                <w:szCs w:val="18"/>
                <w:lang w:val="fr-FR"/>
              </w:rPr>
              <w:t>Soumission de l</w:t>
            </w:r>
            <w:r w:rsidR="00B34E4F">
              <w:rPr>
                <w:sz w:val="18"/>
                <w:szCs w:val="18"/>
                <w:lang w:val="fr-FR"/>
              </w:rPr>
              <w:t>’</w:t>
            </w:r>
            <w:r w:rsidRPr="009E6948">
              <w:rPr>
                <w:sz w:val="18"/>
                <w:szCs w:val="18"/>
                <w:lang w:val="fr-FR"/>
              </w:rPr>
              <w:t>expression d</w:t>
            </w:r>
            <w:r w:rsidR="00B34E4F">
              <w:rPr>
                <w:sz w:val="18"/>
                <w:szCs w:val="18"/>
                <w:lang w:val="fr-FR"/>
              </w:rPr>
              <w:t>’</w:t>
            </w:r>
            <w:r w:rsidRPr="009E6948">
              <w:rPr>
                <w:sz w:val="18"/>
                <w:szCs w:val="18"/>
                <w:lang w:val="fr-FR"/>
              </w:rPr>
              <w:t xml:space="preserve">intérêt et de la contribution </w:t>
            </w:r>
          </w:p>
          <w:p w14:paraId="3CCCBCA8" w14:textId="4C8550B2" w:rsidR="009E6948" w:rsidRPr="009E6948" w:rsidRDefault="009E6948" w:rsidP="009E6948">
            <w:pPr>
              <w:spacing w:before="120" w:after="120"/>
              <w:jc w:val="left"/>
              <w:rPr>
                <w:rFonts w:eastAsia="Times New Roman" w:cstheme="majorBidi"/>
                <w:sz w:val="18"/>
                <w:szCs w:val="18"/>
                <w:lang w:val="fr-FR"/>
              </w:rPr>
            </w:pPr>
            <w:r w:rsidRPr="009E6948">
              <w:rPr>
                <w:sz w:val="18"/>
                <w:szCs w:val="18"/>
                <w:lang w:val="fr-FR"/>
              </w:rPr>
              <w:t>(Géré comme un formulaire/registre en ligne avec une limite de temps de 2 ans)</w:t>
            </w:r>
          </w:p>
        </w:tc>
      </w:tr>
      <w:tr w:rsidR="009E6948" w:rsidRPr="009E6948" w14:paraId="2876C3FA" w14:textId="77777777" w:rsidTr="001E276E">
        <w:trPr>
          <w:trHeight w:val="557"/>
        </w:trPr>
        <w:tc>
          <w:tcPr>
            <w:tcW w:w="853" w:type="pct"/>
            <w:vMerge/>
          </w:tcPr>
          <w:p w14:paraId="438DD0C5" w14:textId="77777777" w:rsidR="009E6948" w:rsidRPr="009E6948" w:rsidRDefault="009E6948" w:rsidP="009E6948">
            <w:pPr>
              <w:rPr>
                <w:rFonts w:eastAsia="Times New Roman" w:cstheme="majorHAnsi"/>
                <w:sz w:val="18"/>
                <w:szCs w:val="18"/>
                <w:lang w:val="fr-FR"/>
              </w:rPr>
            </w:pPr>
          </w:p>
        </w:tc>
        <w:tc>
          <w:tcPr>
            <w:tcW w:w="1092" w:type="pct"/>
            <w:vMerge/>
          </w:tcPr>
          <w:p w14:paraId="328EFD7E" w14:textId="77777777" w:rsidR="009E6948" w:rsidRPr="009E6948" w:rsidRDefault="009E6948" w:rsidP="009E6948">
            <w:pPr>
              <w:rPr>
                <w:rFonts w:eastAsia="Times New Roman" w:cstheme="majorHAnsi"/>
                <w:sz w:val="18"/>
                <w:szCs w:val="18"/>
                <w:lang w:val="fr-FR"/>
              </w:rPr>
            </w:pPr>
          </w:p>
        </w:tc>
        <w:tc>
          <w:tcPr>
            <w:tcW w:w="1413" w:type="pct"/>
            <w:vMerge/>
          </w:tcPr>
          <w:p w14:paraId="329FA224" w14:textId="77777777" w:rsidR="009E6948" w:rsidRPr="009E6948" w:rsidRDefault="009E6948" w:rsidP="009E6948">
            <w:pPr>
              <w:rPr>
                <w:rFonts w:eastAsiaTheme="minorEastAsia" w:cstheme="majorHAnsi"/>
                <w:sz w:val="18"/>
                <w:szCs w:val="18"/>
                <w:u w:val="single"/>
                <w:lang w:val="fr-FR"/>
              </w:rPr>
            </w:pPr>
          </w:p>
        </w:tc>
        <w:tc>
          <w:tcPr>
            <w:tcW w:w="780" w:type="pct"/>
          </w:tcPr>
          <w:p w14:paraId="311C10FA" w14:textId="797CAE0D" w:rsidR="009E6948" w:rsidRPr="009E6948" w:rsidRDefault="009E6948" w:rsidP="009E6948">
            <w:pPr>
              <w:jc w:val="left"/>
              <w:rPr>
                <w:rFonts w:eastAsia="Times New Roman" w:cstheme="majorBidi"/>
                <w:sz w:val="18"/>
                <w:szCs w:val="18"/>
                <w:lang w:val="fr-FR"/>
              </w:rPr>
            </w:pPr>
            <w:r w:rsidRPr="009E6948">
              <w:rPr>
                <w:sz w:val="18"/>
                <w:szCs w:val="18"/>
                <w:lang w:val="fr-FR"/>
              </w:rPr>
              <w:t>Présentateurs de forums ou de webinaires</w:t>
            </w:r>
          </w:p>
        </w:tc>
        <w:tc>
          <w:tcPr>
            <w:tcW w:w="862" w:type="pct"/>
          </w:tcPr>
          <w:p w14:paraId="1CC40EC1" w14:textId="67582FB0" w:rsidR="009E6948" w:rsidRPr="009E6948" w:rsidRDefault="009E6948" w:rsidP="009E6948">
            <w:pPr>
              <w:jc w:val="left"/>
              <w:rPr>
                <w:rFonts w:eastAsia="Times New Roman" w:cstheme="majorHAnsi"/>
                <w:sz w:val="18"/>
                <w:szCs w:val="18"/>
                <w:lang w:val="fr-FR"/>
              </w:rPr>
            </w:pPr>
            <w:r w:rsidRPr="009E6948">
              <w:rPr>
                <w:sz w:val="18"/>
                <w:szCs w:val="18"/>
                <w:lang w:val="fr-FR"/>
              </w:rPr>
              <w:t>Reconnus par les dossiers de participation</w:t>
            </w:r>
          </w:p>
        </w:tc>
      </w:tr>
      <w:tr w:rsidR="009E6948" w:rsidRPr="009E6948" w14:paraId="1144E1DA" w14:textId="77777777" w:rsidTr="001E276E">
        <w:trPr>
          <w:trHeight w:val="944"/>
        </w:trPr>
        <w:tc>
          <w:tcPr>
            <w:tcW w:w="853" w:type="pct"/>
            <w:vMerge/>
          </w:tcPr>
          <w:p w14:paraId="6F491AB2" w14:textId="77777777" w:rsidR="009E6948" w:rsidRPr="009E6948" w:rsidRDefault="009E6948" w:rsidP="009E6948">
            <w:pPr>
              <w:rPr>
                <w:rFonts w:eastAsia="Times New Roman" w:cstheme="majorHAnsi"/>
                <w:sz w:val="18"/>
                <w:szCs w:val="18"/>
                <w:lang w:val="fr-FR"/>
              </w:rPr>
            </w:pPr>
          </w:p>
        </w:tc>
        <w:tc>
          <w:tcPr>
            <w:tcW w:w="1092" w:type="pct"/>
          </w:tcPr>
          <w:p w14:paraId="62920670" w14:textId="35B624A5" w:rsidR="009E6948" w:rsidRPr="009E6948" w:rsidRDefault="009E6948" w:rsidP="009E6948">
            <w:pPr>
              <w:spacing w:before="120" w:after="120"/>
              <w:jc w:val="left"/>
              <w:rPr>
                <w:rFonts w:eastAsia="Times New Roman" w:cstheme="majorBidi"/>
                <w:i/>
                <w:iCs/>
                <w:sz w:val="18"/>
                <w:szCs w:val="18"/>
                <w:lang w:val="fr-FR"/>
              </w:rPr>
            </w:pPr>
            <w:r w:rsidRPr="009E6948">
              <w:rPr>
                <w:sz w:val="18"/>
                <w:szCs w:val="18"/>
                <w:lang w:val="fr-FR"/>
              </w:rPr>
              <w:t>Certains peuvent être des membres moins actifs qui observent les événements du Réseau, s</w:t>
            </w:r>
            <w:r w:rsidR="00B34E4F">
              <w:rPr>
                <w:sz w:val="18"/>
                <w:szCs w:val="18"/>
                <w:lang w:val="fr-FR"/>
              </w:rPr>
              <w:t>’</w:t>
            </w:r>
            <w:r w:rsidRPr="009E6948">
              <w:rPr>
                <w:sz w:val="18"/>
                <w:szCs w:val="18"/>
                <w:lang w:val="fr-FR"/>
              </w:rPr>
              <w:t>abonnent au condensé d</w:t>
            </w:r>
            <w:r w:rsidR="00B34E4F">
              <w:rPr>
                <w:sz w:val="18"/>
                <w:szCs w:val="18"/>
                <w:lang w:val="fr-FR"/>
              </w:rPr>
              <w:t>’</w:t>
            </w:r>
            <w:r w:rsidRPr="009E6948">
              <w:rPr>
                <w:sz w:val="18"/>
                <w:szCs w:val="18"/>
                <w:lang w:val="fr-FR"/>
              </w:rPr>
              <w:t xml:space="preserve">informations et aux réseaux sociaux </w:t>
            </w:r>
          </w:p>
        </w:tc>
        <w:tc>
          <w:tcPr>
            <w:tcW w:w="1413" w:type="pct"/>
          </w:tcPr>
          <w:p w14:paraId="170DE68F" w14:textId="09007A73" w:rsidR="009E6948" w:rsidRPr="009E6948" w:rsidRDefault="009E6948" w:rsidP="009E6948">
            <w:pPr>
              <w:spacing w:before="120" w:after="120"/>
              <w:jc w:val="left"/>
              <w:rPr>
                <w:rFonts w:eastAsia="Times New Roman" w:cstheme="majorHAnsi"/>
                <w:sz w:val="18"/>
                <w:szCs w:val="18"/>
                <w:lang w:val="fr-FR"/>
              </w:rPr>
            </w:pPr>
            <w:r w:rsidRPr="009E6948">
              <w:rPr>
                <w:sz w:val="18"/>
                <w:szCs w:val="18"/>
                <w:lang w:val="fr-FR"/>
              </w:rPr>
              <w:t>«Membres» silencieux qui ont accès à toutes les informations et aux possibilités de participation et d</w:t>
            </w:r>
            <w:r w:rsidR="00B34E4F">
              <w:rPr>
                <w:sz w:val="18"/>
                <w:szCs w:val="18"/>
                <w:lang w:val="fr-FR"/>
              </w:rPr>
              <w:t>’</w:t>
            </w:r>
            <w:r w:rsidRPr="009E6948">
              <w:rPr>
                <w:sz w:val="18"/>
                <w:szCs w:val="18"/>
                <w:lang w:val="fr-FR"/>
              </w:rPr>
              <w:t>apprentissage</w:t>
            </w:r>
          </w:p>
        </w:tc>
        <w:tc>
          <w:tcPr>
            <w:tcW w:w="780" w:type="pct"/>
          </w:tcPr>
          <w:p w14:paraId="0B52B6B2" w14:textId="79E5A529" w:rsidR="009E6948" w:rsidRPr="009E6948" w:rsidRDefault="009E6948" w:rsidP="009E6948">
            <w:pPr>
              <w:spacing w:before="120" w:after="120"/>
              <w:jc w:val="left"/>
              <w:rPr>
                <w:rFonts w:eastAsia="Times New Roman" w:cstheme="majorHAnsi"/>
                <w:sz w:val="18"/>
                <w:szCs w:val="18"/>
                <w:lang w:val="fr-FR"/>
              </w:rPr>
            </w:pPr>
            <w:r w:rsidRPr="009E6948">
              <w:rPr>
                <w:sz w:val="18"/>
                <w:szCs w:val="18"/>
                <w:lang w:val="fr-FR"/>
              </w:rPr>
              <w:t xml:space="preserve">Abonnés aux listes de diffusion </w:t>
            </w:r>
          </w:p>
        </w:tc>
        <w:tc>
          <w:tcPr>
            <w:tcW w:w="862" w:type="pct"/>
          </w:tcPr>
          <w:p w14:paraId="7F378DB9" w14:textId="56D6D850" w:rsidR="009E6948" w:rsidRPr="009E6948" w:rsidRDefault="009E6948" w:rsidP="009E6948">
            <w:pPr>
              <w:spacing w:before="120" w:after="120"/>
              <w:jc w:val="left"/>
              <w:rPr>
                <w:rFonts w:eastAsia="Times New Roman" w:cstheme="majorHAnsi"/>
                <w:sz w:val="18"/>
                <w:szCs w:val="18"/>
                <w:lang w:val="fr-FR"/>
              </w:rPr>
            </w:pPr>
            <w:r w:rsidRPr="009E6948">
              <w:rPr>
                <w:sz w:val="18"/>
                <w:szCs w:val="18"/>
                <w:lang w:val="fr-FR"/>
              </w:rPr>
              <w:t>Reconnus sur une base d</w:t>
            </w:r>
            <w:r w:rsidR="00B34E4F">
              <w:rPr>
                <w:sz w:val="18"/>
                <w:szCs w:val="18"/>
                <w:lang w:val="fr-FR"/>
              </w:rPr>
              <w:t>’</w:t>
            </w:r>
            <w:r w:rsidRPr="009E6948">
              <w:rPr>
                <w:sz w:val="18"/>
                <w:szCs w:val="18"/>
                <w:lang w:val="fr-FR"/>
              </w:rPr>
              <w:t xml:space="preserve">abonnement </w:t>
            </w:r>
          </w:p>
        </w:tc>
      </w:tr>
    </w:tbl>
    <w:p w14:paraId="2C357F0D" w14:textId="77777777" w:rsidR="005711FE" w:rsidRDefault="005711FE" w:rsidP="00FE3E54">
      <w:pPr>
        <w:pStyle w:val="WMOBodyText"/>
        <w:rPr>
          <w:lang w:val="fr-FR"/>
        </w:rPr>
        <w:sectPr w:rsidR="005711FE" w:rsidSect="00B32843">
          <w:headerReference w:type="first" r:id="rId19"/>
          <w:pgSz w:w="16840" w:h="11907" w:orient="landscape" w:code="9"/>
          <w:pgMar w:top="1134" w:right="1134" w:bottom="1134" w:left="1134" w:header="1134" w:footer="1134" w:gutter="0"/>
          <w:cols w:space="720"/>
          <w:titlePg/>
          <w:docGrid w:linePitch="299"/>
        </w:sectPr>
      </w:pPr>
    </w:p>
    <w:p w14:paraId="7FDF8543" w14:textId="7898B47B" w:rsidR="0016755A" w:rsidRPr="009F1F06" w:rsidRDefault="0016755A" w:rsidP="00374D85">
      <w:pPr>
        <w:pStyle w:val="Heading1"/>
        <w:spacing w:before="0" w:after="360"/>
        <w:rPr>
          <w:rFonts w:eastAsia="Times New Roman"/>
          <w:sz w:val="20"/>
          <w:szCs w:val="20"/>
          <w:lang w:val="fr-FR"/>
        </w:rPr>
      </w:pPr>
      <w:r w:rsidRPr="009F1F06">
        <w:rPr>
          <w:sz w:val="20"/>
          <w:szCs w:val="20"/>
          <w:lang w:val="fr-FR"/>
        </w:rPr>
        <w:lastRenderedPageBreak/>
        <w:t>Annexe 2: Cadre de gestion int</w:t>
      </w:r>
      <w:r w:rsidR="009F1F06" w:rsidRPr="009F1F06">
        <w:rPr>
          <w:sz w:val="20"/>
          <w:szCs w:val="20"/>
          <w:lang w:val="fr-FR"/>
        </w:rPr>
        <w:t>É</w:t>
      </w:r>
      <w:r w:rsidRPr="009F1F06">
        <w:rPr>
          <w:sz w:val="20"/>
          <w:szCs w:val="20"/>
          <w:lang w:val="fr-FR"/>
        </w:rPr>
        <w:t>gr</w:t>
      </w:r>
      <w:r w:rsidR="009F1F06" w:rsidRPr="009F1F06">
        <w:rPr>
          <w:sz w:val="20"/>
          <w:szCs w:val="20"/>
          <w:lang w:val="fr-FR"/>
        </w:rPr>
        <w:t>É</w:t>
      </w:r>
      <w:r w:rsidRPr="009F1F06">
        <w:rPr>
          <w:sz w:val="20"/>
          <w:szCs w:val="20"/>
          <w:lang w:val="fr-FR"/>
        </w:rPr>
        <w:t>e des effets sanitaires</w:t>
      </w:r>
      <w:r w:rsidR="00B908CE">
        <w:rPr>
          <w:sz w:val="20"/>
          <w:szCs w:val="20"/>
          <w:lang w:val="fr-FR"/>
        </w:rPr>
        <w:br/>
      </w:r>
      <w:r w:rsidRPr="009F1F06">
        <w:rPr>
          <w:sz w:val="20"/>
          <w:szCs w:val="20"/>
          <w:lang w:val="fr-FR"/>
        </w:rPr>
        <w:t xml:space="preserve">de la chaleur </w:t>
      </w:r>
    </w:p>
    <w:p w14:paraId="0353C4C4" w14:textId="6F461C15" w:rsidR="0016755A" w:rsidRPr="009F1F06" w:rsidRDefault="0016755A" w:rsidP="007D01EF">
      <w:pPr>
        <w:pStyle w:val="NoSpacing"/>
        <w:spacing w:before="360" w:after="240"/>
        <w:rPr>
          <w:rFonts w:ascii="Verdana" w:hAnsi="Verdana"/>
          <w:sz w:val="20"/>
          <w:szCs w:val="20"/>
          <w:lang w:val="fr-FR"/>
        </w:rPr>
      </w:pPr>
      <w:r w:rsidRPr="009F1F06">
        <w:rPr>
          <w:rFonts w:ascii="Verdana" w:hAnsi="Verdana"/>
          <w:sz w:val="20"/>
          <w:szCs w:val="20"/>
          <w:lang w:val="fr-FR"/>
        </w:rPr>
        <w:t xml:space="preserve">En 2018, le Réseau a adopté une approche de systèmes intégrés pour faciliter la </w:t>
      </w:r>
      <w:proofErr w:type="spellStart"/>
      <w:r w:rsidRPr="009F1F06">
        <w:rPr>
          <w:rFonts w:ascii="Verdana" w:hAnsi="Verdana"/>
          <w:sz w:val="20"/>
          <w:szCs w:val="20"/>
          <w:lang w:val="fr-FR"/>
        </w:rPr>
        <w:t>co-conception</w:t>
      </w:r>
      <w:proofErr w:type="spellEnd"/>
      <w:r w:rsidRPr="009F1F06">
        <w:rPr>
          <w:rFonts w:ascii="Verdana" w:hAnsi="Verdana"/>
          <w:sz w:val="20"/>
          <w:szCs w:val="20"/>
          <w:lang w:val="fr-FR"/>
        </w:rPr>
        <w:t xml:space="preserve"> et la coproduction d</w:t>
      </w:r>
      <w:r w:rsidR="00B34E4F">
        <w:rPr>
          <w:rFonts w:ascii="Verdana" w:hAnsi="Verdana"/>
          <w:sz w:val="20"/>
          <w:szCs w:val="20"/>
          <w:lang w:val="fr-FR"/>
        </w:rPr>
        <w:t>’</w:t>
      </w:r>
      <w:r w:rsidRPr="009F1F06">
        <w:rPr>
          <w:rFonts w:ascii="Verdana" w:hAnsi="Verdana"/>
          <w:sz w:val="20"/>
          <w:szCs w:val="20"/>
          <w:lang w:val="fr-FR"/>
        </w:rPr>
        <w:t>informations et d</w:t>
      </w:r>
      <w:r w:rsidR="00B34E4F">
        <w:rPr>
          <w:rFonts w:ascii="Verdana" w:hAnsi="Verdana"/>
          <w:sz w:val="20"/>
          <w:szCs w:val="20"/>
          <w:lang w:val="fr-FR"/>
        </w:rPr>
        <w:t>’</w:t>
      </w:r>
      <w:r w:rsidRPr="009F1F06">
        <w:rPr>
          <w:rFonts w:ascii="Verdana" w:hAnsi="Verdana"/>
          <w:sz w:val="20"/>
          <w:szCs w:val="20"/>
          <w:lang w:val="fr-FR"/>
        </w:rPr>
        <w:t xml:space="preserve">outils à travers des applications dans des disciplines variées. </w:t>
      </w:r>
    </w:p>
    <w:p w14:paraId="68ED6EE0" w14:textId="57AB07DF" w:rsidR="0016755A" w:rsidRPr="009F1F06" w:rsidRDefault="0016755A" w:rsidP="005711FE">
      <w:pPr>
        <w:pStyle w:val="NoSpacing"/>
        <w:spacing w:before="240" w:after="240"/>
        <w:rPr>
          <w:rFonts w:ascii="Verdana" w:hAnsi="Verdana"/>
          <w:sz w:val="20"/>
          <w:szCs w:val="20"/>
          <w:lang w:val="fr-FR"/>
        </w:rPr>
      </w:pPr>
      <w:r w:rsidRPr="009F1F06">
        <w:rPr>
          <w:rFonts w:ascii="Verdana" w:hAnsi="Verdana"/>
          <w:sz w:val="20"/>
          <w:szCs w:val="20"/>
          <w:lang w:val="fr-FR"/>
        </w:rPr>
        <w:t>L</w:t>
      </w:r>
      <w:r w:rsidR="00B34E4F">
        <w:rPr>
          <w:rFonts w:ascii="Verdana" w:hAnsi="Verdana"/>
          <w:sz w:val="20"/>
          <w:szCs w:val="20"/>
          <w:lang w:val="fr-FR"/>
        </w:rPr>
        <w:t>’</w:t>
      </w:r>
      <w:r w:rsidRPr="009F1F06">
        <w:rPr>
          <w:rFonts w:ascii="Verdana" w:hAnsi="Verdana"/>
          <w:sz w:val="20"/>
          <w:szCs w:val="20"/>
          <w:lang w:val="fr-FR"/>
        </w:rPr>
        <w:t>approche de la gestion intégrée de la chaleur se compose de cinq chantiers interdépendants:</w:t>
      </w:r>
    </w:p>
    <w:p w14:paraId="77C36B1A" w14:textId="77777777" w:rsidR="0016755A" w:rsidRPr="009F1F06" w:rsidRDefault="0016755A" w:rsidP="00831D66">
      <w:pPr>
        <w:pStyle w:val="ListParagraph"/>
        <w:numPr>
          <w:ilvl w:val="0"/>
          <w:numId w:val="25"/>
        </w:numPr>
        <w:spacing w:before="120" w:after="120" w:line="240" w:lineRule="auto"/>
        <w:ind w:left="1134" w:right="-170" w:hanging="567"/>
        <w:contextualSpacing w:val="0"/>
        <w:rPr>
          <w:rFonts w:ascii="Verdana" w:hAnsi="Verdana"/>
          <w:sz w:val="20"/>
          <w:szCs w:val="20"/>
          <w:lang w:val="fr-FR"/>
        </w:rPr>
      </w:pPr>
      <w:r w:rsidRPr="009F1F06">
        <w:rPr>
          <w:rFonts w:ascii="Verdana" w:hAnsi="Verdana"/>
          <w:sz w:val="20"/>
          <w:szCs w:val="20"/>
          <w:lang w:val="fr-FR"/>
        </w:rPr>
        <w:t xml:space="preserve">Partenariats et renforcement des capacités; </w:t>
      </w:r>
    </w:p>
    <w:p w14:paraId="1EF0BB95" w14:textId="77777777" w:rsidR="0016755A" w:rsidRPr="009F1F06" w:rsidRDefault="0016755A" w:rsidP="00831D66">
      <w:pPr>
        <w:pStyle w:val="ListParagraph"/>
        <w:numPr>
          <w:ilvl w:val="0"/>
          <w:numId w:val="25"/>
        </w:numPr>
        <w:spacing w:before="120" w:after="120" w:line="240" w:lineRule="auto"/>
        <w:ind w:left="1134" w:right="-170" w:hanging="567"/>
        <w:contextualSpacing w:val="0"/>
        <w:rPr>
          <w:rFonts w:ascii="Verdana" w:hAnsi="Verdana"/>
          <w:sz w:val="20"/>
          <w:szCs w:val="20"/>
          <w:lang w:val="fr-FR"/>
        </w:rPr>
      </w:pPr>
      <w:r w:rsidRPr="009F1F06">
        <w:rPr>
          <w:rFonts w:ascii="Verdana" w:hAnsi="Verdana"/>
          <w:sz w:val="20"/>
          <w:szCs w:val="20"/>
          <w:lang w:val="fr-FR"/>
        </w:rPr>
        <w:t xml:space="preserve">Données, activité scientifique et recherche pour comprendre les risques sanitaires liés à la chaleur; </w:t>
      </w:r>
    </w:p>
    <w:p w14:paraId="145915C7" w14:textId="77777777" w:rsidR="0016755A" w:rsidRPr="009F1F06" w:rsidRDefault="0016755A" w:rsidP="00831D66">
      <w:pPr>
        <w:pStyle w:val="ListParagraph"/>
        <w:numPr>
          <w:ilvl w:val="0"/>
          <w:numId w:val="25"/>
        </w:numPr>
        <w:spacing w:before="120" w:after="120" w:line="240" w:lineRule="auto"/>
        <w:ind w:left="1134" w:right="-170" w:hanging="567"/>
        <w:contextualSpacing w:val="0"/>
        <w:rPr>
          <w:rFonts w:ascii="Verdana" w:hAnsi="Verdana"/>
          <w:sz w:val="20"/>
          <w:szCs w:val="20"/>
          <w:lang w:val="fr-FR"/>
        </w:rPr>
      </w:pPr>
      <w:r w:rsidRPr="009F1F06">
        <w:rPr>
          <w:rFonts w:ascii="Verdana" w:hAnsi="Verdana"/>
          <w:sz w:val="20"/>
          <w:szCs w:val="20"/>
          <w:lang w:val="fr-FR"/>
        </w:rPr>
        <w:t xml:space="preserve">Informations sur le temps et le climat pour la prise de décisions et de mesures; </w:t>
      </w:r>
    </w:p>
    <w:p w14:paraId="38A5342F" w14:textId="71832E49" w:rsidR="0016755A" w:rsidRPr="009F1F06" w:rsidRDefault="0016755A" w:rsidP="00831D66">
      <w:pPr>
        <w:pStyle w:val="ListParagraph"/>
        <w:numPr>
          <w:ilvl w:val="0"/>
          <w:numId w:val="25"/>
        </w:numPr>
        <w:spacing w:before="120" w:after="120" w:line="240" w:lineRule="auto"/>
        <w:ind w:left="1134" w:right="-170" w:hanging="567"/>
        <w:contextualSpacing w:val="0"/>
        <w:rPr>
          <w:rFonts w:ascii="Verdana" w:hAnsi="Verdana"/>
          <w:sz w:val="20"/>
          <w:szCs w:val="20"/>
          <w:lang w:val="fr-FR"/>
        </w:rPr>
      </w:pPr>
      <w:r w:rsidRPr="009F1F06">
        <w:rPr>
          <w:rFonts w:ascii="Verdana" w:hAnsi="Verdana"/>
          <w:sz w:val="20"/>
          <w:szCs w:val="20"/>
          <w:lang w:val="fr-FR"/>
        </w:rPr>
        <w:t>Mesures d</w:t>
      </w:r>
      <w:r w:rsidR="00B34E4F">
        <w:rPr>
          <w:rFonts w:ascii="Verdana" w:hAnsi="Verdana"/>
          <w:sz w:val="20"/>
          <w:szCs w:val="20"/>
          <w:lang w:val="fr-FR"/>
        </w:rPr>
        <w:t>’</w:t>
      </w:r>
      <w:r w:rsidRPr="009F1F06">
        <w:rPr>
          <w:rFonts w:ascii="Verdana" w:hAnsi="Verdana"/>
          <w:sz w:val="20"/>
          <w:szCs w:val="20"/>
          <w:lang w:val="fr-FR"/>
        </w:rPr>
        <w:t>intervention efficaces pour prévenir l</w:t>
      </w:r>
      <w:r w:rsidR="00B34E4F">
        <w:rPr>
          <w:rFonts w:ascii="Verdana" w:hAnsi="Verdana"/>
          <w:sz w:val="20"/>
          <w:szCs w:val="20"/>
          <w:lang w:val="fr-FR"/>
        </w:rPr>
        <w:t>’</w:t>
      </w:r>
      <w:r w:rsidRPr="009F1F06">
        <w:rPr>
          <w:rFonts w:ascii="Verdana" w:hAnsi="Verdana"/>
          <w:sz w:val="20"/>
          <w:szCs w:val="20"/>
          <w:lang w:val="fr-FR"/>
        </w:rPr>
        <w:t xml:space="preserve">exposition à la chaleur et ses effets nocifs pour la santé; </w:t>
      </w:r>
    </w:p>
    <w:p w14:paraId="34CFAE17" w14:textId="436217F5" w:rsidR="0016755A" w:rsidRPr="009F1F06" w:rsidRDefault="00B908CE" w:rsidP="00831D66">
      <w:pPr>
        <w:pStyle w:val="ListParagraph"/>
        <w:numPr>
          <w:ilvl w:val="0"/>
          <w:numId w:val="25"/>
        </w:numPr>
        <w:spacing w:before="120" w:after="120" w:line="240" w:lineRule="auto"/>
        <w:ind w:left="1134" w:right="-170" w:hanging="567"/>
        <w:contextualSpacing w:val="0"/>
        <w:rPr>
          <w:rFonts w:ascii="Verdana" w:hAnsi="Verdana"/>
          <w:sz w:val="20"/>
          <w:szCs w:val="20"/>
          <w:lang w:val="fr-FR"/>
        </w:rPr>
      </w:pPr>
      <w:r w:rsidRPr="001006A3">
        <w:rPr>
          <w:caps/>
          <w:noProof/>
          <w:color w:val="4F81BD" w:themeColor="accent1"/>
        </w:rPr>
        <w:drawing>
          <wp:anchor distT="0" distB="0" distL="114300" distR="114300" simplePos="0" relativeHeight="251661312" behindDoc="0" locked="0" layoutInCell="1" allowOverlap="1" wp14:anchorId="5BF3A70E" wp14:editId="12669A33">
            <wp:simplePos x="0" y="0"/>
            <wp:positionH relativeFrom="column">
              <wp:posOffset>-2540</wp:posOffset>
            </wp:positionH>
            <wp:positionV relativeFrom="paragraph">
              <wp:posOffset>383540</wp:posOffset>
            </wp:positionV>
            <wp:extent cx="6122035" cy="2413000"/>
            <wp:effectExtent l="0" t="0" r="0" b="6350"/>
            <wp:wrapSquare wrapText="bothSides"/>
            <wp:docPr id="37" name="Picture 36">
              <a:extLst xmlns:a="http://schemas.openxmlformats.org/drawingml/2006/main">
                <a:ext uri="{FF2B5EF4-FFF2-40B4-BE49-F238E27FC236}">
                  <a16:creationId xmlns:a16="http://schemas.microsoft.com/office/drawing/2014/main" id="{87E806CC-25DE-496C-9B7A-BC2AFF128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87E806CC-25DE-496C-9B7A-BC2AFF1289E0}"/>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5333" t="18519" r="6917" b="20000"/>
                    <a:stretch/>
                  </pic:blipFill>
                  <pic:spPr>
                    <a:xfrm>
                      <a:off x="0" y="0"/>
                      <a:ext cx="6122035" cy="2413000"/>
                    </a:xfrm>
                    <a:prstGeom prst="rect">
                      <a:avLst/>
                    </a:prstGeom>
                  </pic:spPr>
                </pic:pic>
              </a:graphicData>
            </a:graphic>
            <wp14:sizeRelH relativeFrom="margin">
              <wp14:pctWidth>0</wp14:pctWidth>
            </wp14:sizeRelH>
            <wp14:sizeRelV relativeFrom="margin">
              <wp14:pctHeight>0</wp14:pctHeight>
            </wp14:sizeRelV>
          </wp:anchor>
        </w:drawing>
      </w:r>
      <w:r w:rsidR="0016755A" w:rsidRPr="009F1F06">
        <w:rPr>
          <w:rFonts w:ascii="Verdana" w:hAnsi="Verdana"/>
          <w:sz w:val="20"/>
          <w:szCs w:val="20"/>
          <w:lang w:val="fr-FR"/>
        </w:rPr>
        <w:t>Planifier la communication et la sensibilisation.</w:t>
      </w:r>
    </w:p>
    <w:p w14:paraId="1E5678FB" w14:textId="6FA7042A" w:rsidR="0016755A" w:rsidRPr="00DD28CE" w:rsidRDefault="0016755A" w:rsidP="00DD20B2">
      <w:pPr>
        <w:rPr>
          <w:rFonts w:eastAsia="Times New Roman" w:cstheme="majorBidi"/>
          <w:b/>
          <w:bCs/>
          <w:u w:val="single"/>
          <w:lang w:val="fr-FR"/>
        </w:rPr>
      </w:pPr>
    </w:p>
    <w:p w14:paraId="15204DCA" w14:textId="77777777" w:rsidR="008B63C4" w:rsidRPr="00DD28CE" w:rsidRDefault="008B63C4" w:rsidP="00DD20B2">
      <w:pPr>
        <w:pStyle w:val="WMOBodyText"/>
        <w:rPr>
          <w:lang w:val="fr-FR"/>
        </w:rPr>
      </w:pPr>
      <w:r w:rsidRPr="00DD28CE">
        <w:rPr>
          <w:lang w:val="fr-FR"/>
        </w:rPr>
        <w:br w:type="page"/>
      </w:r>
    </w:p>
    <w:p w14:paraId="1354FCE0" w14:textId="77777777" w:rsidR="0016755A" w:rsidRPr="009F1F06" w:rsidRDefault="008B63C4" w:rsidP="00374D85">
      <w:pPr>
        <w:pStyle w:val="Heading1"/>
        <w:spacing w:before="0" w:after="360"/>
        <w:rPr>
          <w:sz w:val="16"/>
          <w:szCs w:val="16"/>
          <w:lang w:val="fr-FR"/>
        </w:rPr>
      </w:pPr>
      <w:r w:rsidRPr="009F1F06">
        <w:rPr>
          <w:sz w:val="20"/>
          <w:szCs w:val="20"/>
          <w:lang w:val="fr-FR"/>
        </w:rPr>
        <w:lastRenderedPageBreak/>
        <w:t>ANNEXE 3: PRINCIPES DE PARTENARIAT ET DE BONNES PRATIQUES</w:t>
      </w:r>
    </w:p>
    <w:p w14:paraId="4BA8AC89" w14:textId="5BA59403" w:rsidR="0016755A" w:rsidRPr="00B908CE" w:rsidRDefault="0016755A" w:rsidP="00D17EAA">
      <w:pPr>
        <w:pStyle w:val="NoSpacing"/>
        <w:spacing w:before="360" w:after="240"/>
        <w:rPr>
          <w:rFonts w:ascii="Verdana" w:hAnsi="Verdana"/>
          <w:sz w:val="20"/>
          <w:szCs w:val="20"/>
          <w:lang w:val="fr-FR"/>
        </w:rPr>
      </w:pPr>
      <w:r w:rsidRPr="00B908CE">
        <w:rPr>
          <w:rFonts w:ascii="Verdana" w:hAnsi="Verdana"/>
          <w:sz w:val="20"/>
          <w:szCs w:val="20"/>
          <w:lang w:val="fr-FR"/>
        </w:rPr>
        <w:t>Dans le cadre de l</w:t>
      </w:r>
      <w:r w:rsidR="00B34E4F">
        <w:rPr>
          <w:rFonts w:ascii="Verdana" w:hAnsi="Verdana"/>
          <w:sz w:val="20"/>
          <w:szCs w:val="20"/>
          <w:lang w:val="fr-FR"/>
        </w:rPr>
        <w:t>’</w:t>
      </w:r>
      <w:r w:rsidRPr="00B908CE">
        <w:rPr>
          <w:rFonts w:ascii="Verdana" w:hAnsi="Verdana"/>
          <w:sz w:val="20"/>
          <w:szCs w:val="20"/>
          <w:lang w:val="fr-FR"/>
        </w:rPr>
        <w:t xml:space="preserve">engagement du </w:t>
      </w:r>
      <w:proofErr w:type="spellStart"/>
      <w:r w:rsidRPr="00B908CE">
        <w:rPr>
          <w:rFonts w:ascii="Verdana" w:hAnsi="Verdana"/>
          <w:sz w:val="20"/>
          <w:szCs w:val="20"/>
          <w:lang w:val="fr-FR"/>
        </w:rPr>
        <w:t>GHHIN</w:t>
      </w:r>
      <w:proofErr w:type="spellEnd"/>
      <w:r w:rsidRPr="00B908CE">
        <w:rPr>
          <w:rFonts w:ascii="Verdana" w:hAnsi="Verdana"/>
          <w:sz w:val="20"/>
          <w:szCs w:val="20"/>
          <w:lang w:val="fr-FR"/>
        </w:rPr>
        <w:t xml:space="preserve"> en faveur d</w:t>
      </w:r>
      <w:r w:rsidR="00B34E4F">
        <w:rPr>
          <w:rFonts w:ascii="Verdana" w:hAnsi="Verdana"/>
          <w:sz w:val="20"/>
          <w:szCs w:val="20"/>
          <w:lang w:val="fr-FR"/>
        </w:rPr>
        <w:t>’</w:t>
      </w:r>
      <w:r w:rsidRPr="00B908CE">
        <w:rPr>
          <w:rFonts w:ascii="Verdana" w:hAnsi="Verdana"/>
          <w:sz w:val="20"/>
          <w:szCs w:val="20"/>
          <w:lang w:val="fr-FR"/>
        </w:rPr>
        <w:t>une science et de services de qualité, les principes de partenariat et de bonnes pratiques servent non seulement à guider le travail du Réseau, mais aussi à motiver les membres à améliorer la qualité et l</w:t>
      </w:r>
      <w:r w:rsidR="00B34E4F">
        <w:rPr>
          <w:rFonts w:ascii="Verdana" w:hAnsi="Verdana"/>
          <w:sz w:val="20"/>
          <w:szCs w:val="20"/>
          <w:lang w:val="fr-FR"/>
        </w:rPr>
        <w:t>’</w:t>
      </w:r>
      <w:r w:rsidRPr="00B908CE">
        <w:rPr>
          <w:rFonts w:ascii="Verdana" w:hAnsi="Verdana"/>
          <w:sz w:val="20"/>
          <w:szCs w:val="20"/>
          <w:lang w:val="fr-FR"/>
        </w:rPr>
        <w:t xml:space="preserve">efficacité de leur propre travail en appliquant ces principes. </w:t>
      </w:r>
    </w:p>
    <w:p w14:paraId="20EFE2B5" w14:textId="3834FE2F" w:rsidR="0016755A" w:rsidRPr="00B908CE" w:rsidRDefault="0016755A" w:rsidP="00D17EAA">
      <w:pPr>
        <w:pStyle w:val="NoSpacing"/>
        <w:spacing w:before="240" w:after="120"/>
        <w:rPr>
          <w:rFonts w:ascii="Verdana" w:eastAsia="Times New Roman" w:hAnsi="Verdana" w:cstheme="majorBidi"/>
          <w:sz w:val="20"/>
          <w:szCs w:val="20"/>
          <w:lang w:val="fr-FR"/>
        </w:rPr>
      </w:pPr>
      <w:r w:rsidRPr="00B908CE">
        <w:rPr>
          <w:rFonts w:ascii="Verdana" w:hAnsi="Verdana"/>
          <w:sz w:val="20"/>
          <w:szCs w:val="20"/>
          <w:lang w:val="fr-FR"/>
        </w:rPr>
        <w:t>Le Réseau attend de ses partenaires et de ses membres qu</w:t>
      </w:r>
      <w:r w:rsidR="00B34E4F">
        <w:rPr>
          <w:rFonts w:ascii="Verdana" w:hAnsi="Verdana"/>
          <w:sz w:val="20"/>
          <w:szCs w:val="20"/>
          <w:lang w:val="fr-FR"/>
        </w:rPr>
        <w:t>’</w:t>
      </w:r>
      <w:r w:rsidRPr="00B908CE">
        <w:rPr>
          <w:rFonts w:ascii="Verdana" w:hAnsi="Verdana"/>
          <w:sz w:val="20"/>
          <w:szCs w:val="20"/>
          <w:lang w:val="fr-FR"/>
        </w:rPr>
        <w:t>ils partagent volontairement ces principes et qu</w:t>
      </w:r>
      <w:r w:rsidR="00B34E4F">
        <w:rPr>
          <w:rFonts w:ascii="Verdana" w:hAnsi="Verdana"/>
          <w:sz w:val="20"/>
          <w:szCs w:val="20"/>
          <w:lang w:val="fr-FR"/>
        </w:rPr>
        <w:t>’</w:t>
      </w:r>
      <w:r w:rsidRPr="00B908CE">
        <w:rPr>
          <w:rFonts w:ascii="Verdana" w:hAnsi="Verdana"/>
          <w:sz w:val="20"/>
          <w:szCs w:val="20"/>
          <w:lang w:val="fr-FR"/>
        </w:rPr>
        <w:t xml:space="preserve">ils guident leurs interactions en son sein: </w:t>
      </w:r>
    </w:p>
    <w:p w14:paraId="3F195A15" w14:textId="29715886" w:rsidR="00496AE2" w:rsidRPr="00B34E4F"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20"/>
          <w:szCs w:val="20"/>
          <w:lang w:val="fr-FR"/>
        </w:rPr>
      </w:pPr>
      <w:r w:rsidRPr="009F1F06">
        <w:rPr>
          <w:rFonts w:ascii="Verdana" w:hAnsi="Verdana"/>
          <w:sz w:val="20"/>
          <w:szCs w:val="20"/>
          <w:lang w:val="fr-FR"/>
        </w:rPr>
        <w:t xml:space="preserve">Les partenaires </w:t>
      </w:r>
      <w:r w:rsidRPr="009F1F06">
        <w:rPr>
          <w:rFonts w:ascii="Verdana" w:hAnsi="Verdana"/>
          <w:b/>
          <w:bCs/>
          <w:sz w:val="20"/>
          <w:szCs w:val="20"/>
          <w:lang w:val="fr-FR"/>
        </w:rPr>
        <w:t>axés sur la stratégie et les résultats</w:t>
      </w:r>
      <w:r w:rsidRPr="009F1F06">
        <w:rPr>
          <w:rFonts w:ascii="Verdana" w:hAnsi="Verdana"/>
          <w:sz w:val="20"/>
          <w:szCs w:val="20"/>
          <w:lang w:val="fr-FR"/>
        </w:rPr>
        <w:t xml:space="preserve"> ont une vision commune de l</w:t>
      </w:r>
      <w:r w:rsidR="00B34E4F">
        <w:rPr>
          <w:rFonts w:ascii="Verdana" w:hAnsi="Verdana"/>
          <w:sz w:val="20"/>
          <w:szCs w:val="20"/>
          <w:lang w:val="fr-FR"/>
        </w:rPr>
        <w:t>’</w:t>
      </w:r>
      <w:r w:rsidRPr="009F1F06">
        <w:rPr>
          <w:rFonts w:ascii="Verdana" w:hAnsi="Verdana"/>
          <w:sz w:val="20"/>
          <w:szCs w:val="20"/>
          <w:lang w:val="fr-FR"/>
        </w:rPr>
        <w:t>action en faveur des effets sanitaires de la chaleur, sont guidés par des cadres fondés sur des données probantes pour les priorités et les orientations des interventions et utilisent des approches axées sur les résultats pour les objectifs à long terme et les plans mesurables pour atteindre les objectifs.</w:t>
      </w:r>
    </w:p>
    <w:p w14:paraId="37D7BD70" w14:textId="77777777"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 travail </w:t>
      </w:r>
      <w:r w:rsidRPr="009F1F06">
        <w:rPr>
          <w:rFonts w:ascii="Verdana" w:hAnsi="Verdana"/>
          <w:b/>
          <w:bCs/>
          <w:sz w:val="20"/>
          <w:szCs w:val="20"/>
          <w:lang w:val="fr-FR"/>
        </w:rPr>
        <w:t>harmonisé et aligné</w:t>
      </w:r>
      <w:r w:rsidRPr="009F1F06">
        <w:rPr>
          <w:rFonts w:ascii="Verdana" w:hAnsi="Verdana"/>
          <w:sz w:val="20"/>
          <w:szCs w:val="20"/>
          <w:lang w:val="fr-FR"/>
        </w:rPr>
        <w:t xml:space="preserve"> des partenaires est cohérent avec les plans locaux et nationaux et complète les activités des autres partenaires du développement. Il cherche à compléter et à intégrer les partenariats, cadres et mécanismes internationaux existants.</w:t>
      </w:r>
    </w:p>
    <w:p w14:paraId="795C7410" w14:textId="38C0553B"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Les partenaires </w:t>
      </w:r>
      <w:r w:rsidRPr="009F1F06">
        <w:rPr>
          <w:rFonts w:ascii="Verdana" w:hAnsi="Verdana"/>
          <w:b/>
          <w:bCs/>
          <w:sz w:val="20"/>
          <w:szCs w:val="20"/>
          <w:lang w:val="fr-FR"/>
        </w:rPr>
        <w:t>transparents</w:t>
      </w:r>
      <w:r w:rsidRPr="009F1F06">
        <w:rPr>
          <w:rFonts w:ascii="Verdana" w:hAnsi="Verdana"/>
          <w:sz w:val="20"/>
          <w:szCs w:val="20"/>
          <w:lang w:val="fr-FR"/>
        </w:rPr>
        <w:t xml:space="preserve"> favorisent le </w:t>
      </w:r>
      <w:r w:rsidRPr="009F1F06">
        <w:rPr>
          <w:rFonts w:ascii="Verdana" w:hAnsi="Verdana"/>
          <w:b/>
          <w:bCs/>
          <w:sz w:val="20"/>
          <w:szCs w:val="20"/>
          <w:lang w:val="fr-FR"/>
        </w:rPr>
        <w:t>libre accès</w:t>
      </w:r>
      <w:r w:rsidRPr="009F1F06">
        <w:rPr>
          <w:rFonts w:ascii="Verdana" w:hAnsi="Verdana"/>
          <w:sz w:val="20"/>
          <w:szCs w:val="20"/>
          <w:lang w:val="fr-FR"/>
        </w:rPr>
        <w:t xml:space="preserve"> aux données et aux informations pour tous les partenaires sur un pied d</w:t>
      </w:r>
      <w:r w:rsidR="00B34E4F">
        <w:rPr>
          <w:rFonts w:ascii="Verdana" w:hAnsi="Verdana"/>
          <w:sz w:val="20"/>
          <w:szCs w:val="20"/>
          <w:lang w:val="fr-FR"/>
        </w:rPr>
        <w:t>’</w:t>
      </w:r>
      <w:r w:rsidRPr="009F1F06">
        <w:rPr>
          <w:rFonts w:ascii="Verdana" w:hAnsi="Verdana"/>
          <w:sz w:val="20"/>
          <w:szCs w:val="20"/>
          <w:lang w:val="fr-FR"/>
        </w:rPr>
        <w:t>égalité.</w:t>
      </w:r>
    </w:p>
    <w:p w14:paraId="4D2A6E0C" w14:textId="77777777"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Les partenaires </w:t>
      </w:r>
      <w:r w:rsidRPr="009F1F06">
        <w:rPr>
          <w:rFonts w:ascii="Verdana" w:hAnsi="Verdana"/>
          <w:b/>
          <w:bCs/>
          <w:sz w:val="20"/>
          <w:szCs w:val="20"/>
          <w:lang w:val="fr-FR"/>
        </w:rPr>
        <w:t>responsables</w:t>
      </w:r>
      <w:r w:rsidRPr="009F1F06">
        <w:rPr>
          <w:rFonts w:ascii="Verdana" w:hAnsi="Verdana"/>
          <w:sz w:val="20"/>
          <w:szCs w:val="20"/>
          <w:lang w:val="fr-FR"/>
        </w:rPr>
        <w:t xml:space="preserve"> et dont le travail </w:t>
      </w:r>
      <w:r w:rsidRPr="009F1F06">
        <w:rPr>
          <w:rFonts w:ascii="Verdana" w:hAnsi="Verdana"/>
          <w:b/>
          <w:bCs/>
          <w:sz w:val="20"/>
          <w:szCs w:val="20"/>
          <w:lang w:val="fr-FR"/>
        </w:rPr>
        <w:t xml:space="preserve">se fonde sur des données probantes </w:t>
      </w:r>
      <w:r w:rsidRPr="009F1F06">
        <w:rPr>
          <w:rFonts w:ascii="Verdana" w:hAnsi="Verdana"/>
          <w:sz w:val="20"/>
          <w:szCs w:val="20"/>
          <w:lang w:val="fr-FR"/>
        </w:rPr>
        <w:t>mènent leurs activités avec intégrité, adoptent des approches fondées sur des données probantes et cultivent la confiance dans leurs interactions avec les parties prenantes.</w:t>
      </w:r>
    </w:p>
    <w:p w14:paraId="1A31C3F1" w14:textId="77777777"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Les partenaires </w:t>
      </w:r>
      <w:r w:rsidRPr="009F1F06">
        <w:rPr>
          <w:rFonts w:ascii="Verdana" w:hAnsi="Verdana"/>
          <w:b/>
          <w:bCs/>
          <w:sz w:val="20"/>
          <w:szCs w:val="20"/>
          <w:lang w:val="fr-FR"/>
        </w:rPr>
        <w:t>efficaces et durables</w:t>
      </w:r>
      <w:r w:rsidRPr="009F1F06">
        <w:rPr>
          <w:rFonts w:ascii="Verdana" w:hAnsi="Verdana"/>
          <w:sz w:val="20"/>
          <w:szCs w:val="20"/>
          <w:lang w:val="fr-FR"/>
        </w:rPr>
        <w:t xml:space="preserve"> opèrent de manière à fournir des projets de haute qualité qui répondent aux objectifs et cherchent à obtenir des résultats à long terme.</w:t>
      </w:r>
    </w:p>
    <w:p w14:paraId="04FE700C" w14:textId="193407C8"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Les partenaires </w:t>
      </w:r>
      <w:r w:rsidRPr="009F1F06">
        <w:rPr>
          <w:rFonts w:ascii="Verdana" w:hAnsi="Verdana"/>
          <w:b/>
          <w:bCs/>
          <w:sz w:val="20"/>
          <w:szCs w:val="20"/>
          <w:lang w:val="fr-FR"/>
        </w:rPr>
        <w:t>respectueux et réciproques</w:t>
      </w:r>
      <w:r w:rsidRPr="009F1F06">
        <w:rPr>
          <w:rFonts w:ascii="Verdana" w:hAnsi="Verdana"/>
          <w:sz w:val="20"/>
          <w:szCs w:val="20"/>
          <w:lang w:val="fr-FR"/>
        </w:rPr>
        <w:t xml:space="preserve"> respectent l</w:t>
      </w:r>
      <w:r w:rsidR="00B34E4F">
        <w:rPr>
          <w:rFonts w:ascii="Verdana" w:hAnsi="Verdana"/>
          <w:sz w:val="20"/>
          <w:szCs w:val="20"/>
          <w:lang w:val="fr-FR"/>
        </w:rPr>
        <w:t>’</w:t>
      </w:r>
      <w:r w:rsidRPr="009F1F06">
        <w:rPr>
          <w:rFonts w:ascii="Verdana" w:hAnsi="Verdana"/>
          <w:sz w:val="20"/>
          <w:szCs w:val="20"/>
          <w:lang w:val="fr-FR"/>
        </w:rPr>
        <w:t>autonomie des autorités et des décideurs locaux, s</w:t>
      </w:r>
      <w:r w:rsidR="00B34E4F">
        <w:rPr>
          <w:rFonts w:ascii="Verdana" w:hAnsi="Verdana"/>
          <w:sz w:val="20"/>
          <w:szCs w:val="20"/>
          <w:lang w:val="fr-FR"/>
        </w:rPr>
        <w:t>’</w:t>
      </w:r>
      <w:r w:rsidRPr="009F1F06">
        <w:rPr>
          <w:rFonts w:ascii="Verdana" w:hAnsi="Verdana"/>
          <w:sz w:val="20"/>
          <w:szCs w:val="20"/>
          <w:lang w:val="fr-FR"/>
        </w:rPr>
        <w:t>écoutent mutuellement et planifient, mettent en œuvre et apprennent ensemble. Reconnaître que la vulnérabilité à la chaleur extrême est complexe et déterminée localement, avec des effets différentiels.</w:t>
      </w:r>
    </w:p>
    <w:p w14:paraId="6BA14351" w14:textId="4F5E3A95"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Les partenaires </w:t>
      </w:r>
      <w:r w:rsidRPr="009F1F06">
        <w:rPr>
          <w:rFonts w:ascii="Verdana" w:hAnsi="Verdana"/>
          <w:b/>
          <w:bCs/>
          <w:sz w:val="20"/>
          <w:szCs w:val="20"/>
          <w:lang w:val="fr-FR"/>
        </w:rPr>
        <w:t>diversifiés, équitables et inclusifs</w:t>
      </w:r>
      <w:r w:rsidRPr="009F1F06">
        <w:rPr>
          <w:rFonts w:ascii="Verdana" w:hAnsi="Verdana"/>
          <w:sz w:val="20"/>
          <w:szCs w:val="20"/>
          <w:lang w:val="fr-FR"/>
        </w:rPr>
        <w:t xml:space="preserve"> s</w:t>
      </w:r>
      <w:r w:rsidR="00B34E4F">
        <w:rPr>
          <w:rFonts w:ascii="Verdana" w:hAnsi="Verdana"/>
          <w:sz w:val="20"/>
          <w:szCs w:val="20"/>
          <w:lang w:val="fr-FR"/>
        </w:rPr>
        <w:t>’</w:t>
      </w:r>
      <w:r w:rsidRPr="009F1F06">
        <w:rPr>
          <w:rFonts w:ascii="Verdana" w:hAnsi="Verdana"/>
          <w:sz w:val="20"/>
          <w:szCs w:val="20"/>
          <w:lang w:val="fr-FR"/>
        </w:rPr>
        <w:t>efforcent d</w:t>
      </w:r>
      <w:r w:rsidR="00B34E4F">
        <w:rPr>
          <w:rFonts w:ascii="Verdana" w:hAnsi="Verdana"/>
          <w:sz w:val="20"/>
          <w:szCs w:val="20"/>
          <w:lang w:val="fr-FR"/>
        </w:rPr>
        <w:t>’</w:t>
      </w:r>
      <w:r w:rsidRPr="009F1F06">
        <w:rPr>
          <w:rFonts w:ascii="Verdana" w:hAnsi="Verdana"/>
          <w:sz w:val="20"/>
          <w:szCs w:val="20"/>
          <w:lang w:val="fr-FR"/>
        </w:rPr>
        <w:t xml:space="preserve">inclure un large éventail de partenaires, de parties prenantes et de perspectives représentant de manière appropriée les ethnies, les races, les âges, les religions, les handicaps et les sexes dans la mise en œuvre de leur travail, afin de mieux lutter contre les inégalités de toutes les populations vulnérables. </w:t>
      </w:r>
    </w:p>
    <w:p w14:paraId="3B6955E4" w14:textId="77777777"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Les partenaires </w:t>
      </w:r>
      <w:r w:rsidRPr="009F1F06">
        <w:rPr>
          <w:rFonts w:ascii="Verdana" w:hAnsi="Verdana"/>
          <w:b/>
          <w:bCs/>
          <w:sz w:val="20"/>
          <w:szCs w:val="20"/>
          <w:lang w:val="fr-FR"/>
        </w:rPr>
        <w:t>responsables</w:t>
      </w:r>
      <w:r w:rsidRPr="009F1F06">
        <w:rPr>
          <w:rFonts w:ascii="Verdana" w:hAnsi="Verdana"/>
          <w:sz w:val="20"/>
          <w:szCs w:val="20"/>
          <w:lang w:val="fr-FR"/>
        </w:rPr>
        <w:t xml:space="preserve"> ont des processus décisionnels clairs et transparents et respectent leurs engagements envers le Réseau.</w:t>
      </w:r>
    </w:p>
    <w:p w14:paraId="48001D0C" w14:textId="57132329"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9F1F06">
        <w:rPr>
          <w:rFonts w:ascii="Verdana" w:hAnsi="Verdana"/>
          <w:sz w:val="20"/>
          <w:szCs w:val="20"/>
          <w:lang w:val="fr-FR"/>
        </w:rPr>
        <w:t xml:space="preserve">Les partenaires sont </w:t>
      </w:r>
      <w:r w:rsidRPr="00791294">
        <w:rPr>
          <w:rFonts w:ascii="Verdana" w:hAnsi="Verdana"/>
          <w:b/>
          <w:bCs/>
          <w:sz w:val="20"/>
          <w:szCs w:val="20"/>
          <w:lang w:val="fr-FR"/>
        </w:rPr>
        <w:t>flexibles, ingénieux et novateurs</w:t>
      </w:r>
      <w:r w:rsidRPr="009F1F06">
        <w:rPr>
          <w:rFonts w:ascii="Verdana" w:hAnsi="Verdana"/>
          <w:sz w:val="20"/>
          <w:szCs w:val="20"/>
          <w:lang w:val="fr-FR"/>
        </w:rPr>
        <w:t>, ils s</w:t>
      </w:r>
      <w:r w:rsidR="00B34E4F">
        <w:rPr>
          <w:rFonts w:ascii="Verdana" w:hAnsi="Verdana"/>
          <w:sz w:val="20"/>
          <w:szCs w:val="20"/>
          <w:lang w:val="fr-FR"/>
        </w:rPr>
        <w:t>’</w:t>
      </w:r>
      <w:r w:rsidRPr="009F1F06">
        <w:rPr>
          <w:rFonts w:ascii="Verdana" w:hAnsi="Verdana"/>
          <w:sz w:val="20"/>
          <w:szCs w:val="20"/>
          <w:lang w:val="fr-FR"/>
        </w:rPr>
        <w:t>adaptent et réagissent de manière proactive aux changements de circonstances et acceptent le changement.</w:t>
      </w:r>
    </w:p>
    <w:p w14:paraId="5B5CB6C7" w14:textId="5CFE6AC7" w:rsidR="0016755A" w:rsidRPr="009F1F06" w:rsidRDefault="0016755A" w:rsidP="00D17EAA">
      <w:pPr>
        <w:pStyle w:val="ListParagraph"/>
        <w:numPr>
          <w:ilvl w:val="0"/>
          <w:numId w:val="8"/>
        </w:numPr>
        <w:spacing w:before="80" w:after="80" w:line="240" w:lineRule="auto"/>
        <w:ind w:left="1134" w:hanging="567"/>
        <w:contextualSpacing w:val="0"/>
        <w:rPr>
          <w:rFonts w:ascii="Verdana" w:eastAsia="Times New Roman" w:hAnsi="Verdana" w:cstheme="majorBidi"/>
          <w:sz w:val="18"/>
          <w:szCs w:val="18"/>
          <w:lang w:val="fr-FR"/>
        </w:rPr>
      </w:pPr>
      <w:r w:rsidRPr="00791294">
        <w:rPr>
          <w:rFonts w:ascii="Verdana" w:hAnsi="Verdana"/>
          <w:b/>
          <w:bCs/>
          <w:sz w:val="20"/>
          <w:szCs w:val="20"/>
          <w:lang w:val="fr-FR"/>
        </w:rPr>
        <w:t>Engagés dans l</w:t>
      </w:r>
      <w:r w:rsidR="00B34E4F">
        <w:rPr>
          <w:rFonts w:ascii="Verdana" w:hAnsi="Verdana"/>
          <w:b/>
          <w:bCs/>
          <w:sz w:val="20"/>
          <w:szCs w:val="20"/>
          <w:lang w:val="fr-FR"/>
        </w:rPr>
        <w:t>’</w:t>
      </w:r>
      <w:r w:rsidRPr="00791294">
        <w:rPr>
          <w:rFonts w:ascii="Verdana" w:hAnsi="Verdana"/>
          <w:b/>
          <w:bCs/>
          <w:sz w:val="20"/>
          <w:szCs w:val="20"/>
          <w:lang w:val="fr-FR"/>
        </w:rPr>
        <w:t>apprentissage conjoint</w:t>
      </w:r>
      <w:r w:rsidRPr="009F1F06">
        <w:rPr>
          <w:rFonts w:ascii="Verdana" w:hAnsi="Verdana"/>
          <w:sz w:val="20"/>
          <w:szCs w:val="20"/>
          <w:lang w:val="fr-FR"/>
        </w:rPr>
        <w:t>, les partenaires suivent, évaluent et réfléchissent à leurs activités et résultats, formulent les leçons apprises et partagent leurs connaissances avec d</w:t>
      </w:r>
      <w:r w:rsidR="00B34E4F">
        <w:rPr>
          <w:rFonts w:ascii="Verdana" w:hAnsi="Verdana"/>
          <w:sz w:val="20"/>
          <w:szCs w:val="20"/>
          <w:lang w:val="fr-FR"/>
        </w:rPr>
        <w:t>’</w:t>
      </w:r>
      <w:r w:rsidRPr="009F1F06">
        <w:rPr>
          <w:rFonts w:ascii="Verdana" w:hAnsi="Verdana"/>
          <w:sz w:val="20"/>
          <w:szCs w:val="20"/>
          <w:lang w:val="fr-FR"/>
        </w:rPr>
        <w:t>autres.</w:t>
      </w:r>
    </w:p>
    <w:p w14:paraId="48CD1A4E" w14:textId="28C1A89B" w:rsidR="0016755A" w:rsidRPr="00791294" w:rsidRDefault="0016755A" w:rsidP="008639F1">
      <w:pPr>
        <w:pStyle w:val="ListParagraph"/>
        <w:numPr>
          <w:ilvl w:val="0"/>
          <w:numId w:val="8"/>
        </w:numPr>
        <w:spacing w:before="80" w:after="80" w:line="240" w:lineRule="auto"/>
        <w:ind w:left="1134" w:hanging="567"/>
        <w:contextualSpacing w:val="0"/>
        <w:rPr>
          <w:rFonts w:ascii="Verdana" w:eastAsia="Times New Roman" w:hAnsi="Verdana" w:cstheme="majorBidi"/>
          <w:sz w:val="20"/>
          <w:szCs w:val="20"/>
          <w:lang w:val="fr-FR"/>
        </w:rPr>
      </w:pPr>
      <w:r w:rsidRPr="00791294">
        <w:rPr>
          <w:rFonts w:ascii="Verdana" w:hAnsi="Verdana"/>
          <w:sz w:val="20"/>
          <w:szCs w:val="20"/>
          <w:lang w:val="fr-FR"/>
        </w:rPr>
        <w:t xml:space="preserve">Les partenaires de la </w:t>
      </w:r>
      <w:r w:rsidRPr="00791294">
        <w:rPr>
          <w:rFonts w:ascii="Verdana" w:hAnsi="Verdana"/>
          <w:b/>
          <w:bCs/>
          <w:sz w:val="20"/>
          <w:szCs w:val="20"/>
          <w:lang w:val="fr-FR"/>
        </w:rPr>
        <w:t xml:space="preserve">promotion du </w:t>
      </w:r>
      <w:proofErr w:type="spellStart"/>
      <w:r w:rsidRPr="00791294">
        <w:rPr>
          <w:rFonts w:ascii="Verdana" w:hAnsi="Verdana"/>
          <w:b/>
          <w:bCs/>
          <w:sz w:val="20"/>
          <w:szCs w:val="20"/>
          <w:lang w:val="fr-FR"/>
        </w:rPr>
        <w:t>GHHIN</w:t>
      </w:r>
      <w:proofErr w:type="spellEnd"/>
      <w:r w:rsidRPr="00791294">
        <w:rPr>
          <w:rFonts w:ascii="Verdana" w:hAnsi="Verdana"/>
          <w:sz w:val="20"/>
          <w:szCs w:val="20"/>
          <w:lang w:val="fr-FR"/>
        </w:rPr>
        <w:t xml:space="preserve"> acceptent d</w:t>
      </w:r>
      <w:r w:rsidR="00B34E4F">
        <w:rPr>
          <w:rFonts w:ascii="Verdana" w:hAnsi="Verdana"/>
          <w:sz w:val="20"/>
          <w:szCs w:val="20"/>
          <w:lang w:val="fr-FR"/>
        </w:rPr>
        <w:t>’</w:t>
      </w:r>
      <w:r w:rsidRPr="00791294">
        <w:rPr>
          <w:rFonts w:ascii="Verdana" w:hAnsi="Verdana"/>
          <w:sz w:val="20"/>
          <w:szCs w:val="20"/>
          <w:lang w:val="fr-FR"/>
        </w:rPr>
        <w:t>apposer son logo sur leurs travaux en matière d</w:t>
      </w:r>
      <w:r w:rsidR="00B34E4F">
        <w:rPr>
          <w:rFonts w:ascii="Verdana" w:hAnsi="Verdana"/>
          <w:sz w:val="20"/>
          <w:szCs w:val="20"/>
          <w:lang w:val="fr-FR"/>
        </w:rPr>
        <w:t>’</w:t>
      </w:r>
      <w:r w:rsidRPr="00791294">
        <w:rPr>
          <w:rFonts w:ascii="Verdana" w:hAnsi="Verdana"/>
          <w:sz w:val="20"/>
          <w:szCs w:val="20"/>
          <w:lang w:val="fr-FR"/>
        </w:rPr>
        <w:t xml:space="preserve">effets de la chaleur sur la santé et de représenter et de citer de manière juste et précise le travail des autres partenaires. De leur côté, les informations et les relations présentées dans le cadre du </w:t>
      </w:r>
      <w:proofErr w:type="spellStart"/>
      <w:r w:rsidRPr="00791294">
        <w:rPr>
          <w:rFonts w:ascii="Verdana" w:hAnsi="Verdana"/>
          <w:sz w:val="20"/>
          <w:szCs w:val="20"/>
          <w:lang w:val="fr-FR"/>
        </w:rPr>
        <w:t>GHHIN</w:t>
      </w:r>
      <w:proofErr w:type="spellEnd"/>
      <w:r w:rsidRPr="00791294">
        <w:rPr>
          <w:rFonts w:ascii="Verdana" w:hAnsi="Verdana"/>
          <w:sz w:val="20"/>
          <w:szCs w:val="20"/>
          <w:lang w:val="fr-FR"/>
        </w:rPr>
        <w:t xml:space="preserve"> indiqueront clairement les contributions des pays partenaires et leur accorderont le crédit approprié.</w:t>
      </w:r>
    </w:p>
    <w:p w14:paraId="7F770696" w14:textId="539CA7B7" w:rsidR="009B1F93" w:rsidRPr="00DD28CE" w:rsidRDefault="002350BB" w:rsidP="00290A58">
      <w:pPr>
        <w:pStyle w:val="WMOBodyText"/>
        <w:jc w:val="center"/>
        <w:rPr>
          <w:lang w:val="fr-FR" w:eastAsia="en-US"/>
        </w:rPr>
      </w:pPr>
      <w:r w:rsidRPr="00A11EAB">
        <w:rPr>
          <w:lang w:eastAsia="en-US"/>
        </w:rPr>
        <w:t>_______________</w:t>
      </w:r>
    </w:p>
    <w:sectPr w:rsidR="009B1F93" w:rsidRPr="00DD28CE" w:rsidSect="00807EF1">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6303" w14:textId="77777777" w:rsidR="00BF157E" w:rsidRDefault="00BF157E">
      <w:r>
        <w:separator/>
      </w:r>
    </w:p>
    <w:p w14:paraId="123D1C72" w14:textId="77777777" w:rsidR="00BF157E" w:rsidRDefault="00BF157E"/>
    <w:p w14:paraId="4D78F749" w14:textId="77777777" w:rsidR="00BF157E" w:rsidRDefault="00BF157E"/>
  </w:endnote>
  <w:endnote w:type="continuationSeparator" w:id="0">
    <w:p w14:paraId="69826463" w14:textId="77777777" w:rsidR="00BF157E" w:rsidRDefault="00BF157E">
      <w:r>
        <w:continuationSeparator/>
      </w:r>
    </w:p>
    <w:p w14:paraId="4A522A8B" w14:textId="77777777" w:rsidR="00BF157E" w:rsidRDefault="00BF157E"/>
    <w:p w14:paraId="4D36E4A5" w14:textId="77777777" w:rsidR="00BF157E" w:rsidRDefault="00BF157E"/>
  </w:endnote>
  <w:endnote w:type="continuationNotice" w:id="1">
    <w:p w14:paraId="50A83774" w14:textId="77777777" w:rsidR="00BF157E" w:rsidRDefault="00BF1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EE7F" w14:textId="77777777" w:rsidR="00BF157E" w:rsidRDefault="00BF157E">
      <w:r>
        <w:separator/>
      </w:r>
    </w:p>
  </w:footnote>
  <w:footnote w:type="continuationSeparator" w:id="0">
    <w:p w14:paraId="3816EACB" w14:textId="77777777" w:rsidR="00BF157E" w:rsidRDefault="00BF157E">
      <w:r>
        <w:continuationSeparator/>
      </w:r>
    </w:p>
    <w:p w14:paraId="623A3347" w14:textId="77777777" w:rsidR="00BF157E" w:rsidRDefault="00BF157E"/>
    <w:p w14:paraId="6DCE1A35" w14:textId="77777777" w:rsidR="00BF157E" w:rsidRDefault="00BF157E"/>
  </w:footnote>
  <w:footnote w:type="continuationNotice" w:id="1">
    <w:p w14:paraId="5416EABB" w14:textId="77777777" w:rsidR="00BF157E" w:rsidRDefault="00BF157E"/>
  </w:footnote>
  <w:footnote w:id="2">
    <w:p w14:paraId="17400A89" w14:textId="53F5B591" w:rsidR="00B23CD8" w:rsidRPr="00B23CD8" w:rsidRDefault="00B23CD8" w:rsidP="00B23CD8">
      <w:pPr>
        <w:pStyle w:val="FootnoteText"/>
        <w:ind w:left="0" w:firstLine="0"/>
        <w:rPr>
          <w:sz w:val="16"/>
          <w:szCs w:val="16"/>
          <w:lang w:val="fr-FR"/>
        </w:rPr>
      </w:pPr>
      <w:r w:rsidRPr="00B23CD8">
        <w:rPr>
          <w:rStyle w:val="FootnoteReference"/>
          <w:sz w:val="16"/>
          <w:szCs w:val="16"/>
        </w:rPr>
        <w:footnoteRef/>
      </w:r>
      <w:r w:rsidRPr="00B23CD8">
        <w:rPr>
          <w:sz w:val="16"/>
          <w:szCs w:val="16"/>
          <w:lang w:val="fr-FR"/>
        </w:rPr>
        <w:t xml:space="preserve"> </w:t>
      </w:r>
      <w:r w:rsidRPr="00B23CD8">
        <w:rPr>
          <w:sz w:val="16"/>
          <w:szCs w:val="16"/>
          <w:lang w:val="fr-FR"/>
        </w:rPr>
        <w:t>Atelier sur le développement de systèmes d</w:t>
      </w:r>
      <w:r w:rsidR="00B34E4F">
        <w:rPr>
          <w:sz w:val="16"/>
          <w:szCs w:val="16"/>
          <w:lang w:val="fr-FR"/>
        </w:rPr>
        <w:t>’</w:t>
      </w:r>
      <w:r w:rsidRPr="00B23CD8">
        <w:rPr>
          <w:sz w:val="16"/>
          <w:szCs w:val="16"/>
          <w:lang w:val="fr-FR"/>
        </w:rPr>
        <w:t>information climatologique pour l</w:t>
      </w:r>
      <w:r w:rsidR="00B34E4F">
        <w:rPr>
          <w:sz w:val="16"/>
          <w:szCs w:val="16"/>
          <w:lang w:val="fr-FR"/>
        </w:rPr>
        <w:t>’</w:t>
      </w:r>
      <w:r w:rsidRPr="00B23CD8">
        <w:rPr>
          <w:sz w:val="16"/>
          <w:szCs w:val="16"/>
          <w:lang w:val="fr-FR"/>
        </w:rPr>
        <w:t xml:space="preserve">alerte précoce en matière de vagues de chaleur et de veille sanitaire: évaluation des connaissances, des besoins et de la voie à suivre. À Chicago en 2015, convoqués par le </w:t>
      </w:r>
      <w:proofErr w:type="spellStart"/>
      <w:r w:rsidRPr="00B23CD8">
        <w:rPr>
          <w:sz w:val="16"/>
          <w:szCs w:val="16"/>
          <w:lang w:val="fr-FR"/>
        </w:rPr>
        <w:t>NOAA</w:t>
      </w:r>
      <w:proofErr w:type="spellEnd"/>
      <w:r w:rsidRPr="00B23CD8">
        <w:rPr>
          <w:sz w:val="16"/>
          <w:szCs w:val="16"/>
          <w:lang w:val="fr-FR"/>
        </w:rPr>
        <w:t>, le CDC, le Service météorologique allemand, l</w:t>
      </w:r>
      <w:r w:rsidR="00B34E4F">
        <w:rPr>
          <w:sz w:val="16"/>
          <w:szCs w:val="16"/>
          <w:lang w:val="fr-FR"/>
        </w:rPr>
        <w:t>’</w:t>
      </w:r>
      <w:r w:rsidRPr="00B23CD8">
        <w:rPr>
          <w:sz w:val="16"/>
          <w:szCs w:val="16"/>
          <w:lang w:val="fr-FR"/>
        </w:rPr>
        <w:t xml:space="preserve">OMM et le </w:t>
      </w:r>
      <w:proofErr w:type="spellStart"/>
      <w:r w:rsidRPr="00B23CD8">
        <w:rPr>
          <w:sz w:val="16"/>
          <w:szCs w:val="16"/>
          <w:lang w:val="fr-FR"/>
        </w:rPr>
        <w:t>CMSC</w:t>
      </w:r>
      <w:proofErr w:type="spellEnd"/>
    </w:p>
  </w:footnote>
  <w:footnote w:id="3">
    <w:p w14:paraId="1F4E5B09" w14:textId="008B4031" w:rsidR="0016755A" w:rsidRPr="00B23CD8" w:rsidRDefault="0016755A" w:rsidP="0016755A">
      <w:pPr>
        <w:pStyle w:val="Footer"/>
        <w:rPr>
          <w:sz w:val="16"/>
          <w:szCs w:val="16"/>
          <w:lang w:val="fr-FR"/>
        </w:rPr>
      </w:pPr>
      <w:r w:rsidRPr="00B23CD8">
        <w:rPr>
          <w:rStyle w:val="FootnoteReference"/>
          <w:sz w:val="16"/>
          <w:szCs w:val="16"/>
          <w:lang w:val="fr-FR"/>
        </w:rPr>
        <w:footnoteRef/>
      </w:r>
      <w:r w:rsidRPr="00B23CD8">
        <w:rPr>
          <w:sz w:val="16"/>
          <w:szCs w:val="16"/>
          <w:lang w:val="fr-FR"/>
        </w:rPr>
        <w:t xml:space="preserve"> Partenaires fondateurs: la National </w:t>
      </w:r>
      <w:proofErr w:type="spellStart"/>
      <w:r w:rsidRPr="00B23CD8">
        <w:rPr>
          <w:sz w:val="16"/>
          <w:szCs w:val="16"/>
          <w:lang w:val="fr-FR"/>
        </w:rPr>
        <w:t>Oceanic</w:t>
      </w:r>
      <w:proofErr w:type="spellEnd"/>
      <w:r w:rsidRPr="00B23CD8">
        <w:rPr>
          <w:sz w:val="16"/>
          <w:szCs w:val="16"/>
          <w:lang w:val="fr-FR"/>
        </w:rPr>
        <w:t xml:space="preserve"> and </w:t>
      </w:r>
      <w:proofErr w:type="spellStart"/>
      <w:r w:rsidRPr="00B23CD8">
        <w:rPr>
          <w:sz w:val="16"/>
          <w:szCs w:val="16"/>
          <w:lang w:val="fr-FR"/>
        </w:rPr>
        <w:t>Atmospheric</w:t>
      </w:r>
      <w:proofErr w:type="spellEnd"/>
      <w:r w:rsidRPr="00B23CD8">
        <w:rPr>
          <w:sz w:val="16"/>
          <w:szCs w:val="16"/>
          <w:lang w:val="fr-FR"/>
        </w:rPr>
        <w:t xml:space="preserve"> Administration (</w:t>
      </w:r>
      <w:proofErr w:type="spellStart"/>
      <w:r w:rsidRPr="00B23CD8">
        <w:rPr>
          <w:sz w:val="16"/>
          <w:szCs w:val="16"/>
          <w:lang w:val="fr-FR"/>
        </w:rPr>
        <w:t>NOAA</w:t>
      </w:r>
      <w:proofErr w:type="spellEnd"/>
      <w:r w:rsidRPr="00B23CD8">
        <w:rPr>
          <w:sz w:val="16"/>
          <w:szCs w:val="16"/>
          <w:lang w:val="fr-FR"/>
        </w:rPr>
        <w:t xml:space="preserve">) des États-Unis, le Deutscher </w:t>
      </w:r>
      <w:proofErr w:type="spellStart"/>
      <w:r w:rsidRPr="00B23CD8">
        <w:rPr>
          <w:sz w:val="16"/>
          <w:szCs w:val="16"/>
          <w:lang w:val="fr-FR"/>
        </w:rPr>
        <w:t>Wetterdienst</w:t>
      </w:r>
      <w:proofErr w:type="spellEnd"/>
      <w:r w:rsidRPr="00B23CD8">
        <w:rPr>
          <w:sz w:val="16"/>
          <w:szCs w:val="16"/>
          <w:lang w:val="fr-FR"/>
        </w:rPr>
        <w:t xml:space="preserve"> (Service météorologique allemand), l</w:t>
      </w:r>
      <w:r w:rsidR="00B34E4F">
        <w:rPr>
          <w:sz w:val="16"/>
          <w:szCs w:val="16"/>
          <w:lang w:val="fr-FR"/>
        </w:rPr>
        <w:t>’</w:t>
      </w:r>
      <w:r w:rsidRPr="00B23CD8">
        <w:rPr>
          <w:sz w:val="16"/>
          <w:szCs w:val="16"/>
          <w:lang w:val="fr-FR"/>
        </w:rPr>
        <w:t>Organisation météorologique mondiale (OMM), le Cadre mondial pour les services climatologiques (</w:t>
      </w:r>
      <w:proofErr w:type="spellStart"/>
      <w:r w:rsidRPr="00B23CD8">
        <w:rPr>
          <w:sz w:val="16"/>
          <w:szCs w:val="16"/>
          <w:lang w:val="fr-FR"/>
        </w:rPr>
        <w:t>CMSC</w:t>
      </w:r>
      <w:proofErr w:type="spellEnd"/>
      <w:r w:rsidRPr="00B23CD8">
        <w:rPr>
          <w:sz w:val="16"/>
          <w:szCs w:val="16"/>
          <w:lang w:val="fr-FR"/>
        </w:rPr>
        <w:t xml:space="preserve">), le Service météorologique et le Public </w:t>
      </w:r>
      <w:proofErr w:type="spellStart"/>
      <w:r w:rsidRPr="00B23CD8">
        <w:rPr>
          <w:sz w:val="16"/>
          <w:szCs w:val="16"/>
          <w:lang w:val="fr-FR"/>
        </w:rPr>
        <w:t>Health</w:t>
      </w:r>
      <w:proofErr w:type="spellEnd"/>
      <w:r w:rsidRPr="00B23CD8">
        <w:rPr>
          <w:sz w:val="16"/>
          <w:szCs w:val="16"/>
          <w:lang w:val="fr-FR"/>
        </w:rPr>
        <w:t xml:space="preserve"> </w:t>
      </w:r>
      <w:proofErr w:type="spellStart"/>
      <w:r w:rsidRPr="00B23CD8">
        <w:rPr>
          <w:sz w:val="16"/>
          <w:szCs w:val="16"/>
          <w:lang w:val="fr-FR"/>
        </w:rPr>
        <w:t>England</w:t>
      </w:r>
      <w:proofErr w:type="spellEnd"/>
      <w:r w:rsidRPr="00B23CD8">
        <w:rPr>
          <w:sz w:val="16"/>
          <w:szCs w:val="16"/>
          <w:lang w:val="fr-FR"/>
        </w:rPr>
        <w:t xml:space="preserve"> du Royaume-Uni, l</w:t>
      </w:r>
      <w:r w:rsidR="00B34E4F">
        <w:rPr>
          <w:sz w:val="16"/>
          <w:szCs w:val="16"/>
          <w:lang w:val="fr-FR"/>
        </w:rPr>
        <w:t>’</w:t>
      </w:r>
      <w:r w:rsidRPr="00B23CD8">
        <w:rPr>
          <w:sz w:val="16"/>
          <w:szCs w:val="16"/>
          <w:lang w:val="fr-FR"/>
        </w:rPr>
        <w:t>Université de Columbia, l</w:t>
      </w:r>
      <w:r w:rsidR="00B34E4F">
        <w:rPr>
          <w:sz w:val="16"/>
          <w:szCs w:val="16"/>
          <w:lang w:val="fr-FR"/>
        </w:rPr>
        <w:t>’</w:t>
      </w:r>
      <w:r w:rsidRPr="00B23CD8">
        <w:rPr>
          <w:sz w:val="16"/>
          <w:szCs w:val="16"/>
          <w:lang w:val="fr-FR"/>
        </w:rPr>
        <w:t>Université de Washington, l</w:t>
      </w:r>
      <w:r w:rsidR="00B34E4F">
        <w:rPr>
          <w:sz w:val="16"/>
          <w:szCs w:val="16"/>
          <w:lang w:val="fr-FR"/>
        </w:rPr>
        <w:t>’</w:t>
      </w:r>
      <w:r w:rsidRPr="00B23CD8">
        <w:rPr>
          <w:sz w:val="16"/>
          <w:szCs w:val="16"/>
          <w:lang w:val="fr-FR"/>
        </w:rPr>
        <w:t xml:space="preserve">Imperial </w:t>
      </w:r>
      <w:proofErr w:type="spellStart"/>
      <w:r w:rsidRPr="00B23CD8">
        <w:rPr>
          <w:sz w:val="16"/>
          <w:szCs w:val="16"/>
          <w:lang w:val="fr-FR"/>
        </w:rPr>
        <w:t>College</w:t>
      </w:r>
      <w:proofErr w:type="spellEnd"/>
      <w:r w:rsidRPr="00B23CD8">
        <w:rPr>
          <w:sz w:val="16"/>
          <w:szCs w:val="16"/>
          <w:lang w:val="fr-FR"/>
        </w:rPr>
        <w:t xml:space="preserve"> de Londres, le Service météorologique indien, l</w:t>
      </w:r>
      <w:r w:rsidR="00B34E4F">
        <w:rPr>
          <w:sz w:val="16"/>
          <w:szCs w:val="16"/>
          <w:lang w:val="fr-FR"/>
        </w:rPr>
        <w:t>’</w:t>
      </w:r>
      <w:r w:rsidRPr="00B23CD8">
        <w:rPr>
          <w:sz w:val="16"/>
          <w:szCs w:val="16"/>
          <w:lang w:val="fr-FR"/>
        </w:rPr>
        <w:t>Observatoire de Hong Kong, l</w:t>
      </w:r>
      <w:r w:rsidR="00B34E4F">
        <w:rPr>
          <w:sz w:val="16"/>
          <w:szCs w:val="16"/>
          <w:lang w:val="fr-FR"/>
        </w:rPr>
        <w:t>’</w:t>
      </w:r>
      <w:r w:rsidRPr="00B23CD8">
        <w:rPr>
          <w:sz w:val="16"/>
          <w:szCs w:val="16"/>
          <w:lang w:val="fr-FR"/>
        </w:rPr>
        <w:t>Université de Boston, l</w:t>
      </w:r>
      <w:r w:rsidR="00B34E4F">
        <w:rPr>
          <w:sz w:val="16"/>
          <w:szCs w:val="16"/>
          <w:lang w:val="fr-FR"/>
        </w:rPr>
        <w:t>’</w:t>
      </w:r>
      <w:r w:rsidRPr="00B23CD8">
        <w:rPr>
          <w:sz w:val="16"/>
          <w:szCs w:val="16"/>
          <w:lang w:val="fr-FR"/>
        </w:rPr>
        <w:t xml:space="preserve">Université de Durham, le National </w:t>
      </w:r>
      <w:proofErr w:type="spellStart"/>
      <w:r w:rsidRPr="00B23CD8">
        <w:rPr>
          <w:sz w:val="16"/>
          <w:szCs w:val="16"/>
          <w:lang w:val="fr-FR"/>
        </w:rPr>
        <w:t>Resources</w:t>
      </w:r>
      <w:proofErr w:type="spellEnd"/>
      <w:r w:rsidRPr="00B23CD8">
        <w:rPr>
          <w:sz w:val="16"/>
          <w:szCs w:val="16"/>
          <w:lang w:val="fr-FR"/>
        </w:rPr>
        <w:t xml:space="preserve"> </w:t>
      </w:r>
      <w:proofErr w:type="spellStart"/>
      <w:r w:rsidRPr="00B23CD8">
        <w:rPr>
          <w:sz w:val="16"/>
          <w:szCs w:val="16"/>
          <w:lang w:val="fr-FR"/>
        </w:rPr>
        <w:t>Defence</w:t>
      </w:r>
      <w:proofErr w:type="spellEnd"/>
      <w:r w:rsidRPr="00B23CD8">
        <w:rPr>
          <w:sz w:val="16"/>
          <w:szCs w:val="16"/>
          <w:lang w:val="fr-FR"/>
        </w:rPr>
        <w:t xml:space="preserve"> Council (</w:t>
      </w:r>
      <w:proofErr w:type="spellStart"/>
      <w:r w:rsidRPr="00B23CD8">
        <w:rPr>
          <w:sz w:val="16"/>
          <w:szCs w:val="16"/>
          <w:lang w:val="fr-FR"/>
        </w:rPr>
        <w:t>NRDC</w:t>
      </w:r>
      <w:proofErr w:type="spellEnd"/>
      <w:r w:rsidRPr="00B23CD8">
        <w:rPr>
          <w:sz w:val="16"/>
          <w:szCs w:val="16"/>
          <w:lang w:val="fr-FR"/>
        </w:rPr>
        <w:t>), l</w:t>
      </w:r>
      <w:r w:rsidR="00B34E4F">
        <w:rPr>
          <w:sz w:val="16"/>
          <w:szCs w:val="16"/>
          <w:lang w:val="fr-FR"/>
        </w:rPr>
        <w:t>’</w:t>
      </w:r>
      <w:r w:rsidRPr="00B23CD8">
        <w:rPr>
          <w:sz w:val="16"/>
          <w:szCs w:val="16"/>
          <w:lang w:val="fr-FR"/>
        </w:rPr>
        <w:t>Université de Hong Kong.</w:t>
      </w:r>
    </w:p>
    <w:p w14:paraId="1C073992" w14:textId="77777777" w:rsidR="0016755A" w:rsidRPr="00B23CD8" w:rsidRDefault="0016755A" w:rsidP="0016755A">
      <w:pPr>
        <w:pStyle w:val="FootnoteText"/>
        <w:rPr>
          <w:sz w:val="16"/>
          <w:szCs w:val="16"/>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69EF" w14:textId="77777777" w:rsidR="00C77AD9" w:rsidRDefault="00374D85">
    <w:pPr>
      <w:pStyle w:val="Header"/>
    </w:pPr>
    <w:r>
      <w:rPr>
        <w:noProof/>
      </w:rPr>
      <w:pict w14:anchorId="3725E602">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F5B876">
        <v:shape id="_x0000_s1025" type="#_x0000_m104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42C3E6" w14:textId="77777777" w:rsidR="009A1226" w:rsidRDefault="009A1226"/>
  <w:p w14:paraId="7B6232BB" w14:textId="77777777" w:rsidR="00C77AD9" w:rsidRDefault="00374D85">
    <w:pPr>
      <w:pStyle w:val="Header"/>
    </w:pPr>
    <w:r>
      <w:rPr>
        <w:noProof/>
      </w:rPr>
      <w:pict w14:anchorId="44B2699F">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8AE20A">
        <v:shape id="_x0000_s1027" type="#_x0000_m104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1412A98" w14:textId="77777777" w:rsidR="009A1226" w:rsidRDefault="009A1226"/>
  <w:p w14:paraId="3C0BCA08" w14:textId="77777777" w:rsidR="00C77AD9" w:rsidRDefault="00374D85">
    <w:pPr>
      <w:pStyle w:val="Header"/>
    </w:pPr>
    <w:r>
      <w:rPr>
        <w:noProof/>
      </w:rPr>
      <w:pict w14:anchorId="6A0E54F9">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DECF44">
        <v:shape id="_x0000_s1029"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EE18" w14:textId="78D88D1E" w:rsidR="00C160F5" w:rsidRPr="00DD20B2" w:rsidRDefault="00C160F5" w:rsidP="00C160F5">
    <w:pPr>
      <w:pStyle w:val="Header"/>
      <w:rPr>
        <w:sz w:val="18"/>
        <w:szCs w:val="18"/>
      </w:rPr>
    </w:pPr>
    <w:proofErr w:type="spellStart"/>
    <w:r w:rsidRPr="00DD20B2">
      <w:rPr>
        <w:sz w:val="18"/>
        <w:szCs w:val="18"/>
      </w:rPr>
      <w:t>SERCOM</w:t>
    </w:r>
    <w:proofErr w:type="spellEnd"/>
    <w:r w:rsidRPr="00DD20B2">
      <w:rPr>
        <w:sz w:val="18"/>
        <w:szCs w:val="18"/>
      </w:rPr>
      <w:t>-2/INF. 5.10</w:t>
    </w:r>
    <w:r w:rsidRPr="00DD20B2">
      <w:rPr>
        <w:sz w:val="18"/>
        <w:szCs w:val="18"/>
        <w:lang w:val="en-CH"/>
      </w:rPr>
      <w:t>(</w:t>
    </w:r>
    <w:r w:rsidRPr="00DD20B2">
      <w:rPr>
        <w:sz w:val="18"/>
        <w:szCs w:val="18"/>
      </w:rPr>
      <w:t>1</w:t>
    </w:r>
    <w:r w:rsidRPr="00DD20B2">
      <w:rPr>
        <w:sz w:val="18"/>
        <w:szCs w:val="18"/>
        <w:lang w:val="en-CH"/>
      </w:rPr>
      <w:t>b)</w:t>
    </w:r>
    <w:r w:rsidRPr="00DD20B2">
      <w:rPr>
        <w:sz w:val="18"/>
        <w:szCs w:val="18"/>
      </w:rPr>
      <w:t xml:space="preserve">, p. </w:t>
    </w:r>
    <w:r w:rsidRPr="00DD20B2">
      <w:rPr>
        <w:rStyle w:val="PageNumber"/>
        <w:sz w:val="18"/>
        <w:szCs w:val="18"/>
      </w:rPr>
      <w:fldChar w:fldCharType="begin"/>
    </w:r>
    <w:r w:rsidRPr="00DD20B2">
      <w:rPr>
        <w:rStyle w:val="PageNumber"/>
        <w:sz w:val="18"/>
        <w:szCs w:val="18"/>
      </w:rPr>
      <w:instrText xml:space="preserve"> PAGE </w:instrText>
    </w:r>
    <w:r w:rsidRPr="00DD20B2">
      <w:rPr>
        <w:rStyle w:val="PageNumber"/>
        <w:sz w:val="18"/>
        <w:szCs w:val="18"/>
      </w:rPr>
      <w:fldChar w:fldCharType="separate"/>
    </w:r>
    <w:r>
      <w:rPr>
        <w:rStyle w:val="PageNumber"/>
        <w:sz w:val="18"/>
        <w:szCs w:val="18"/>
      </w:rPr>
      <w:t>13</w:t>
    </w:r>
    <w:r w:rsidRPr="00DD20B2">
      <w:rPr>
        <w:rStyle w:val="PageNumber"/>
        <w:sz w:val="18"/>
        <w:szCs w:val="18"/>
      </w:rPr>
      <w:fldChar w:fldCharType="end"/>
    </w:r>
    <w:r w:rsidRPr="00DD20B2">
      <w:rPr>
        <w:noProof/>
        <w:sz w:val="18"/>
        <w:szCs w:val="18"/>
      </w:rPr>
      <mc:AlternateContent>
        <mc:Choice Requires="wps">
          <w:drawing>
            <wp:anchor distT="0" distB="0" distL="114300" distR="114300" simplePos="0" relativeHeight="251672576" behindDoc="0" locked="0" layoutInCell="1" allowOverlap="1" wp14:anchorId="29662A93" wp14:editId="5F0C6055">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9AFC" id="Rectangle 14"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D20B2">
      <w:rPr>
        <w:noProof/>
        <w:sz w:val="18"/>
        <w:szCs w:val="18"/>
      </w:rPr>
      <mc:AlternateContent>
        <mc:Choice Requires="wps">
          <w:drawing>
            <wp:anchor distT="0" distB="0" distL="114300" distR="114300" simplePos="0" relativeHeight="251673600" behindDoc="0" locked="0" layoutInCell="1" allowOverlap="1" wp14:anchorId="4F7C13A8" wp14:editId="5C580AF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DF69" id="Rectangle 13"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F374" w14:textId="7BA62D32" w:rsidR="00C3780B" w:rsidRPr="00DD20B2" w:rsidRDefault="00C3780B" w:rsidP="00C160F5">
    <w:pPr>
      <w:pStyle w:val="Header"/>
      <w:spacing w:after="0"/>
      <w:rPr>
        <w:sz w:val="18"/>
        <w:szCs w:val="18"/>
      </w:rPr>
    </w:pPr>
    <w:r w:rsidRPr="00DD20B2">
      <w:rPr>
        <w:noProof/>
        <w:sz w:val="18"/>
        <w:szCs w:val="18"/>
      </w:rPr>
      <mc:AlternateContent>
        <mc:Choice Requires="wps">
          <w:drawing>
            <wp:anchor distT="0" distB="0" distL="114300" distR="114300" simplePos="0" relativeHeight="251666432" behindDoc="0" locked="0" layoutInCell="1" allowOverlap="1" wp14:anchorId="44BA0247" wp14:editId="5B8675DE">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DCA91" id="Rectangle 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D20B2">
      <w:rPr>
        <w:noProof/>
        <w:sz w:val="18"/>
        <w:szCs w:val="18"/>
      </w:rPr>
      <mc:AlternateContent>
        <mc:Choice Requires="wps">
          <w:drawing>
            <wp:anchor distT="0" distB="0" distL="114300" distR="114300" simplePos="0" relativeHeight="251667456" behindDoc="0" locked="0" layoutInCell="1" allowOverlap="1" wp14:anchorId="2EF64A37" wp14:editId="18827DC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F928B" id="Rectangle 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AF47" w14:textId="77777777" w:rsidR="00937B29" w:rsidRPr="00DD20B2" w:rsidRDefault="00937B29" w:rsidP="00C3780B">
    <w:pPr>
      <w:pStyle w:val="Header"/>
      <w:rPr>
        <w:sz w:val="18"/>
        <w:szCs w:val="18"/>
      </w:rPr>
    </w:pPr>
    <w:proofErr w:type="spellStart"/>
    <w:r w:rsidRPr="00DD20B2">
      <w:rPr>
        <w:sz w:val="18"/>
        <w:szCs w:val="18"/>
      </w:rPr>
      <w:t>SERCOM</w:t>
    </w:r>
    <w:proofErr w:type="spellEnd"/>
    <w:r w:rsidRPr="00DD20B2">
      <w:rPr>
        <w:sz w:val="18"/>
        <w:szCs w:val="18"/>
      </w:rPr>
      <w:t>-2/INF. 5.10</w:t>
    </w:r>
    <w:r w:rsidRPr="00DD20B2">
      <w:rPr>
        <w:sz w:val="18"/>
        <w:szCs w:val="18"/>
        <w:lang w:val="en-CH"/>
      </w:rPr>
      <w:t>(</w:t>
    </w:r>
    <w:r w:rsidRPr="00DD20B2">
      <w:rPr>
        <w:sz w:val="18"/>
        <w:szCs w:val="18"/>
      </w:rPr>
      <w:t>1</w:t>
    </w:r>
    <w:r w:rsidRPr="00DD20B2">
      <w:rPr>
        <w:sz w:val="18"/>
        <w:szCs w:val="18"/>
        <w:lang w:val="en-CH"/>
      </w:rPr>
      <w:t>b)</w:t>
    </w:r>
    <w:r w:rsidRPr="00DD20B2">
      <w:rPr>
        <w:sz w:val="18"/>
        <w:szCs w:val="18"/>
      </w:rPr>
      <w:t xml:space="preserve">, p. </w:t>
    </w:r>
    <w:r w:rsidRPr="00DD20B2">
      <w:rPr>
        <w:rStyle w:val="PageNumber"/>
        <w:sz w:val="18"/>
        <w:szCs w:val="18"/>
      </w:rPr>
      <w:fldChar w:fldCharType="begin"/>
    </w:r>
    <w:r w:rsidRPr="00DD20B2">
      <w:rPr>
        <w:rStyle w:val="PageNumber"/>
        <w:sz w:val="18"/>
        <w:szCs w:val="18"/>
      </w:rPr>
      <w:instrText xml:space="preserve"> PAGE </w:instrText>
    </w:r>
    <w:r w:rsidRPr="00DD20B2">
      <w:rPr>
        <w:rStyle w:val="PageNumber"/>
        <w:sz w:val="18"/>
        <w:szCs w:val="18"/>
      </w:rPr>
      <w:fldChar w:fldCharType="separate"/>
    </w:r>
    <w:r>
      <w:rPr>
        <w:rStyle w:val="PageNumber"/>
        <w:sz w:val="18"/>
        <w:szCs w:val="18"/>
      </w:rPr>
      <w:t>13</w:t>
    </w:r>
    <w:r w:rsidRPr="00DD20B2">
      <w:rPr>
        <w:rStyle w:val="PageNumber"/>
        <w:sz w:val="18"/>
        <w:szCs w:val="18"/>
      </w:rPr>
      <w:fldChar w:fldCharType="end"/>
    </w:r>
    <w:r w:rsidRPr="00DD20B2">
      <w:rPr>
        <w:noProof/>
        <w:sz w:val="18"/>
        <w:szCs w:val="18"/>
      </w:rPr>
      <mc:AlternateContent>
        <mc:Choice Requires="wps">
          <w:drawing>
            <wp:anchor distT="0" distB="0" distL="114300" distR="114300" simplePos="0" relativeHeight="251669504" behindDoc="0" locked="0" layoutInCell="1" allowOverlap="1" wp14:anchorId="3B713D37" wp14:editId="02463BB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10F41" id="Rectangle 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D20B2">
      <w:rPr>
        <w:noProof/>
        <w:sz w:val="18"/>
        <w:szCs w:val="18"/>
      </w:rPr>
      <mc:AlternateContent>
        <mc:Choice Requires="wps">
          <w:drawing>
            <wp:anchor distT="0" distB="0" distL="114300" distR="114300" simplePos="0" relativeHeight="251670528" behindDoc="0" locked="0" layoutInCell="1" allowOverlap="1" wp14:anchorId="5B6E12C1" wp14:editId="28D25B32">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92F1" id="Rectangle 1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79A"/>
    <w:multiLevelType w:val="hybridMultilevel"/>
    <w:tmpl w:val="EAAC4906"/>
    <w:lvl w:ilvl="0" w:tplc="FFFFFFFF">
      <w:start w:val="1"/>
      <w:numFmt w:val="lowerRoman"/>
      <w:lvlText w:val="%1)"/>
      <w:lvlJc w:val="righ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 w15:restartNumberingAfterBreak="0">
    <w:nsid w:val="142C0B9B"/>
    <w:multiLevelType w:val="hybridMultilevel"/>
    <w:tmpl w:val="05422AB4"/>
    <w:lvl w:ilvl="0" w:tplc="862A6CFA">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0901F5"/>
    <w:multiLevelType w:val="hybridMultilevel"/>
    <w:tmpl w:val="9764796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E705EA7"/>
    <w:multiLevelType w:val="hybridMultilevel"/>
    <w:tmpl w:val="EAAC4906"/>
    <w:lvl w:ilvl="0" w:tplc="FFFFFFFF">
      <w:start w:val="1"/>
      <w:numFmt w:val="lowerRoman"/>
      <w:lvlText w:val="%1)"/>
      <w:lvlJc w:val="righ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15:restartNumberingAfterBreak="0">
    <w:nsid w:val="20E52598"/>
    <w:multiLevelType w:val="hybridMultilevel"/>
    <w:tmpl w:val="427845A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0A12A4"/>
    <w:multiLevelType w:val="hybridMultilevel"/>
    <w:tmpl w:val="7582822E"/>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A2B93"/>
    <w:multiLevelType w:val="hybridMultilevel"/>
    <w:tmpl w:val="427845A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A613CB"/>
    <w:multiLevelType w:val="hybridMultilevel"/>
    <w:tmpl w:val="379CE468"/>
    <w:lvl w:ilvl="0" w:tplc="862A6CFA">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BB261D6"/>
    <w:multiLevelType w:val="hybridMultilevel"/>
    <w:tmpl w:val="7208FF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CB103CF"/>
    <w:multiLevelType w:val="hybridMultilevel"/>
    <w:tmpl w:val="F4F4C44C"/>
    <w:lvl w:ilvl="0" w:tplc="862A6CFA">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3E2CE9"/>
    <w:multiLevelType w:val="hybridMultilevel"/>
    <w:tmpl w:val="EAAC4906"/>
    <w:lvl w:ilvl="0" w:tplc="FFFFFFFF">
      <w:start w:val="1"/>
      <w:numFmt w:val="lowerRoman"/>
      <w:lvlText w:val="%1)"/>
      <w:lvlJc w:val="righ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43F42278"/>
    <w:multiLevelType w:val="hybridMultilevel"/>
    <w:tmpl w:val="03984D6A"/>
    <w:lvl w:ilvl="0" w:tplc="E3C24836">
      <w:start w:val="1"/>
      <w:numFmt w:val="decimal"/>
      <w:lvlText w:val="%1."/>
      <w:lvlJc w:val="left"/>
      <w:pPr>
        <w:tabs>
          <w:tab w:val="num" w:pos="720"/>
        </w:tabs>
        <w:ind w:left="720" w:hanging="360"/>
      </w:pPr>
    </w:lvl>
    <w:lvl w:ilvl="1" w:tplc="A62E9FC0" w:tentative="1">
      <w:start w:val="1"/>
      <w:numFmt w:val="decimal"/>
      <w:lvlText w:val="%2."/>
      <w:lvlJc w:val="left"/>
      <w:pPr>
        <w:tabs>
          <w:tab w:val="num" w:pos="1440"/>
        </w:tabs>
        <w:ind w:left="1440" w:hanging="360"/>
      </w:pPr>
    </w:lvl>
    <w:lvl w:ilvl="2" w:tplc="0DB8963E" w:tentative="1">
      <w:start w:val="1"/>
      <w:numFmt w:val="decimal"/>
      <w:lvlText w:val="%3."/>
      <w:lvlJc w:val="left"/>
      <w:pPr>
        <w:tabs>
          <w:tab w:val="num" w:pos="2160"/>
        </w:tabs>
        <w:ind w:left="2160" w:hanging="360"/>
      </w:pPr>
    </w:lvl>
    <w:lvl w:ilvl="3" w:tplc="4A12233C" w:tentative="1">
      <w:start w:val="1"/>
      <w:numFmt w:val="decimal"/>
      <w:lvlText w:val="%4."/>
      <w:lvlJc w:val="left"/>
      <w:pPr>
        <w:tabs>
          <w:tab w:val="num" w:pos="2880"/>
        </w:tabs>
        <w:ind w:left="2880" w:hanging="360"/>
      </w:pPr>
    </w:lvl>
    <w:lvl w:ilvl="4" w:tplc="F8F0C2B8" w:tentative="1">
      <w:start w:val="1"/>
      <w:numFmt w:val="decimal"/>
      <w:lvlText w:val="%5."/>
      <w:lvlJc w:val="left"/>
      <w:pPr>
        <w:tabs>
          <w:tab w:val="num" w:pos="3600"/>
        </w:tabs>
        <w:ind w:left="3600" w:hanging="360"/>
      </w:pPr>
    </w:lvl>
    <w:lvl w:ilvl="5" w:tplc="B0762EAE" w:tentative="1">
      <w:start w:val="1"/>
      <w:numFmt w:val="decimal"/>
      <w:lvlText w:val="%6."/>
      <w:lvlJc w:val="left"/>
      <w:pPr>
        <w:tabs>
          <w:tab w:val="num" w:pos="4320"/>
        </w:tabs>
        <w:ind w:left="4320" w:hanging="360"/>
      </w:pPr>
    </w:lvl>
    <w:lvl w:ilvl="6" w:tplc="2CC27378" w:tentative="1">
      <w:start w:val="1"/>
      <w:numFmt w:val="decimal"/>
      <w:lvlText w:val="%7."/>
      <w:lvlJc w:val="left"/>
      <w:pPr>
        <w:tabs>
          <w:tab w:val="num" w:pos="5040"/>
        </w:tabs>
        <w:ind w:left="5040" w:hanging="360"/>
      </w:pPr>
    </w:lvl>
    <w:lvl w:ilvl="7" w:tplc="543CDE9C" w:tentative="1">
      <w:start w:val="1"/>
      <w:numFmt w:val="decimal"/>
      <w:lvlText w:val="%8."/>
      <w:lvlJc w:val="left"/>
      <w:pPr>
        <w:tabs>
          <w:tab w:val="num" w:pos="5760"/>
        </w:tabs>
        <w:ind w:left="5760" w:hanging="360"/>
      </w:pPr>
    </w:lvl>
    <w:lvl w:ilvl="8" w:tplc="C364750A" w:tentative="1">
      <w:start w:val="1"/>
      <w:numFmt w:val="decimal"/>
      <w:lvlText w:val="%9."/>
      <w:lvlJc w:val="left"/>
      <w:pPr>
        <w:tabs>
          <w:tab w:val="num" w:pos="6480"/>
        </w:tabs>
        <w:ind w:left="6480" w:hanging="360"/>
      </w:pPr>
    </w:lvl>
  </w:abstractNum>
  <w:abstractNum w:abstractNumId="12" w15:restartNumberingAfterBreak="0">
    <w:nsid w:val="44E554E4"/>
    <w:multiLevelType w:val="hybridMultilevel"/>
    <w:tmpl w:val="77569E8C"/>
    <w:lvl w:ilvl="0" w:tplc="862A6CFA">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58B1611"/>
    <w:multiLevelType w:val="hybridMultilevel"/>
    <w:tmpl w:val="427845AA"/>
    <w:lvl w:ilvl="0" w:tplc="040C0011">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A31A83"/>
    <w:multiLevelType w:val="hybridMultilevel"/>
    <w:tmpl w:val="EAAC4906"/>
    <w:lvl w:ilvl="0" w:tplc="FFFFFFFF">
      <w:start w:val="1"/>
      <w:numFmt w:val="lowerRoman"/>
      <w:lvlText w:val="%1)"/>
      <w:lvlJc w:val="righ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5" w15:restartNumberingAfterBreak="0">
    <w:nsid w:val="52321BF9"/>
    <w:multiLevelType w:val="hybridMultilevel"/>
    <w:tmpl w:val="EAAC4906"/>
    <w:lvl w:ilvl="0" w:tplc="FFFFFFFF">
      <w:start w:val="1"/>
      <w:numFmt w:val="lowerRoman"/>
      <w:lvlText w:val="%1)"/>
      <w:lvlJc w:val="righ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6" w15:restartNumberingAfterBreak="0">
    <w:nsid w:val="56966FC8"/>
    <w:multiLevelType w:val="hybridMultilevel"/>
    <w:tmpl w:val="49CA54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1710982"/>
    <w:multiLevelType w:val="hybridMultilevel"/>
    <w:tmpl w:val="7582822E"/>
    <w:lvl w:ilvl="0" w:tplc="862A6CFA">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5082CAA"/>
    <w:multiLevelType w:val="hybridMultilevel"/>
    <w:tmpl w:val="EAAC4906"/>
    <w:lvl w:ilvl="0" w:tplc="862A6CFA">
      <w:start w:val="1"/>
      <w:numFmt w:val="lowerRoman"/>
      <w:lvlText w:val="%1)"/>
      <w:lvlJc w:val="right"/>
      <w:pPr>
        <w:ind w:left="1430" w:hanging="72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9" w15:restartNumberingAfterBreak="0">
    <w:nsid w:val="67CE1D86"/>
    <w:multiLevelType w:val="hybridMultilevel"/>
    <w:tmpl w:val="EAAC4906"/>
    <w:lvl w:ilvl="0" w:tplc="FFFFFFFF">
      <w:start w:val="1"/>
      <w:numFmt w:val="lowerRoman"/>
      <w:lvlText w:val="%1)"/>
      <w:lvlJc w:val="righ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0" w15:restartNumberingAfterBreak="0">
    <w:nsid w:val="6AB450A6"/>
    <w:multiLevelType w:val="hybridMultilevel"/>
    <w:tmpl w:val="6380BBC0"/>
    <w:lvl w:ilvl="0" w:tplc="F12E0B3C">
      <w:start w:val="2"/>
      <w:numFmt w:val="bullet"/>
      <w:lvlText w:val="•"/>
      <w:lvlJc w:val="left"/>
      <w:pPr>
        <w:ind w:left="1494" w:hanging="360"/>
      </w:pPr>
      <w:rPr>
        <w:rFonts w:ascii="Verdana" w:eastAsia="Verdana" w:hAnsi="Verdana" w:cs="Verdana"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6BFE2C07"/>
    <w:multiLevelType w:val="hybridMultilevel"/>
    <w:tmpl w:val="E2AA3C3E"/>
    <w:lvl w:ilvl="0" w:tplc="862A6CFA">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D9C4E87"/>
    <w:multiLevelType w:val="hybridMultilevel"/>
    <w:tmpl w:val="C4B004FC"/>
    <w:lvl w:ilvl="0" w:tplc="20000001">
      <w:start w:val="1"/>
      <w:numFmt w:val="bullet"/>
      <w:lvlText w:val=""/>
      <w:lvlJc w:val="left"/>
      <w:pPr>
        <w:ind w:left="1080" w:hanging="72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41C248A"/>
    <w:multiLevelType w:val="hybridMultilevel"/>
    <w:tmpl w:val="427845A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6E3F59"/>
    <w:multiLevelType w:val="hybridMultilevel"/>
    <w:tmpl w:val="EAAC4906"/>
    <w:lvl w:ilvl="0" w:tplc="FFFFFFFF">
      <w:start w:val="1"/>
      <w:numFmt w:val="lowerRoman"/>
      <w:lvlText w:val="%1)"/>
      <w:lvlJc w:val="right"/>
      <w:pPr>
        <w:ind w:left="1430" w:hanging="72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16cid:durableId="928080702">
    <w:abstractNumId w:val="17"/>
  </w:num>
  <w:num w:numId="2" w16cid:durableId="760024018">
    <w:abstractNumId w:val="18"/>
  </w:num>
  <w:num w:numId="3" w16cid:durableId="282077171">
    <w:abstractNumId w:val="12"/>
  </w:num>
  <w:num w:numId="4" w16cid:durableId="1227372012">
    <w:abstractNumId w:val="9"/>
  </w:num>
  <w:num w:numId="5" w16cid:durableId="1610895002">
    <w:abstractNumId w:val="7"/>
  </w:num>
  <w:num w:numId="6" w16cid:durableId="2141721216">
    <w:abstractNumId w:val="21"/>
  </w:num>
  <w:num w:numId="7" w16cid:durableId="704136762">
    <w:abstractNumId w:val="1"/>
  </w:num>
  <w:num w:numId="8" w16cid:durableId="2052655560">
    <w:abstractNumId w:val="8"/>
  </w:num>
  <w:num w:numId="9" w16cid:durableId="926573257">
    <w:abstractNumId w:val="11"/>
  </w:num>
  <w:num w:numId="10" w16cid:durableId="778915522">
    <w:abstractNumId w:val="13"/>
  </w:num>
  <w:num w:numId="11" w16cid:durableId="621695470">
    <w:abstractNumId w:val="22"/>
  </w:num>
  <w:num w:numId="12" w16cid:durableId="264002614">
    <w:abstractNumId w:val="2"/>
  </w:num>
  <w:num w:numId="13" w16cid:durableId="1852404321">
    <w:abstractNumId w:val="16"/>
  </w:num>
  <w:num w:numId="14" w16cid:durableId="1634826205">
    <w:abstractNumId w:val="5"/>
  </w:num>
  <w:num w:numId="15" w16cid:durableId="1611813729">
    <w:abstractNumId w:val="20"/>
  </w:num>
  <w:num w:numId="16" w16cid:durableId="26952270">
    <w:abstractNumId w:val="24"/>
  </w:num>
  <w:num w:numId="17" w16cid:durableId="1585991363">
    <w:abstractNumId w:val="15"/>
  </w:num>
  <w:num w:numId="18" w16cid:durableId="1430814626">
    <w:abstractNumId w:val="19"/>
  </w:num>
  <w:num w:numId="19" w16cid:durableId="1643267800">
    <w:abstractNumId w:val="4"/>
  </w:num>
  <w:num w:numId="20" w16cid:durableId="2008050557">
    <w:abstractNumId w:val="23"/>
  </w:num>
  <w:num w:numId="21" w16cid:durableId="131868542">
    <w:abstractNumId w:val="3"/>
  </w:num>
  <w:num w:numId="22" w16cid:durableId="694236006">
    <w:abstractNumId w:val="0"/>
  </w:num>
  <w:num w:numId="23" w16cid:durableId="1424565783">
    <w:abstractNumId w:val="14"/>
  </w:num>
  <w:num w:numId="24" w16cid:durableId="518812991">
    <w:abstractNumId w:val="10"/>
  </w:num>
  <w:num w:numId="25" w16cid:durableId="158368324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93"/>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6D4"/>
    <w:rsid w:val="00092CAE"/>
    <w:rsid w:val="00095E48"/>
    <w:rsid w:val="000A4F1C"/>
    <w:rsid w:val="000A69BF"/>
    <w:rsid w:val="000C1960"/>
    <w:rsid w:val="000C225A"/>
    <w:rsid w:val="000C6781"/>
    <w:rsid w:val="000D0753"/>
    <w:rsid w:val="000F5E49"/>
    <w:rsid w:val="000F7A87"/>
    <w:rsid w:val="001006A3"/>
    <w:rsid w:val="00102EAE"/>
    <w:rsid w:val="001047DC"/>
    <w:rsid w:val="00105D2E"/>
    <w:rsid w:val="00106840"/>
    <w:rsid w:val="00111BFD"/>
    <w:rsid w:val="0011498B"/>
    <w:rsid w:val="00120147"/>
    <w:rsid w:val="00121AE7"/>
    <w:rsid w:val="00123140"/>
    <w:rsid w:val="00123D94"/>
    <w:rsid w:val="00130BBC"/>
    <w:rsid w:val="00133D13"/>
    <w:rsid w:val="00137BD9"/>
    <w:rsid w:val="00150DBD"/>
    <w:rsid w:val="001514DD"/>
    <w:rsid w:val="0015461C"/>
    <w:rsid w:val="00156F9B"/>
    <w:rsid w:val="00163BA3"/>
    <w:rsid w:val="00166B31"/>
    <w:rsid w:val="0016755A"/>
    <w:rsid w:val="00167D54"/>
    <w:rsid w:val="00176AB5"/>
    <w:rsid w:val="00180771"/>
    <w:rsid w:val="00190854"/>
    <w:rsid w:val="001930A3"/>
    <w:rsid w:val="00196EB8"/>
    <w:rsid w:val="001A25F0"/>
    <w:rsid w:val="001A341E"/>
    <w:rsid w:val="001B0EA6"/>
    <w:rsid w:val="001B1CDF"/>
    <w:rsid w:val="001B2EC4"/>
    <w:rsid w:val="001B56F4"/>
    <w:rsid w:val="001B7DDB"/>
    <w:rsid w:val="001B7E76"/>
    <w:rsid w:val="001C5462"/>
    <w:rsid w:val="001D265C"/>
    <w:rsid w:val="001D3062"/>
    <w:rsid w:val="001D3CFB"/>
    <w:rsid w:val="001D559B"/>
    <w:rsid w:val="001D6302"/>
    <w:rsid w:val="001E2C22"/>
    <w:rsid w:val="001E740C"/>
    <w:rsid w:val="001E7DD0"/>
    <w:rsid w:val="001F1BDA"/>
    <w:rsid w:val="001F56C0"/>
    <w:rsid w:val="0020095E"/>
    <w:rsid w:val="00210BFE"/>
    <w:rsid w:val="00210D30"/>
    <w:rsid w:val="002138C6"/>
    <w:rsid w:val="002204FD"/>
    <w:rsid w:val="00221020"/>
    <w:rsid w:val="00227029"/>
    <w:rsid w:val="002308B5"/>
    <w:rsid w:val="00233C0B"/>
    <w:rsid w:val="00234A34"/>
    <w:rsid w:val="002350BB"/>
    <w:rsid w:val="002511EF"/>
    <w:rsid w:val="0025255D"/>
    <w:rsid w:val="00255EE3"/>
    <w:rsid w:val="00256B3D"/>
    <w:rsid w:val="0026743C"/>
    <w:rsid w:val="00270480"/>
    <w:rsid w:val="002779AF"/>
    <w:rsid w:val="002823D8"/>
    <w:rsid w:val="0028531A"/>
    <w:rsid w:val="00285446"/>
    <w:rsid w:val="00290082"/>
    <w:rsid w:val="00290A58"/>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47FD"/>
    <w:rsid w:val="002F6DAC"/>
    <w:rsid w:val="00301E8C"/>
    <w:rsid w:val="00303A68"/>
    <w:rsid w:val="00307DDD"/>
    <w:rsid w:val="003143C9"/>
    <w:rsid w:val="003146E9"/>
    <w:rsid w:val="00314D5D"/>
    <w:rsid w:val="00320009"/>
    <w:rsid w:val="0032424A"/>
    <w:rsid w:val="003245D3"/>
    <w:rsid w:val="00330AA3"/>
    <w:rsid w:val="00331584"/>
    <w:rsid w:val="00331964"/>
    <w:rsid w:val="00334987"/>
    <w:rsid w:val="00340C69"/>
    <w:rsid w:val="00342E34"/>
    <w:rsid w:val="00367D17"/>
    <w:rsid w:val="00371CF1"/>
    <w:rsid w:val="0037222D"/>
    <w:rsid w:val="00373128"/>
    <w:rsid w:val="00374D85"/>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310"/>
    <w:rsid w:val="003F7B3F"/>
    <w:rsid w:val="00401EFE"/>
    <w:rsid w:val="00404B75"/>
    <w:rsid w:val="004058AD"/>
    <w:rsid w:val="0041078D"/>
    <w:rsid w:val="00416F97"/>
    <w:rsid w:val="00425173"/>
    <w:rsid w:val="0043039B"/>
    <w:rsid w:val="00436197"/>
    <w:rsid w:val="004423FE"/>
    <w:rsid w:val="00445C35"/>
    <w:rsid w:val="00452194"/>
    <w:rsid w:val="00454B41"/>
    <w:rsid w:val="0045663A"/>
    <w:rsid w:val="0046344E"/>
    <w:rsid w:val="004667E7"/>
    <w:rsid w:val="004672CF"/>
    <w:rsid w:val="00470DEF"/>
    <w:rsid w:val="00475797"/>
    <w:rsid w:val="00476D0A"/>
    <w:rsid w:val="004873EE"/>
    <w:rsid w:val="00491024"/>
    <w:rsid w:val="0049253B"/>
    <w:rsid w:val="00496AE2"/>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17825"/>
    <w:rsid w:val="00521EA5"/>
    <w:rsid w:val="00525B80"/>
    <w:rsid w:val="0053098F"/>
    <w:rsid w:val="005324F6"/>
    <w:rsid w:val="00536B2E"/>
    <w:rsid w:val="00541B4F"/>
    <w:rsid w:val="00546D8E"/>
    <w:rsid w:val="00547813"/>
    <w:rsid w:val="00550B75"/>
    <w:rsid w:val="00553738"/>
    <w:rsid w:val="00553F7E"/>
    <w:rsid w:val="0056646F"/>
    <w:rsid w:val="005711FE"/>
    <w:rsid w:val="00571AE1"/>
    <w:rsid w:val="00581B28"/>
    <w:rsid w:val="005859C2"/>
    <w:rsid w:val="00592267"/>
    <w:rsid w:val="0059421F"/>
    <w:rsid w:val="005A136D"/>
    <w:rsid w:val="005A6D6E"/>
    <w:rsid w:val="005A7066"/>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259F"/>
    <w:rsid w:val="0068392D"/>
    <w:rsid w:val="00697DB5"/>
    <w:rsid w:val="006A1B33"/>
    <w:rsid w:val="006A492A"/>
    <w:rsid w:val="006B5C72"/>
    <w:rsid w:val="006B7C5A"/>
    <w:rsid w:val="006C289D"/>
    <w:rsid w:val="006D0310"/>
    <w:rsid w:val="006D2009"/>
    <w:rsid w:val="006D5576"/>
    <w:rsid w:val="006D7E69"/>
    <w:rsid w:val="006E766D"/>
    <w:rsid w:val="006F4B29"/>
    <w:rsid w:val="006F6CE9"/>
    <w:rsid w:val="006F7F3A"/>
    <w:rsid w:val="0070517C"/>
    <w:rsid w:val="00705C9F"/>
    <w:rsid w:val="00706140"/>
    <w:rsid w:val="00707B17"/>
    <w:rsid w:val="00716951"/>
    <w:rsid w:val="00720F6B"/>
    <w:rsid w:val="00730ADA"/>
    <w:rsid w:val="00732C37"/>
    <w:rsid w:val="00735D9E"/>
    <w:rsid w:val="0073714A"/>
    <w:rsid w:val="00745A09"/>
    <w:rsid w:val="00751EAF"/>
    <w:rsid w:val="00754CF7"/>
    <w:rsid w:val="00757B0D"/>
    <w:rsid w:val="00761320"/>
    <w:rsid w:val="007651B1"/>
    <w:rsid w:val="00767CE1"/>
    <w:rsid w:val="007717A0"/>
    <w:rsid w:val="00771A68"/>
    <w:rsid w:val="007744D2"/>
    <w:rsid w:val="00786136"/>
    <w:rsid w:val="00791294"/>
    <w:rsid w:val="007B05CF"/>
    <w:rsid w:val="007C212A"/>
    <w:rsid w:val="007D01EF"/>
    <w:rsid w:val="007D5B3C"/>
    <w:rsid w:val="007E7D21"/>
    <w:rsid w:val="007E7DBD"/>
    <w:rsid w:val="007F482F"/>
    <w:rsid w:val="007F6C9F"/>
    <w:rsid w:val="007F7C94"/>
    <w:rsid w:val="0080398D"/>
    <w:rsid w:val="00805174"/>
    <w:rsid w:val="00806385"/>
    <w:rsid w:val="00807CC5"/>
    <w:rsid w:val="00807ED7"/>
    <w:rsid w:val="00807EF1"/>
    <w:rsid w:val="00810AEA"/>
    <w:rsid w:val="00814CC6"/>
    <w:rsid w:val="00826D53"/>
    <w:rsid w:val="008273AA"/>
    <w:rsid w:val="00831751"/>
    <w:rsid w:val="00831D66"/>
    <w:rsid w:val="00833369"/>
    <w:rsid w:val="00835B42"/>
    <w:rsid w:val="00842A4E"/>
    <w:rsid w:val="00847D99"/>
    <w:rsid w:val="0085038E"/>
    <w:rsid w:val="0085230A"/>
    <w:rsid w:val="00855757"/>
    <w:rsid w:val="00860B9A"/>
    <w:rsid w:val="008618D8"/>
    <w:rsid w:val="0086271D"/>
    <w:rsid w:val="008639F1"/>
    <w:rsid w:val="0086420B"/>
    <w:rsid w:val="00864DBF"/>
    <w:rsid w:val="00865AE2"/>
    <w:rsid w:val="008663C8"/>
    <w:rsid w:val="0088163A"/>
    <w:rsid w:val="00893376"/>
    <w:rsid w:val="0089601F"/>
    <w:rsid w:val="008970B8"/>
    <w:rsid w:val="008A0AE4"/>
    <w:rsid w:val="008A140B"/>
    <w:rsid w:val="008A7313"/>
    <w:rsid w:val="008A7D91"/>
    <w:rsid w:val="008B5770"/>
    <w:rsid w:val="008B63C4"/>
    <w:rsid w:val="008B7FC7"/>
    <w:rsid w:val="008C4337"/>
    <w:rsid w:val="008C4F06"/>
    <w:rsid w:val="008D0C90"/>
    <w:rsid w:val="008E1E4A"/>
    <w:rsid w:val="008F0615"/>
    <w:rsid w:val="008F103E"/>
    <w:rsid w:val="008F1FDB"/>
    <w:rsid w:val="008F36FB"/>
    <w:rsid w:val="00902EA9"/>
    <w:rsid w:val="0090427F"/>
    <w:rsid w:val="00905820"/>
    <w:rsid w:val="0091482A"/>
    <w:rsid w:val="00920506"/>
    <w:rsid w:val="00931DEB"/>
    <w:rsid w:val="00933957"/>
    <w:rsid w:val="009356FA"/>
    <w:rsid w:val="00937B29"/>
    <w:rsid w:val="0094603B"/>
    <w:rsid w:val="009504A1"/>
    <w:rsid w:val="00950605"/>
    <w:rsid w:val="00952233"/>
    <w:rsid w:val="0095276F"/>
    <w:rsid w:val="00954D66"/>
    <w:rsid w:val="00963F8F"/>
    <w:rsid w:val="00973C62"/>
    <w:rsid w:val="00975D76"/>
    <w:rsid w:val="00982E51"/>
    <w:rsid w:val="00984F34"/>
    <w:rsid w:val="009874B9"/>
    <w:rsid w:val="00993581"/>
    <w:rsid w:val="00993D17"/>
    <w:rsid w:val="009A1226"/>
    <w:rsid w:val="009A288C"/>
    <w:rsid w:val="009A64C1"/>
    <w:rsid w:val="009A7954"/>
    <w:rsid w:val="009B1F93"/>
    <w:rsid w:val="009B6697"/>
    <w:rsid w:val="009C2B43"/>
    <w:rsid w:val="009C2EA4"/>
    <w:rsid w:val="009C4C04"/>
    <w:rsid w:val="009C62C5"/>
    <w:rsid w:val="009D39DA"/>
    <w:rsid w:val="009D5213"/>
    <w:rsid w:val="009E1C95"/>
    <w:rsid w:val="009E6948"/>
    <w:rsid w:val="009F196A"/>
    <w:rsid w:val="009F1F06"/>
    <w:rsid w:val="009F669B"/>
    <w:rsid w:val="009F7566"/>
    <w:rsid w:val="009F7F18"/>
    <w:rsid w:val="00A02A72"/>
    <w:rsid w:val="00A06BFE"/>
    <w:rsid w:val="00A10F5D"/>
    <w:rsid w:val="00A1199A"/>
    <w:rsid w:val="00A1243C"/>
    <w:rsid w:val="00A135AE"/>
    <w:rsid w:val="00A14AF1"/>
    <w:rsid w:val="00A16891"/>
    <w:rsid w:val="00A2098E"/>
    <w:rsid w:val="00A268CE"/>
    <w:rsid w:val="00A31F99"/>
    <w:rsid w:val="00A332E8"/>
    <w:rsid w:val="00A35AF5"/>
    <w:rsid w:val="00A35DDF"/>
    <w:rsid w:val="00A36CBA"/>
    <w:rsid w:val="00A432CD"/>
    <w:rsid w:val="00A45741"/>
    <w:rsid w:val="00A47EF6"/>
    <w:rsid w:val="00A50291"/>
    <w:rsid w:val="00A51F90"/>
    <w:rsid w:val="00A530E4"/>
    <w:rsid w:val="00A604CD"/>
    <w:rsid w:val="00A60FE6"/>
    <w:rsid w:val="00A622F5"/>
    <w:rsid w:val="00A654BE"/>
    <w:rsid w:val="00A66DD6"/>
    <w:rsid w:val="00A711EC"/>
    <w:rsid w:val="00A718EF"/>
    <w:rsid w:val="00A75018"/>
    <w:rsid w:val="00A75B02"/>
    <w:rsid w:val="00A771FD"/>
    <w:rsid w:val="00A80767"/>
    <w:rsid w:val="00A80F1D"/>
    <w:rsid w:val="00A81C90"/>
    <w:rsid w:val="00A874EF"/>
    <w:rsid w:val="00A91B34"/>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3CD8"/>
    <w:rsid w:val="00B32843"/>
    <w:rsid w:val="00B331CA"/>
    <w:rsid w:val="00B34E4F"/>
    <w:rsid w:val="00B424D9"/>
    <w:rsid w:val="00B447C0"/>
    <w:rsid w:val="00B52510"/>
    <w:rsid w:val="00B53E53"/>
    <w:rsid w:val="00B548A2"/>
    <w:rsid w:val="00B56934"/>
    <w:rsid w:val="00B62F03"/>
    <w:rsid w:val="00B72444"/>
    <w:rsid w:val="00B85085"/>
    <w:rsid w:val="00B908CE"/>
    <w:rsid w:val="00B914E7"/>
    <w:rsid w:val="00B93B62"/>
    <w:rsid w:val="00B953D1"/>
    <w:rsid w:val="00B96D93"/>
    <w:rsid w:val="00BA30D0"/>
    <w:rsid w:val="00BB0D32"/>
    <w:rsid w:val="00BB5D39"/>
    <w:rsid w:val="00BB6262"/>
    <w:rsid w:val="00BC76B5"/>
    <w:rsid w:val="00BD2147"/>
    <w:rsid w:val="00BD5420"/>
    <w:rsid w:val="00BF157E"/>
    <w:rsid w:val="00BF2360"/>
    <w:rsid w:val="00BF45FD"/>
    <w:rsid w:val="00BF5191"/>
    <w:rsid w:val="00BF6BB7"/>
    <w:rsid w:val="00C04BD2"/>
    <w:rsid w:val="00C13EEC"/>
    <w:rsid w:val="00C14689"/>
    <w:rsid w:val="00C156A4"/>
    <w:rsid w:val="00C160F5"/>
    <w:rsid w:val="00C20FAA"/>
    <w:rsid w:val="00C23509"/>
    <w:rsid w:val="00C2459D"/>
    <w:rsid w:val="00C2755A"/>
    <w:rsid w:val="00C316F1"/>
    <w:rsid w:val="00C3780B"/>
    <w:rsid w:val="00C42C95"/>
    <w:rsid w:val="00C4470F"/>
    <w:rsid w:val="00C50727"/>
    <w:rsid w:val="00C55E5B"/>
    <w:rsid w:val="00C57138"/>
    <w:rsid w:val="00C62739"/>
    <w:rsid w:val="00C648C8"/>
    <w:rsid w:val="00C720A4"/>
    <w:rsid w:val="00C74F59"/>
    <w:rsid w:val="00C7593B"/>
    <w:rsid w:val="00C7611C"/>
    <w:rsid w:val="00C77AD9"/>
    <w:rsid w:val="00C93DD3"/>
    <w:rsid w:val="00C94097"/>
    <w:rsid w:val="00C948C5"/>
    <w:rsid w:val="00CA0E6E"/>
    <w:rsid w:val="00CA4269"/>
    <w:rsid w:val="00CA48CA"/>
    <w:rsid w:val="00CA7330"/>
    <w:rsid w:val="00CB1C84"/>
    <w:rsid w:val="00CB5363"/>
    <w:rsid w:val="00CB64F0"/>
    <w:rsid w:val="00CC2909"/>
    <w:rsid w:val="00CD0549"/>
    <w:rsid w:val="00CE6B3C"/>
    <w:rsid w:val="00D05E6F"/>
    <w:rsid w:val="00D17EAA"/>
    <w:rsid w:val="00D20296"/>
    <w:rsid w:val="00D2231A"/>
    <w:rsid w:val="00D276BD"/>
    <w:rsid w:val="00D27929"/>
    <w:rsid w:val="00D33442"/>
    <w:rsid w:val="00D419C6"/>
    <w:rsid w:val="00D44BAD"/>
    <w:rsid w:val="00D45B55"/>
    <w:rsid w:val="00D4785A"/>
    <w:rsid w:val="00D52E43"/>
    <w:rsid w:val="00D534A5"/>
    <w:rsid w:val="00D664D7"/>
    <w:rsid w:val="00D67E1E"/>
    <w:rsid w:val="00D7097B"/>
    <w:rsid w:val="00D7197D"/>
    <w:rsid w:val="00D72BC4"/>
    <w:rsid w:val="00D765FA"/>
    <w:rsid w:val="00D815FC"/>
    <w:rsid w:val="00D8517B"/>
    <w:rsid w:val="00D91DFA"/>
    <w:rsid w:val="00DA159A"/>
    <w:rsid w:val="00DA7775"/>
    <w:rsid w:val="00DB1AB2"/>
    <w:rsid w:val="00DC17C2"/>
    <w:rsid w:val="00DC4FDF"/>
    <w:rsid w:val="00DC66F0"/>
    <w:rsid w:val="00DD20B2"/>
    <w:rsid w:val="00DD28CE"/>
    <w:rsid w:val="00DD3105"/>
    <w:rsid w:val="00DD3A65"/>
    <w:rsid w:val="00DD62C6"/>
    <w:rsid w:val="00DE3B92"/>
    <w:rsid w:val="00DE48B4"/>
    <w:rsid w:val="00DE5ACA"/>
    <w:rsid w:val="00DE7137"/>
    <w:rsid w:val="00DF18E4"/>
    <w:rsid w:val="00E00498"/>
    <w:rsid w:val="00E06ADF"/>
    <w:rsid w:val="00E1258A"/>
    <w:rsid w:val="00E143A4"/>
    <w:rsid w:val="00E1464C"/>
    <w:rsid w:val="00E14ADB"/>
    <w:rsid w:val="00E22367"/>
    <w:rsid w:val="00E22F78"/>
    <w:rsid w:val="00E2425D"/>
    <w:rsid w:val="00E24F87"/>
    <w:rsid w:val="00E2551D"/>
    <w:rsid w:val="00E2617A"/>
    <w:rsid w:val="00E273FB"/>
    <w:rsid w:val="00E31CD4"/>
    <w:rsid w:val="00E344E4"/>
    <w:rsid w:val="00E41727"/>
    <w:rsid w:val="00E538E6"/>
    <w:rsid w:val="00E53BA3"/>
    <w:rsid w:val="00E56696"/>
    <w:rsid w:val="00E63C1E"/>
    <w:rsid w:val="00E70BBB"/>
    <w:rsid w:val="00E74332"/>
    <w:rsid w:val="00E768A9"/>
    <w:rsid w:val="00E802A2"/>
    <w:rsid w:val="00E8410F"/>
    <w:rsid w:val="00E85C0B"/>
    <w:rsid w:val="00E93736"/>
    <w:rsid w:val="00E947AA"/>
    <w:rsid w:val="00EA7089"/>
    <w:rsid w:val="00EB13D7"/>
    <w:rsid w:val="00EB1E83"/>
    <w:rsid w:val="00ED22CB"/>
    <w:rsid w:val="00ED4BB1"/>
    <w:rsid w:val="00ED67AF"/>
    <w:rsid w:val="00EE11F0"/>
    <w:rsid w:val="00EE128C"/>
    <w:rsid w:val="00EE4C48"/>
    <w:rsid w:val="00EE5D2E"/>
    <w:rsid w:val="00EE7E6F"/>
    <w:rsid w:val="00EF1781"/>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1E05"/>
    <w:rsid w:val="00F95439"/>
    <w:rsid w:val="00FB0872"/>
    <w:rsid w:val="00FB2905"/>
    <w:rsid w:val="00FB54CC"/>
    <w:rsid w:val="00FC0631"/>
    <w:rsid w:val="00FD1A37"/>
    <w:rsid w:val="00FD4E5B"/>
    <w:rsid w:val="00FE30E0"/>
    <w:rsid w:val="00FE3E54"/>
    <w:rsid w:val="00FE4EE0"/>
    <w:rsid w:val="00FF0F9A"/>
    <w:rsid w:val="00FF582E"/>
    <w:rsid w:val="00FF596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FAF08"/>
  <w15:docId w15:val="{598CF26E-8C4C-424D-8A98-A6C3C276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0E0"/>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16755A"/>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6755A"/>
    <w:rPr>
      <w:rFonts w:ascii="Verdana" w:eastAsia="Arial" w:hAnsi="Verdana" w:cs="Arial"/>
      <w:lang w:val="en-GB" w:eastAsia="en-US"/>
    </w:rPr>
  </w:style>
  <w:style w:type="paragraph" w:styleId="NoSpacing">
    <w:name w:val="No Spacing"/>
    <w:uiPriority w:val="1"/>
    <w:qFormat/>
    <w:rsid w:val="0016755A"/>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sid w:val="0016755A"/>
    <w:rPr>
      <w:rFonts w:ascii="Verdana" w:eastAsia="Arial" w:hAnsi="Verdana" w:cs="Arial"/>
      <w:b/>
      <w:bCs/>
      <w:kern w:val="28"/>
      <w:sz w:val="32"/>
      <w:szCs w:val="32"/>
      <w:lang w:val="en-GB" w:eastAsia="en-US"/>
    </w:rPr>
  </w:style>
  <w:style w:type="paragraph" w:styleId="Caption">
    <w:name w:val="caption"/>
    <w:basedOn w:val="Normal"/>
    <w:next w:val="Normal"/>
    <w:uiPriority w:val="35"/>
    <w:unhideWhenUsed/>
    <w:qFormat/>
    <w:rsid w:val="0016755A"/>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character" w:customStyle="1" w:styleId="HeaderChar">
    <w:name w:val="Header Char"/>
    <w:basedOn w:val="DefaultParagraphFont"/>
    <w:link w:val="Header"/>
    <w:rsid w:val="00C3780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hhin.org/lega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hhin.org/leg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EB6961F2-CC88-4459-8F1D-CE8359FF84B2}"/>
</file>

<file path=customXml/itemProps2.xml><?xml version="1.0" encoding="utf-8"?>
<ds:datastoreItem xmlns:ds="http://schemas.openxmlformats.org/officeDocument/2006/customXml" ds:itemID="{33D9A182-8EB9-4DE6-B38B-4346AD3B687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purl.org/dc/dcmitype/"/>
    <ds:schemaRef ds:uri="http://purl.org/dc/elements/1.1/"/>
    <ds:schemaRef ds:uri="http://schemas.microsoft.com/office/2006/documentManagement/types"/>
    <ds:schemaRef ds:uri="ce21bc6c-711a-4065-a01c-a8f0e29e3ad8"/>
    <ds:schemaRef ds:uri="http://schemas.microsoft.com/office/2006/metadata/properties"/>
    <ds:schemaRef ds:uri="http://purl.org/dc/terms/"/>
    <ds:schemaRef ds:uri="http://schemas.microsoft.com/office/infopath/2007/PartnerControls"/>
    <ds:schemaRef ds:uri="http://schemas.openxmlformats.org/package/2006/metadata/core-properties"/>
    <ds:schemaRef ds:uri="3679bf0f-1d7e-438f-afa5-6ebf1e20f9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18</Pages>
  <Words>5888</Words>
  <Characters>29620</Characters>
  <Application>Microsoft Office Word</Application>
  <DocSecurity>0</DocSecurity>
  <Lines>759</Lines>
  <Paragraphs>433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35075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Joy Shumake-Guillemot</dc:creator>
  <cp:lastModifiedBy>Geneviève Delajod</cp:lastModifiedBy>
  <cp:revision>85</cp:revision>
  <cp:lastPrinted>2013-03-12T09:27:00Z</cp:lastPrinted>
  <dcterms:created xsi:type="dcterms:W3CDTF">2022-10-03T13:11:00Z</dcterms:created>
  <dcterms:modified xsi:type="dcterms:W3CDTF">2022-10-07T20:33:00Z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elina.labadie</vt:lpwstr>
  </property>
  <property fmtid="{D5CDD505-2E9C-101B-9397-08002B2CF9AE}" pid="6" name="GeneratedDate">
    <vt:lpwstr>10/07/2022 15:01:24</vt:lpwstr>
  </property>
  <property fmtid="{D5CDD505-2E9C-101B-9397-08002B2CF9AE}" pid="7" name="OriginalDocID">
    <vt:lpwstr>908211a6-055c-4d3a-b1ba-02dd8a5ec4e0</vt:lpwstr>
  </property>
</Properties>
</file>