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A11EAB" w14:paraId="29085A05" w14:textId="77777777" w:rsidTr="00826D53">
        <w:trPr>
          <w:trHeight w:val="282"/>
        </w:trPr>
        <w:tc>
          <w:tcPr>
            <w:tcW w:w="500" w:type="dxa"/>
            <w:vMerge w:val="restart"/>
            <w:tcBorders>
              <w:bottom w:val="nil"/>
            </w:tcBorders>
            <w:textDirection w:val="btLr"/>
          </w:tcPr>
          <w:p w14:paraId="307C822E" w14:textId="77777777" w:rsidR="00A80767" w:rsidRPr="00A11EAB"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bookmarkStart w:id="0" w:name="_GoBack"/>
            <w:bookmarkEnd w:id="0"/>
            <w:r w:rsidRPr="00A11EAB">
              <w:rPr>
                <w:color w:val="365F91" w:themeColor="accent1" w:themeShade="BF"/>
                <w:sz w:val="10"/>
                <w:szCs w:val="10"/>
                <w:lang w:eastAsia="zh-CN"/>
              </w:rPr>
              <w:t>WEATHER CLIMATE WATER</w:t>
            </w:r>
          </w:p>
        </w:tc>
        <w:tc>
          <w:tcPr>
            <w:tcW w:w="6852" w:type="dxa"/>
            <w:vMerge w:val="restart"/>
          </w:tcPr>
          <w:p w14:paraId="339AF148" w14:textId="77777777" w:rsidR="00A80767" w:rsidRPr="00A11EAB"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A11EAB">
              <w:rPr>
                <w:noProof/>
                <w:color w:val="365F91" w:themeColor="accent1" w:themeShade="BF"/>
                <w:szCs w:val="22"/>
                <w:lang w:eastAsia="zh-CN"/>
              </w:rPr>
              <w:drawing>
                <wp:anchor distT="0" distB="0" distL="114300" distR="114300" simplePos="0" relativeHeight="251659264" behindDoc="1" locked="1" layoutInCell="1" allowOverlap="1" wp14:anchorId="1444AA0C" wp14:editId="293C4416">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F93" w:rsidRPr="00A11EAB">
              <w:rPr>
                <w:rFonts w:cs="Tahoma"/>
                <w:b/>
                <w:bCs/>
                <w:color w:val="365F91" w:themeColor="accent1" w:themeShade="BF"/>
                <w:szCs w:val="22"/>
              </w:rPr>
              <w:t>World Meteorological Organization</w:t>
            </w:r>
          </w:p>
          <w:p w14:paraId="5A273770" w14:textId="77777777" w:rsidR="00A80767" w:rsidRPr="00A11EAB" w:rsidRDefault="009B1F93" w:rsidP="00826D53">
            <w:pPr>
              <w:tabs>
                <w:tab w:val="left" w:pos="6946"/>
              </w:tabs>
              <w:suppressAutoHyphens/>
              <w:spacing w:after="120" w:line="252" w:lineRule="auto"/>
              <w:ind w:left="1134"/>
              <w:jc w:val="left"/>
              <w:rPr>
                <w:rFonts w:cs="Tahoma"/>
                <w:b/>
                <w:color w:val="365F91" w:themeColor="accent1" w:themeShade="BF"/>
                <w:spacing w:val="-2"/>
                <w:szCs w:val="22"/>
              </w:rPr>
            </w:pPr>
            <w:r w:rsidRPr="00A11EAB">
              <w:rPr>
                <w:rFonts w:cs="Tahoma"/>
                <w:b/>
                <w:color w:val="365F91" w:themeColor="accent1" w:themeShade="BF"/>
                <w:spacing w:val="-2"/>
                <w:szCs w:val="22"/>
              </w:rPr>
              <w:t>COMMISSION FOR WEATHER, CLIMATE, WATER AND RELATED ENVIRONMENTAL SERVICES AND APPLICATIONS</w:t>
            </w:r>
          </w:p>
          <w:p w14:paraId="2D86AD30" w14:textId="77777777" w:rsidR="00A80767" w:rsidRPr="00A11EAB" w:rsidRDefault="009B1F93" w:rsidP="00826D53">
            <w:pPr>
              <w:tabs>
                <w:tab w:val="left" w:pos="6946"/>
              </w:tabs>
              <w:suppressAutoHyphens/>
              <w:spacing w:after="120" w:line="252" w:lineRule="auto"/>
              <w:ind w:left="1134"/>
              <w:jc w:val="left"/>
              <w:rPr>
                <w:rFonts w:cs="Tahoma"/>
                <w:b/>
                <w:bCs/>
                <w:color w:val="365F91" w:themeColor="accent1" w:themeShade="BF"/>
                <w:szCs w:val="22"/>
              </w:rPr>
            </w:pPr>
            <w:r w:rsidRPr="00A11EAB">
              <w:rPr>
                <w:rFonts w:cstheme="minorBidi"/>
                <w:b/>
                <w:snapToGrid w:val="0"/>
                <w:color w:val="365F91" w:themeColor="accent1" w:themeShade="BF"/>
                <w:szCs w:val="22"/>
              </w:rPr>
              <w:t>Second Session</w:t>
            </w:r>
            <w:r w:rsidR="00A80767" w:rsidRPr="00A11EAB">
              <w:rPr>
                <w:rFonts w:cstheme="minorBidi"/>
                <w:b/>
                <w:snapToGrid w:val="0"/>
                <w:color w:val="365F91" w:themeColor="accent1" w:themeShade="BF"/>
                <w:szCs w:val="22"/>
              </w:rPr>
              <w:br/>
            </w:r>
            <w:r w:rsidRPr="00A11EAB">
              <w:rPr>
                <w:snapToGrid w:val="0"/>
                <w:color w:val="365F91" w:themeColor="accent1" w:themeShade="BF"/>
                <w:szCs w:val="22"/>
              </w:rPr>
              <w:t>17 to 21 October 2022, Geneva</w:t>
            </w:r>
          </w:p>
        </w:tc>
        <w:tc>
          <w:tcPr>
            <w:tcW w:w="2962" w:type="dxa"/>
          </w:tcPr>
          <w:p w14:paraId="22AEDAB0" w14:textId="77777777" w:rsidR="00A80767" w:rsidRPr="00A11EAB" w:rsidRDefault="009B1F93" w:rsidP="005324F6">
            <w:pPr>
              <w:tabs>
                <w:tab w:val="clear" w:pos="1134"/>
              </w:tabs>
              <w:spacing w:after="60"/>
              <w:ind w:left="-54" w:right="-108"/>
              <w:jc w:val="right"/>
              <w:rPr>
                <w:rFonts w:cs="Tahoma"/>
                <w:b/>
                <w:bCs/>
                <w:color w:val="365F91" w:themeColor="accent1" w:themeShade="BF"/>
                <w:szCs w:val="22"/>
              </w:rPr>
            </w:pPr>
            <w:r w:rsidRPr="00A11EAB">
              <w:rPr>
                <w:rFonts w:cs="Tahoma"/>
                <w:b/>
                <w:bCs/>
                <w:color w:val="365F91" w:themeColor="accent1" w:themeShade="BF"/>
                <w:szCs w:val="22"/>
              </w:rPr>
              <w:t>SERCOM-2/INF. 5.10</w:t>
            </w:r>
            <w:r w:rsidR="005324F6" w:rsidRPr="00A11EAB">
              <w:rPr>
                <w:rFonts w:cs="Tahoma"/>
                <w:b/>
                <w:bCs/>
                <w:color w:val="365F91" w:themeColor="accent1" w:themeShade="BF"/>
                <w:szCs w:val="22"/>
              </w:rPr>
              <w:t>(</w:t>
            </w:r>
            <w:r w:rsidRPr="00A11EAB">
              <w:rPr>
                <w:rFonts w:cs="Tahoma"/>
                <w:b/>
                <w:bCs/>
                <w:color w:val="365F91" w:themeColor="accent1" w:themeShade="BF"/>
                <w:szCs w:val="22"/>
              </w:rPr>
              <w:t>1</w:t>
            </w:r>
            <w:r w:rsidR="005324F6" w:rsidRPr="00A11EAB">
              <w:rPr>
                <w:rFonts w:cs="Tahoma"/>
                <w:b/>
                <w:bCs/>
                <w:color w:val="365F91" w:themeColor="accent1" w:themeShade="BF"/>
                <w:szCs w:val="22"/>
              </w:rPr>
              <w:t>b)</w:t>
            </w:r>
          </w:p>
        </w:tc>
      </w:tr>
      <w:tr w:rsidR="00A80767" w:rsidRPr="00A11EAB" w14:paraId="13AAC3F7" w14:textId="77777777" w:rsidTr="00826D53">
        <w:trPr>
          <w:trHeight w:val="730"/>
        </w:trPr>
        <w:tc>
          <w:tcPr>
            <w:tcW w:w="500" w:type="dxa"/>
            <w:vMerge/>
            <w:tcBorders>
              <w:bottom w:val="nil"/>
            </w:tcBorders>
          </w:tcPr>
          <w:p w14:paraId="4072419E" w14:textId="77777777" w:rsidR="00A80767" w:rsidRPr="00A11EAB"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7A4C0F08" w14:textId="77777777" w:rsidR="00A80767" w:rsidRPr="00A11EAB"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52E98E6E" w14:textId="4298F5ED" w:rsidR="00A80767" w:rsidRPr="00A11EAB" w:rsidRDefault="00A80767" w:rsidP="00C75088">
            <w:pPr>
              <w:tabs>
                <w:tab w:val="clear" w:pos="1134"/>
              </w:tabs>
              <w:spacing w:before="120" w:after="60"/>
              <w:jc w:val="right"/>
              <w:rPr>
                <w:rFonts w:cs="Tahoma"/>
                <w:color w:val="365F91" w:themeColor="accent1" w:themeShade="BF"/>
                <w:szCs w:val="22"/>
              </w:rPr>
            </w:pPr>
            <w:r w:rsidRPr="00A11EAB">
              <w:rPr>
                <w:rFonts w:cs="Tahoma"/>
                <w:color w:val="365F91" w:themeColor="accent1" w:themeShade="BF"/>
                <w:szCs w:val="22"/>
              </w:rPr>
              <w:t>Submitted by:</w:t>
            </w:r>
            <w:r w:rsidRPr="00A11EAB">
              <w:rPr>
                <w:rFonts w:cs="Tahoma"/>
                <w:color w:val="365F91" w:themeColor="accent1" w:themeShade="BF"/>
                <w:szCs w:val="22"/>
              </w:rPr>
              <w:br/>
            </w:r>
            <w:r w:rsidR="0073714A" w:rsidRPr="00A11EAB">
              <w:rPr>
                <w:rFonts w:cs="Tahoma"/>
                <w:color w:val="365F91" w:themeColor="accent1" w:themeShade="BF"/>
                <w:szCs w:val="22"/>
              </w:rPr>
              <w:t>Chairs of the SG-HEA</w:t>
            </w:r>
          </w:p>
          <w:p w14:paraId="4AE6CF47" w14:textId="26164281" w:rsidR="00A80767" w:rsidRPr="00A11EAB" w:rsidRDefault="00604FBE" w:rsidP="00C75088">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4</w:t>
            </w:r>
            <w:r w:rsidR="009B1F93" w:rsidRPr="00A11EAB">
              <w:rPr>
                <w:rFonts w:cs="Tahoma"/>
                <w:color w:val="365F91" w:themeColor="accent1" w:themeShade="BF"/>
                <w:szCs w:val="22"/>
              </w:rPr>
              <w:t>.X.2022</w:t>
            </w:r>
          </w:p>
        </w:tc>
      </w:tr>
    </w:tbl>
    <w:p w14:paraId="192CA729" w14:textId="7D10E3E1" w:rsidR="0073714A" w:rsidRPr="00A11EAB" w:rsidRDefault="0073714A" w:rsidP="0073714A">
      <w:pPr>
        <w:pStyle w:val="Heading2"/>
      </w:pPr>
      <w:r w:rsidRPr="00A11EAB">
        <w:t xml:space="preserve">OPERATIONAL GUIDANCE </w:t>
      </w:r>
      <w:r w:rsidR="00172095">
        <w:br/>
      </w:r>
      <w:r w:rsidRPr="00A11EAB">
        <w:t>GLOBAL HEAT HEALTH INFORMATION NETWORK</w:t>
      </w:r>
    </w:p>
    <w:p w14:paraId="61158DDC" w14:textId="77777777" w:rsidR="0016755A" w:rsidRPr="00A11EAB" w:rsidRDefault="0016755A" w:rsidP="0016755A">
      <w:pPr>
        <w:pStyle w:val="Title"/>
        <w:rPr>
          <w:rFonts w:eastAsia="Times New Roman"/>
          <w:sz w:val="22"/>
          <w:szCs w:val="22"/>
        </w:rPr>
      </w:pPr>
      <w:r w:rsidRPr="00A11EAB">
        <w:rPr>
          <w:rFonts w:eastAsia="Times New Roman"/>
          <w:sz w:val="22"/>
          <w:szCs w:val="22"/>
        </w:rPr>
        <w:t>(Update 2022)</w:t>
      </w:r>
    </w:p>
    <w:p w14:paraId="12F01315" w14:textId="77777777" w:rsidR="0016755A" w:rsidRPr="00A11EAB" w:rsidRDefault="0016755A" w:rsidP="00C93DD3">
      <w:pPr>
        <w:pStyle w:val="Heading1"/>
        <w:jc w:val="left"/>
        <w:rPr>
          <w:rFonts w:eastAsia="Times New Roman"/>
          <w:b w:val="0"/>
          <w:bCs w:val="0"/>
          <w:sz w:val="20"/>
          <w:szCs w:val="20"/>
        </w:rPr>
      </w:pPr>
      <w:r w:rsidRPr="00A11EAB">
        <w:rPr>
          <w:rFonts w:eastAsia="Times New Roman"/>
          <w:sz w:val="20"/>
          <w:szCs w:val="20"/>
        </w:rPr>
        <w:t>Section 1: Background</w:t>
      </w:r>
    </w:p>
    <w:p w14:paraId="1F18BE29" w14:textId="77777777" w:rsidR="0016755A" w:rsidRPr="00A11EAB" w:rsidRDefault="0016755A" w:rsidP="006450DF">
      <w:pPr>
        <w:spacing w:before="240" w:after="240"/>
        <w:ind w:right="-170"/>
        <w:jc w:val="left"/>
        <w:rPr>
          <w:rFonts w:eastAsia="Verdana" w:cs="Verdana"/>
        </w:rPr>
      </w:pPr>
      <w:r w:rsidRPr="00A11EAB">
        <w:rPr>
          <w:rFonts w:eastAsia="Times New Roman" w:cstheme="majorBidi"/>
        </w:rPr>
        <w:t>Climate change is rapidly increasing human exposure to extreme temperature and heat conditions in all world regions. Heat stress is the leading cause of weather-related death and can exacerbate underlying illnesses including cardiovascular disease, diabetes, mental health, asthma, increase the risk of accidents and infectious disease, and impact maternal and child health. Accelerated action to mitigate climate change, coupled with comprehensive and evidence-based extreme heat prevention, preparedness and risk management is required worldwide to save lives now and in the future.</w:t>
      </w:r>
    </w:p>
    <w:p w14:paraId="1343E0D9" w14:textId="77777777" w:rsidR="0016755A" w:rsidRPr="00A11EAB" w:rsidRDefault="0016755A" w:rsidP="006450DF">
      <w:pPr>
        <w:spacing w:before="240" w:after="240"/>
        <w:ind w:right="-170"/>
        <w:jc w:val="left"/>
        <w:rPr>
          <w:rFonts w:eastAsia="Times New Roman" w:cstheme="majorBidi"/>
          <w:highlight w:val="yellow"/>
        </w:rPr>
      </w:pPr>
      <w:r w:rsidRPr="00A11EAB">
        <w:rPr>
          <w:rFonts w:eastAsia="Times New Roman"/>
        </w:rPr>
        <w:t>In 2015</w:t>
      </w:r>
      <w:r w:rsidRPr="00A11EAB">
        <w:rPr>
          <w:rStyle w:val="FootnoteReference"/>
          <w:rFonts w:cs="Calibri"/>
        </w:rPr>
        <w:footnoteReference w:id="2"/>
      </w:r>
      <w:r w:rsidRPr="00A11EAB">
        <w:rPr>
          <w:rFonts w:eastAsia="Times New Roman"/>
        </w:rPr>
        <w:t xml:space="preserve">, international experts from public health agencies and meteorological services from around the world </w:t>
      </w:r>
      <w:r w:rsidRPr="00A11EAB">
        <w:rPr>
          <w:rFonts w:cs="Calibri"/>
        </w:rPr>
        <w:t>called for the development of international heat health coordination capability</w:t>
      </w:r>
      <w:r w:rsidRPr="00A11EAB">
        <w:rPr>
          <w:rFonts w:eastAsia="Times New Roman" w:cstheme="majorBidi"/>
        </w:rPr>
        <w:t xml:space="preserve"> to facilitate the sharing of scientific and operational information, methods and tools for more effective management and evaluation of heat’s health effects; </w:t>
      </w:r>
      <w:r w:rsidRPr="00A11EAB">
        <w:rPr>
          <w:rFonts w:eastAsia="Times New Roman"/>
        </w:rPr>
        <w:t>t</w:t>
      </w:r>
      <w:r w:rsidRPr="00A11EAB">
        <w:rPr>
          <w:rFonts w:cs="Calibri"/>
        </w:rPr>
        <w:t>o support the convening of a Global Forum; to coordinate international heat</w:t>
      </w:r>
      <w:r w:rsidR="00E1258A" w:rsidRPr="00A11EAB">
        <w:rPr>
          <w:rFonts w:cs="Calibri"/>
        </w:rPr>
        <w:t xml:space="preserve"> </w:t>
      </w:r>
      <w:r w:rsidRPr="00A11EAB">
        <w:rPr>
          <w:rFonts w:cs="Calibri"/>
        </w:rPr>
        <w:t>health efforts;</w:t>
      </w:r>
      <w:r w:rsidRPr="00A11EAB">
        <w:rPr>
          <w:rFonts w:eastAsia="Times New Roman" w:cstheme="majorBidi"/>
        </w:rPr>
        <w:t xml:space="preserve"> and to become a global resource for the dissemination of evidence and good</w:t>
      </w:r>
      <w:r w:rsidR="00E1258A" w:rsidRPr="00A11EAB">
        <w:rPr>
          <w:rFonts w:eastAsia="Times New Roman" w:cstheme="majorBidi"/>
        </w:rPr>
        <w:t xml:space="preserve"> </w:t>
      </w:r>
      <w:r w:rsidRPr="00A11EAB">
        <w:rPr>
          <w:rFonts w:eastAsia="Times New Roman" w:cstheme="majorBidi"/>
        </w:rPr>
        <w:t>practices.</w:t>
      </w:r>
    </w:p>
    <w:p w14:paraId="2E158FEB" w14:textId="77777777" w:rsidR="0016755A" w:rsidRPr="00A11EAB" w:rsidRDefault="0016755A" w:rsidP="006450DF">
      <w:pPr>
        <w:spacing w:before="240" w:after="240"/>
        <w:ind w:right="-170"/>
        <w:jc w:val="left"/>
        <w:rPr>
          <w:rFonts w:eastAsia="Times New Roman" w:cstheme="majorBidi"/>
        </w:rPr>
      </w:pPr>
      <w:r w:rsidRPr="00A11EAB">
        <w:rPr>
          <w:rFonts w:cs="Calibri"/>
        </w:rPr>
        <w:t xml:space="preserve">In response, the </w:t>
      </w:r>
      <w:r w:rsidRPr="00A11EAB">
        <w:rPr>
          <w:rFonts w:eastAsia="Times New Roman" w:cstheme="majorBidi"/>
        </w:rPr>
        <w:t>Global Heat Health Information Network (GHHIN), here forth referred to as “the Network”, was founded in 2016 by representatives from multiple National Meteorological Agencies, Public Health Agencies, and Academic and Civil Society partners,</w:t>
      </w:r>
      <w:r w:rsidRPr="00A11EAB">
        <w:rPr>
          <w:rStyle w:val="FootnoteReference"/>
          <w:rFonts w:eastAsia="Times New Roman" w:cstheme="majorBidi"/>
        </w:rPr>
        <w:footnoteReference w:id="3"/>
      </w:r>
      <w:r w:rsidRPr="00A11EAB">
        <w:rPr>
          <w:rFonts w:eastAsia="Times New Roman" w:cstheme="majorBidi"/>
        </w:rPr>
        <w:t xml:space="preserve"> with the following description:</w:t>
      </w:r>
    </w:p>
    <w:p w14:paraId="0C3EEEDC" w14:textId="77777777" w:rsidR="0016755A" w:rsidRPr="00A11EAB" w:rsidRDefault="0016755A" w:rsidP="006450DF">
      <w:pPr>
        <w:spacing w:before="240" w:after="240"/>
        <w:ind w:right="-170"/>
        <w:jc w:val="left"/>
        <w:rPr>
          <w:rFonts w:eastAsia="Times New Roman" w:cstheme="majorBidi"/>
          <w:i/>
          <w:iCs/>
        </w:rPr>
      </w:pPr>
      <w:r w:rsidRPr="00A11EAB">
        <w:rPr>
          <w:rFonts w:eastAsia="Times New Roman" w:cstheme="majorBidi"/>
          <w:i/>
          <w:iCs/>
        </w:rPr>
        <w:t>The Global Heat Health Information Network is an independent, voluntary, and member-driven forum of scientists, practitioners, and policy makers focused on improving capacity to protect populations from the avoidable health risks of extreme heat in our changing climate.</w:t>
      </w:r>
    </w:p>
    <w:p w14:paraId="655E2225" w14:textId="77777777" w:rsidR="0016755A" w:rsidRPr="00A11EAB" w:rsidRDefault="0016755A" w:rsidP="006450DF">
      <w:pPr>
        <w:spacing w:before="240" w:after="240"/>
        <w:ind w:right="-170"/>
        <w:jc w:val="left"/>
        <w:rPr>
          <w:rFonts w:eastAsia="Times New Roman" w:cs="Times New Roman"/>
        </w:rPr>
      </w:pPr>
      <w:r w:rsidRPr="00A11EAB">
        <w:rPr>
          <w:rFonts w:eastAsia="Times New Roman" w:cstheme="majorBidi"/>
        </w:rPr>
        <w:t xml:space="preserve">The Network was publicly launched in 2018 as a joint initiative of </w:t>
      </w:r>
      <w:r w:rsidR="00D765FA" w:rsidRPr="00A11EAB">
        <w:rPr>
          <w:rFonts w:eastAsia="Times New Roman" w:cstheme="majorBidi"/>
        </w:rPr>
        <w:t>the World Meteorological Organization (</w:t>
      </w:r>
      <w:r w:rsidRPr="00A11EAB">
        <w:rPr>
          <w:rFonts w:eastAsia="Times New Roman" w:cstheme="majorBidi"/>
        </w:rPr>
        <w:t>WMO</w:t>
      </w:r>
      <w:r w:rsidR="00D765FA" w:rsidRPr="00A11EAB">
        <w:rPr>
          <w:rFonts w:eastAsia="Times New Roman" w:cstheme="majorBidi"/>
        </w:rPr>
        <w:t>)</w:t>
      </w:r>
      <w:r w:rsidRPr="00A11EAB">
        <w:rPr>
          <w:rFonts w:eastAsia="Times New Roman" w:cstheme="majorBidi"/>
        </w:rPr>
        <w:t xml:space="preserve">, WHO, and </w:t>
      </w:r>
      <w:r w:rsidR="00D765FA" w:rsidRPr="00A11EAB">
        <w:rPr>
          <w:rFonts w:eastAsia="Times New Roman" w:cstheme="majorBidi"/>
        </w:rPr>
        <w:t>the National Oceanic Administrative Administration (</w:t>
      </w:r>
      <w:r w:rsidRPr="00A11EAB">
        <w:rPr>
          <w:rFonts w:eastAsia="Times New Roman" w:cstheme="majorBidi"/>
        </w:rPr>
        <w:t>NOAA</w:t>
      </w:r>
      <w:r w:rsidR="00D765FA" w:rsidRPr="00A11EAB">
        <w:rPr>
          <w:rFonts w:eastAsia="Times New Roman" w:cstheme="majorBidi"/>
        </w:rPr>
        <w:t>)</w:t>
      </w:r>
      <w:r w:rsidRPr="00A11EAB">
        <w:rPr>
          <w:rFonts w:eastAsia="Times New Roman" w:cstheme="majorBidi"/>
        </w:rPr>
        <w:t>, to respond to gaps in coordination and technical advisory identified by the global meteorological and public health communities. The Network’s operational and governance structures were updated in 2021 to enable growth of the Network and to respond to emerging needs of key constituents at the national and local scales.</w:t>
      </w:r>
    </w:p>
    <w:p w14:paraId="6750D66E" w14:textId="0D429A66" w:rsidR="0016755A" w:rsidRPr="00A11EAB" w:rsidRDefault="0016755A" w:rsidP="006450DF">
      <w:pPr>
        <w:spacing w:before="240" w:after="240"/>
        <w:ind w:right="-170"/>
        <w:jc w:val="left"/>
        <w:rPr>
          <w:rFonts w:eastAsia="Times New Roman" w:cs="Times New Roman"/>
        </w:rPr>
      </w:pPr>
      <w:r w:rsidRPr="00A11EAB">
        <w:rPr>
          <w:rFonts w:eastAsia="Times New Roman" w:cstheme="majorBidi"/>
        </w:rPr>
        <w:t xml:space="preserve">The Network’s purpose is to convene a community of practice and broker the knowledge of both institutions and individuals from the broad range of disciplines addressing the human health </w:t>
      </w:r>
      <w:r w:rsidRPr="00A11EAB">
        <w:rPr>
          <w:rFonts w:eastAsia="Times New Roman" w:cstheme="majorBidi"/>
        </w:rPr>
        <w:lastRenderedPageBreak/>
        <w:t>risks posed by extreme heat across timescales. Key audiences and partners include national meteorological and hydrological services, government authorities for public health and disaster management, academia, media, and civil society partners from a broad range of disciplines. These entities have called for improved heat health early warning systems, heat action plans, responsive policy frameworks; enhanced use of science and technology; good practices in risk communications; agenda setting for hazard and impact related research; and translation of research outcomes via robust decision tools and integrated climate, human health, and urban services.</w:t>
      </w:r>
    </w:p>
    <w:p w14:paraId="233F36DE" w14:textId="1EE145A6" w:rsidR="0016755A" w:rsidRPr="00A11EAB" w:rsidRDefault="0016755A" w:rsidP="006450DF">
      <w:pPr>
        <w:spacing w:before="240" w:after="240"/>
        <w:ind w:right="-170"/>
        <w:jc w:val="left"/>
      </w:pPr>
      <w:r w:rsidRPr="00A11EAB">
        <w:t>The Network strives to achieve five common goals, as defined in the 2018 Global Heat Health Forum</w:t>
      </w:r>
      <w:hyperlink r:id="rId12">
        <w:r w:rsidRPr="00A11EAB">
          <w:rPr>
            <w:rStyle w:val="Hyperlink"/>
          </w:rPr>
          <w:t xml:space="preserve"> Call to Action</w:t>
        </w:r>
      </w:hyperlink>
      <w:r w:rsidRPr="00A11EAB">
        <w:t>:</w:t>
      </w:r>
    </w:p>
    <w:p w14:paraId="4B28B49F" w14:textId="6E4BD9B9" w:rsidR="0016755A" w:rsidRPr="00A11EAB" w:rsidRDefault="0016755A" w:rsidP="00984BF2">
      <w:pPr>
        <w:numPr>
          <w:ilvl w:val="0"/>
          <w:numId w:val="1"/>
        </w:numPr>
        <w:tabs>
          <w:tab w:val="clear" w:pos="1134"/>
        </w:tabs>
        <w:spacing w:before="120" w:after="120"/>
        <w:ind w:left="1134" w:right="-170" w:hanging="567"/>
        <w:jc w:val="left"/>
      </w:pPr>
      <w:r w:rsidRPr="00A11EAB">
        <w:t>To urgently</w:t>
      </w:r>
      <w:r w:rsidR="00984BF2">
        <w:t xml:space="preserve"> </w:t>
      </w:r>
      <w:r w:rsidRPr="00A11EAB">
        <w:t>improve awareness</w:t>
      </w:r>
      <w:r w:rsidR="00984BF2">
        <w:t xml:space="preserve"> </w:t>
      </w:r>
      <w:r w:rsidRPr="00A11EAB">
        <w:t>of the disaster that increasing extreme heat poses to human health, wellbeing, and productivity worldwide;</w:t>
      </w:r>
    </w:p>
    <w:p w14:paraId="73A606A9" w14:textId="7FA2579E" w:rsidR="0016755A" w:rsidRPr="00A11EAB" w:rsidRDefault="0016755A" w:rsidP="00984BF2">
      <w:pPr>
        <w:numPr>
          <w:ilvl w:val="0"/>
          <w:numId w:val="1"/>
        </w:numPr>
        <w:tabs>
          <w:tab w:val="clear" w:pos="1134"/>
        </w:tabs>
        <w:spacing w:before="120" w:after="120"/>
        <w:ind w:left="1134" w:right="-170" w:hanging="567"/>
        <w:jc w:val="left"/>
      </w:pPr>
      <w:r w:rsidRPr="00A11EAB">
        <w:t>To</w:t>
      </w:r>
      <w:r w:rsidR="00984BF2">
        <w:t xml:space="preserve"> </w:t>
      </w:r>
      <w:r w:rsidR="00C93DD3" w:rsidRPr="00A11EAB">
        <w:t>catalyse</w:t>
      </w:r>
      <w:r w:rsidRPr="00A11EAB">
        <w:t xml:space="preserve"> and sustain interdisciplinary partnerships and co-learning</w:t>
      </w:r>
      <w:r w:rsidR="00984BF2">
        <w:t xml:space="preserve"> </w:t>
      </w:r>
      <w:r w:rsidRPr="00A11EAB">
        <w:t>between research and practitioners across relevant government, academic, private sector and civil society actors;</w:t>
      </w:r>
    </w:p>
    <w:p w14:paraId="435A6580" w14:textId="63A50461" w:rsidR="0016755A" w:rsidRPr="00A11EAB" w:rsidRDefault="0016755A" w:rsidP="00984BF2">
      <w:pPr>
        <w:numPr>
          <w:ilvl w:val="0"/>
          <w:numId w:val="1"/>
        </w:numPr>
        <w:tabs>
          <w:tab w:val="clear" w:pos="1134"/>
        </w:tabs>
        <w:spacing w:before="120" w:after="120"/>
        <w:ind w:left="1134" w:right="-170" w:hanging="567"/>
        <w:jc w:val="left"/>
      </w:pPr>
      <w:r w:rsidRPr="00A11EAB">
        <w:t>To</w:t>
      </w:r>
      <w:r w:rsidR="00984BF2">
        <w:t xml:space="preserve"> </w:t>
      </w:r>
      <w:r w:rsidRPr="00A11EAB">
        <w:t>synthesize and advance science and technology</w:t>
      </w:r>
      <w:r w:rsidR="00984BF2">
        <w:t xml:space="preserve"> </w:t>
      </w:r>
      <w:r w:rsidRPr="00A11EAB">
        <w:t>available for decision-making and risk reduction across sectors and time scales;</w:t>
      </w:r>
    </w:p>
    <w:p w14:paraId="7DF4ACBF" w14:textId="13B9EF1A" w:rsidR="0016755A" w:rsidRPr="00A11EAB" w:rsidRDefault="0016755A" w:rsidP="00984BF2">
      <w:pPr>
        <w:numPr>
          <w:ilvl w:val="0"/>
          <w:numId w:val="1"/>
        </w:numPr>
        <w:tabs>
          <w:tab w:val="clear" w:pos="1134"/>
        </w:tabs>
        <w:spacing w:before="120" w:after="120"/>
        <w:ind w:left="1134" w:right="-170" w:hanging="567"/>
        <w:jc w:val="left"/>
      </w:pPr>
      <w:r w:rsidRPr="00A11EAB">
        <w:t>To</w:t>
      </w:r>
      <w:r w:rsidR="00984BF2">
        <w:t xml:space="preserve"> </w:t>
      </w:r>
      <w:r w:rsidRPr="00A11EAB">
        <w:t>improve access to expert resources and opportunities</w:t>
      </w:r>
      <w:r w:rsidR="00984BF2">
        <w:t xml:space="preserve"> </w:t>
      </w:r>
      <w:r w:rsidRPr="00A11EAB">
        <w:t>for learning, exchange, and engagement;</w:t>
      </w:r>
    </w:p>
    <w:p w14:paraId="2E942601" w14:textId="7A67EC34" w:rsidR="0016755A" w:rsidRPr="00A11EAB" w:rsidRDefault="0016755A" w:rsidP="00984BF2">
      <w:pPr>
        <w:numPr>
          <w:ilvl w:val="0"/>
          <w:numId w:val="1"/>
        </w:numPr>
        <w:tabs>
          <w:tab w:val="clear" w:pos="1134"/>
        </w:tabs>
        <w:spacing w:before="120" w:after="120"/>
        <w:ind w:left="1134" w:right="-170" w:hanging="567"/>
        <w:jc w:val="left"/>
      </w:pPr>
      <w:r w:rsidRPr="00A11EAB">
        <w:t>To</w:t>
      </w:r>
      <w:r w:rsidR="00984BF2">
        <w:t xml:space="preserve"> </w:t>
      </w:r>
      <w:r w:rsidRPr="00A11EAB">
        <w:t>identify and accelerate action</w:t>
      </w:r>
      <w:r w:rsidR="00984BF2">
        <w:t xml:space="preserve"> </w:t>
      </w:r>
      <w:r w:rsidRPr="00A11EAB">
        <w:t>to address critical gaps in research, knowledge and practice.</w:t>
      </w:r>
    </w:p>
    <w:p w14:paraId="0482CFB4" w14:textId="2A181536" w:rsidR="0016755A" w:rsidRPr="00A11EAB" w:rsidRDefault="0016755A" w:rsidP="006450DF">
      <w:pPr>
        <w:spacing w:before="240" w:after="240"/>
        <w:ind w:right="-170"/>
        <w:jc w:val="left"/>
        <w:rPr>
          <w:rFonts w:cstheme="majorBidi"/>
          <w:highlight w:val="yellow"/>
        </w:rPr>
      </w:pPr>
      <w:r w:rsidRPr="00A11EAB">
        <w:rPr>
          <w:rFonts w:eastAsia="Times New Roman" w:cstheme="majorBidi"/>
        </w:rPr>
        <w:t>Implementation to meet these goals is organized according to a five-pillar integrated heat health management framework (Figure</w:t>
      </w:r>
      <w:r w:rsidR="00984BF2">
        <w:rPr>
          <w:rFonts w:eastAsia="Times New Roman" w:cstheme="majorBidi"/>
        </w:rPr>
        <w:t> </w:t>
      </w:r>
      <w:r w:rsidRPr="00A11EAB">
        <w:rPr>
          <w:rFonts w:eastAsia="Times New Roman" w:cstheme="majorBidi"/>
        </w:rPr>
        <w:t>1/</w:t>
      </w:r>
      <w:hyperlink w:anchor="ANNEX_2" w:history="1">
        <w:r w:rsidRPr="00277B40">
          <w:rPr>
            <w:rStyle w:val="Hyperlink"/>
            <w:rFonts w:eastAsia="Times New Roman" w:cstheme="majorBidi"/>
          </w:rPr>
          <w:t>Annex</w:t>
        </w:r>
        <w:r w:rsidR="00984BF2" w:rsidRPr="00277B40">
          <w:rPr>
            <w:rStyle w:val="Hyperlink"/>
            <w:rFonts w:eastAsia="Times New Roman" w:cstheme="majorBidi"/>
          </w:rPr>
          <w:t> </w:t>
        </w:r>
        <w:r w:rsidRPr="00277B40">
          <w:rPr>
            <w:rStyle w:val="Hyperlink"/>
            <w:rFonts w:eastAsia="Times New Roman" w:cstheme="majorBidi"/>
          </w:rPr>
          <w:t>2</w:t>
        </w:r>
      </w:hyperlink>
      <w:r w:rsidRPr="00A11EAB">
        <w:rPr>
          <w:rFonts w:eastAsia="Times New Roman" w:cstheme="majorBidi"/>
        </w:rPr>
        <w:t xml:space="preserve">) with corresponding workstreams that enable engagement with and sharing between a wide number of stakeholders for the advancement of technical activities. </w:t>
      </w:r>
    </w:p>
    <w:p w14:paraId="2966EFFA" w14:textId="77777777" w:rsidR="0016755A" w:rsidRPr="00A11EAB" w:rsidRDefault="0016755A" w:rsidP="006450DF">
      <w:pPr>
        <w:spacing w:before="240" w:after="240"/>
        <w:ind w:right="-170"/>
        <w:jc w:val="left"/>
        <w:rPr>
          <w:rFonts w:eastAsia="Verdana" w:cs="Verdana"/>
        </w:rPr>
      </w:pPr>
      <w:r w:rsidRPr="00A11EAB">
        <w:rPr>
          <w:rFonts w:eastAsia="Times New Roman" w:cstheme="majorBidi"/>
        </w:rPr>
        <w:t>As a community of practice, the Network aims to bring together and leverage the work and progress of contributing and co-sponsoring partners, as well as individual participating members to create a holistic picture of the needs, science and strengths to address extreme heat risks to society.</w:t>
      </w:r>
    </w:p>
    <w:p w14:paraId="6D111D83" w14:textId="353A7683" w:rsidR="0016755A" w:rsidRPr="00A11EAB" w:rsidRDefault="00984BF2" w:rsidP="0016755A">
      <w:r>
        <w:t xml:space="preserve">      </w:t>
      </w:r>
      <w:r w:rsidR="0016755A" w:rsidRPr="00A11EAB">
        <w:rPr>
          <w:noProof/>
        </w:rPr>
        <w:drawing>
          <wp:inline distT="0" distB="0" distL="0" distR="0" wp14:anchorId="080CBC8A" wp14:editId="6BA9A49D">
            <wp:extent cx="5591175" cy="2085043"/>
            <wp:effectExtent l="0" t="0" r="0" b="0"/>
            <wp:docPr id="1455187868" name="Picture 145518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1175" cy="2085043"/>
                    </a:xfrm>
                    <a:prstGeom prst="rect">
                      <a:avLst/>
                    </a:prstGeom>
                  </pic:spPr>
                </pic:pic>
              </a:graphicData>
            </a:graphic>
          </wp:inline>
        </w:drawing>
      </w:r>
    </w:p>
    <w:p w14:paraId="44A626AC" w14:textId="2993DD89" w:rsidR="0016755A" w:rsidRPr="00A11EAB" w:rsidRDefault="0016755A" w:rsidP="00984BF2">
      <w:pPr>
        <w:spacing w:before="240"/>
        <w:jc w:val="center"/>
        <w:rPr>
          <w:b/>
          <w:bCs/>
        </w:rPr>
      </w:pPr>
      <w:r w:rsidRPr="00A11EAB">
        <w:rPr>
          <w:b/>
          <w:bCs/>
          <w:color w:val="1F497D" w:themeColor="text2"/>
        </w:rPr>
        <w:t>Figure</w:t>
      </w:r>
      <w:r w:rsidR="00984BF2">
        <w:rPr>
          <w:b/>
          <w:bCs/>
          <w:color w:val="1F497D" w:themeColor="text2"/>
        </w:rPr>
        <w:t> </w:t>
      </w:r>
      <w:r w:rsidRPr="00A11EAB">
        <w:rPr>
          <w:b/>
          <w:bCs/>
          <w:color w:val="1F497D" w:themeColor="text2"/>
        </w:rPr>
        <w:t>1: Integrated Heat Health Management Framework and Workstreams</w:t>
      </w:r>
    </w:p>
    <w:p w14:paraId="35266688" w14:textId="77777777" w:rsidR="00C7593B" w:rsidRPr="00604FBE" w:rsidRDefault="00C7593B">
      <w:pPr>
        <w:tabs>
          <w:tab w:val="clear" w:pos="1134"/>
        </w:tabs>
        <w:jc w:val="left"/>
        <w:rPr>
          <w:rFonts w:eastAsia="Times New Roman" w:cs="Verdana"/>
          <w:caps/>
          <w:kern w:val="32"/>
          <w:lang w:eastAsia="zh-TW"/>
        </w:rPr>
      </w:pPr>
      <w:r w:rsidRPr="00A11EAB">
        <w:rPr>
          <w:rFonts w:eastAsia="Times New Roman"/>
          <w:u w:val="single"/>
        </w:rPr>
        <w:br w:type="page"/>
      </w:r>
    </w:p>
    <w:p w14:paraId="12C66E6A" w14:textId="0E5B03AD" w:rsidR="0016755A" w:rsidRPr="00823CC4" w:rsidRDefault="0016755A" w:rsidP="00823CC4">
      <w:pPr>
        <w:pStyle w:val="Heading1"/>
        <w:jc w:val="left"/>
        <w:rPr>
          <w:rFonts w:eastAsia="Times New Roman"/>
          <w:b w:val="0"/>
          <w:bCs w:val="0"/>
          <w:sz w:val="20"/>
          <w:szCs w:val="20"/>
        </w:rPr>
      </w:pPr>
      <w:r w:rsidRPr="00A11EAB">
        <w:rPr>
          <w:rFonts w:eastAsia="Times New Roman"/>
          <w:sz w:val="20"/>
          <w:szCs w:val="20"/>
        </w:rPr>
        <w:lastRenderedPageBreak/>
        <w:t>Section 2: Operational Structures</w:t>
      </w:r>
    </w:p>
    <w:p w14:paraId="6186A622" w14:textId="529BD280" w:rsidR="0016755A" w:rsidRPr="00A11EAB" w:rsidRDefault="0016755A" w:rsidP="006450DF">
      <w:pPr>
        <w:spacing w:before="240" w:after="240"/>
        <w:ind w:right="-170"/>
        <w:jc w:val="left"/>
        <w:rPr>
          <w:rFonts w:eastAsia="Times New Roman" w:cstheme="majorBidi"/>
          <w:b/>
          <w:bCs/>
        </w:rPr>
      </w:pPr>
      <w:r w:rsidRPr="00A11EAB">
        <w:rPr>
          <w:rFonts w:eastAsia="Times New Roman" w:cstheme="majorBidi"/>
        </w:rPr>
        <w:t>The key operational entities of the Network consist of (1)</w:t>
      </w:r>
      <w:r w:rsidR="007604FF">
        <w:rPr>
          <w:rFonts w:eastAsia="Times New Roman" w:cstheme="majorBidi"/>
        </w:rPr>
        <w:t> </w:t>
      </w:r>
      <w:r w:rsidRPr="00A11EAB">
        <w:rPr>
          <w:rFonts w:eastAsia="Times New Roman" w:cstheme="majorBidi"/>
        </w:rPr>
        <w:t xml:space="preserve">a </w:t>
      </w:r>
      <w:r w:rsidRPr="00A11EAB">
        <w:rPr>
          <w:rFonts w:eastAsia="Times New Roman" w:cstheme="majorBidi"/>
          <w:b/>
          <w:bCs/>
        </w:rPr>
        <w:t xml:space="preserve">Technical Support Unit, </w:t>
      </w:r>
      <w:r w:rsidRPr="00A11EAB">
        <w:rPr>
          <w:rFonts w:eastAsia="Times New Roman" w:cstheme="majorBidi"/>
        </w:rPr>
        <w:t>(2)</w:t>
      </w:r>
      <w:r w:rsidR="007604FF">
        <w:rPr>
          <w:rFonts w:eastAsia="Times New Roman" w:cstheme="majorBidi"/>
        </w:rPr>
        <w:t> </w:t>
      </w:r>
      <w:r w:rsidRPr="00A11EAB">
        <w:rPr>
          <w:rFonts w:eastAsia="Times New Roman" w:cstheme="majorBidi"/>
          <w:b/>
          <w:bCs/>
        </w:rPr>
        <w:t xml:space="preserve">Co-sponsoring Organizations, </w:t>
      </w:r>
      <w:r w:rsidRPr="00A11EAB">
        <w:rPr>
          <w:rFonts w:eastAsia="Times New Roman" w:cstheme="majorBidi"/>
        </w:rPr>
        <w:t>(3)</w:t>
      </w:r>
      <w:r w:rsidR="007604FF">
        <w:rPr>
          <w:rFonts w:eastAsia="Times New Roman" w:cstheme="majorBidi"/>
        </w:rPr>
        <w:t> </w:t>
      </w:r>
      <w:r w:rsidRPr="00A11EAB">
        <w:rPr>
          <w:rFonts w:eastAsia="Times New Roman" w:cstheme="majorBidi"/>
          <w:b/>
          <w:bCs/>
        </w:rPr>
        <w:t>Contributing Partners and Individual Members</w:t>
      </w:r>
      <w:r w:rsidR="007604FF">
        <w:rPr>
          <w:rFonts w:eastAsia="Times New Roman" w:cstheme="majorBidi"/>
          <w:b/>
          <w:bCs/>
        </w:rPr>
        <w:t>,</w:t>
      </w:r>
      <w:r w:rsidRPr="00A11EAB">
        <w:rPr>
          <w:rFonts w:eastAsia="Times New Roman" w:cstheme="majorBidi"/>
          <w:b/>
          <w:bCs/>
        </w:rPr>
        <w:t xml:space="preserve"> </w:t>
      </w:r>
      <w:r w:rsidRPr="00A11EAB">
        <w:rPr>
          <w:rFonts w:eastAsia="Times New Roman" w:cstheme="majorBidi"/>
        </w:rPr>
        <w:t>(4)</w:t>
      </w:r>
      <w:r w:rsidR="007604FF">
        <w:rPr>
          <w:rFonts w:eastAsia="Times New Roman" w:cstheme="majorBidi"/>
        </w:rPr>
        <w:t> </w:t>
      </w:r>
      <w:r w:rsidRPr="00A11EAB">
        <w:rPr>
          <w:rFonts w:eastAsia="Times New Roman" w:cstheme="majorBidi"/>
          <w:b/>
          <w:bCs/>
        </w:rPr>
        <w:t>Financial Partners. Regional Network Nodes</w:t>
      </w:r>
      <w:r w:rsidRPr="00A11EAB">
        <w:rPr>
          <w:rFonts w:eastAsia="Times New Roman" w:cstheme="majorBidi"/>
        </w:rPr>
        <w:t xml:space="preserve"> will be established during 2022</w:t>
      </w:r>
      <w:r w:rsidR="00C16C5E" w:rsidRPr="00C16C5E">
        <w:rPr>
          <w:rFonts w:eastAsia="Times New Roman" w:cstheme="majorBidi"/>
        </w:rPr>
        <w:t>–</w:t>
      </w:r>
      <w:r w:rsidRPr="00A11EAB">
        <w:rPr>
          <w:rFonts w:eastAsia="Times New Roman" w:cstheme="majorBidi"/>
        </w:rPr>
        <w:t>2027. The partners who lead these nodes will be considered contributing partners to the global network.</w:t>
      </w:r>
    </w:p>
    <w:p w14:paraId="05A04716" w14:textId="774A0E42" w:rsidR="0016755A" w:rsidRPr="00A11EAB" w:rsidRDefault="0016755A" w:rsidP="00823CC4">
      <w:pPr>
        <w:spacing w:before="240" w:after="360"/>
        <w:ind w:right="-170"/>
        <w:jc w:val="left"/>
        <w:rPr>
          <w:rFonts w:eastAsia="Times New Roman" w:cstheme="majorBidi"/>
        </w:rPr>
      </w:pPr>
      <w:r w:rsidRPr="00A11EAB">
        <w:rPr>
          <w:rFonts w:eastAsia="Times New Roman" w:cstheme="majorBidi"/>
        </w:rPr>
        <w:t>The Network’s governance structure is comprised of an</w:t>
      </w:r>
      <w:r w:rsidRPr="00A11EAB">
        <w:rPr>
          <w:rFonts w:eastAsia="Times New Roman" w:cstheme="majorBidi"/>
          <w:b/>
          <w:bCs/>
        </w:rPr>
        <w:t xml:space="preserve"> Advisory Group </w:t>
      </w:r>
      <w:r w:rsidRPr="00A11EAB">
        <w:rPr>
          <w:rFonts w:eastAsia="Times New Roman" w:cstheme="majorBidi"/>
        </w:rPr>
        <w:t>and a</w:t>
      </w:r>
      <w:r w:rsidRPr="00A11EAB">
        <w:rPr>
          <w:rFonts w:eastAsia="Times New Roman" w:cstheme="majorBidi"/>
          <w:b/>
          <w:bCs/>
        </w:rPr>
        <w:t xml:space="preserve"> Management Committee. </w:t>
      </w:r>
      <w:r w:rsidRPr="00A11EAB">
        <w:rPr>
          <w:rFonts w:eastAsia="Times New Roman" w:cstheme="majorBidi"/>
        </w:rPr>
        <w:t>Interaction between operations and governance are described in Figure</w:t>
      </w:r>
      <w:r w:rsidR="00823CC4">
        <w:rPr>
          <w:rFonts w:eastAsia="Times New Roman" w:cstheme="majorBidi"/>
        </w:rPr>
        <w:t> </w:t>
      </w:r>
      <w:r w:rsidRPr="00A11EAB">
        <w:rPr>
          <w:rFonts w:eastAsia="Times New Roman" w:cstheme="majorBidi"/>
        </w:rPr>
        <w:t xml:space="preserve">2. </w:t>
      </w:r>
    </w:p>
    <w:p w14:paraId="0AE82E4B" w14:textId="77777777" w:rsidR="0016755A" w:rsidRPr="00A11EAB" w:rsidRDefault="00C948C5" w:rsidP="0016755A">
      <w:pPr>
        <w:rPr>
          <w:rFonts w:eastAsia="Times New Roman" w:cstheme="majorBidi"/>
        </w:rPr>
      </w:pPr>
      <w:r w:rsidRPr="00A11EAB">
        <w:rPr>
          <w:rFonts w:eastAsia="Times New Roman" w:cstheme="majorBidi"/>
          <w:noProof/>
        </w:rPr>
        <w:drawing>
          <wp:inline distT="0" distB="0" distL="0" distR="0" wp14:anchorId="661D1ADC" wp14:editId="059C65A2">
            <wp:extent cx="6120765" cy="34163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HIN Ops Diagram.jpg"/>
                    <pic:cNvPicPr/>
                  </pic:nvPicPr>
                  <pic:blipFill>
                    <a:blip r:embed="rId14"/>
                    <a:stretch>
                      <a:fillRect/>
                    </a:stretch>
                  </pic:blipFill>
                  <pic:spPr>
                    <a:xfrm>
                      <a:off x="0" y="0"/>
                      <a:ext cx="6120765" cy="3416300"/>
                    </a:xfrm>
                    <a:prstGeom prst="rect">
                      <a:avLst/>
                    </a:prstGeom>
                  </pic:spPr>
                </pic:pic>
              </a:graphicData>
            </a:graphic>
          </wp:inline>
        </w:drawing>
      </w:r>
    </w:p>
    <w:p w14:paraId="0844974A" w14:textId="20F979FA" w:rsidR="0016755A" w:rsidRPr="00A11EAB" w:rsidRDefault="0016755A" w:rsidP="00823CC4">
      <w:pPr>
        <w:pStyle w:val="Caption"/>
        <w:spacing w:before="120" w:after="240"/>
        <w:jc w:val="center"/>
        <w:rPr>
          <w:rFonts w:ascii="Verdana" w:eastAsia="Times New Roman" w:hAnsi="Verdana" w:cstheme="majorBidi"/>
          <w:b/>
          <w:bCs/>
          <w:i w:val="0"/>
          <w:iCs w:val="0"/>
          <w:sz w:val="20"/>
          <w:szCs w:val="20"/>
          <w:lang w:val="en-GB"/>
        </w:rPr>
      </w:pPr>
      <w:r w:rsidRPr="00A11EAB">
        <w:rPr>
          <w:rFonts w:ascii="Verdana" w:hAnsi="Verdana"/>
          <w:b/>
          <w:bCs/>
          <w:i w:val="0"/>
          <w:iCs w:val="0"/>
          <w:sz w:val="20"/>
          <w:szCs w:val="20"/>
          <w:lang w:val="en-GB"/>
        </w:rPr>
        <w:t>Figure</w:t>
      </w:r>
      <w:r w:rsidR="00823CC4">
        <w:rPr>
          <w:rFonts w:ascii="Verdana" w:hAnsi="Verdana"/>
          <w:b/>
          <w:bCs/>
          <w:i w:val="0"/>
          <w:iCs w:val="0"/>
          <w:sz w:val="20"/>
          <w:szCs w:val="20"/>
          <w:lang w:val="en-GB"/>
        </w:rPr>
        <w:t> </w:t>
      </w:r>
      <w:r w:rsidRPr="00A11EAB">
        <w:rPr>
          <w:rFonts w:ascii="Verdana" w:hAnsi="Verdana"/>
          <w:b/>
          <w:bCs/>
          <w:i w:val="0"/>
          <w:iCs w:val="0"/>
          <w:sz w:val="20"/>
          <w:szCs w:val="20"/>
          <w:lang w:val="en-GB"/>
        </w:rPr>
        <w:t>2 Governance and Operational Structures of the Network</w:t>
      </w:r>
    </w:p>
    <w:p w14:paraId="472FD3A7" w14:textId="228557E9" w:rsidR="00C948C5" w:rsidRPr="00055287" w:rsidRDefault="0016755A" w:rsidP="00055287">
      <w:pPr>
        <w:spacing w:after="360"/>
        <w:jc w:val="left"/>
        <w:rPr>
          <w:rFonts w:eastAsia="Times New Roman" w:cstheme="majorBidi"/>
        </w:rPr>
      </w:pPr>
      <w:r w:rsidRPr="00A11EAB">
        <w:rPr>
          <w:rFonts w:eastAsia="Times New Roman" w:cstheme="majorBidi"/>
        </w:rPr>
        <w:t>The roles and responsibilities of the operational entities are described below.</w:t>
      </w:r>
    </w:p>
    <w:p w14:paraId="10D77B72" w14:textId="7F3B92A4" w:rsidR="0016755A" w:rsidRPr="00211C3A" w:rsidRDefault="0016755A" w:rsidP="00211C3A">
      <w:pPr>
        <w:pStyle w:val="ListParagraph"/>
        <w:numPr>
          <w:ilvl w:val="0"/>
          <w:numId w:val="16"/>
        </w:numPr>
        <w:spacing w:before="240" w:after="240"/>
        <w:ind w:left="567" w:hanging="567"/>
        <w:rPr>
          <w:rStyle w:val="Heading2Char"/>
          <w:rFonts w:eastAsia="Times New Roman"/>
          <w:sz w:val="20"/>
          <w:szCs w:val="20"/>
        </w:rPr>
      </w:pPr>
      <w:r w:rsidRPr="00211C3A">
        <w:rPr>
          <w:rStyle w:val="Heading2Char"/>
          <w:rFonts w:eastAsia="Times New Roman"/>
          <w:sz w:val="20"/>
          <w:szCs w:val="20"/>
        </w:rPr>
        <w:t>Technical Support Unit (TSU)</w:t>
      </w:r>
    </w:p>
    <w:p w14:paraId="35A78CB9" w14:textId="77777777"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The T</w:t>
      </w:r>
      <w:r w:rsidR="00D765FA" w:rsidRPr="00A11EAB">
        <w:rPr>
          <w:rFonts w:eastAsia="Times New Roman" w:cstheme="majorBidi"/>
        </w:rPr>
        <w:t>SU</w:t>
      </w:r>
      <w:r w:rsidRPr="00A11EAB">
        <w:rPr>
          <w:rFonts w:eastAsia="Times New Roman" w:cstheme="majorBidi"/>
        </w:rPr>
        <w:t xml:space="preserve"> is physically based in the WHO-WMO Joint Office located in the WMO Services Department, but may include virtual team members in other locations from co-sponsoring institutions. The TSU is composed of hired and seconded professional staff from co</w:t>
      </w:r>
      <w:r w:rsidR="00993D17" w:rsidRPr="00A11EAB">
        <w:rPr>
          <w:rFonts w:eastAsia="Times New Roman" w:cstheme="majorBidi"/>
        </w:rPr>
        <w:t>-sponsoring</w:t>
      </w:r>
      <w:r w:rsidRPr="00A11EAB">
        <w:rPr>
          <w:rFonts w:eastAsia="Times New Roman" w:cstheme="majorBidi"/>
        </w:rPr>
        <w:t xml:space="preserve"> organizations (e.g., WMO, WHO, NOAA, others), as agreed by the Management Committee. The Lead of the WHO-WMO Joint Office is the head of the T</w:t>
      </w:r>
      <w:r w:rsidR="00D765FA" w:rsidRPr="00A11EAB">
        <w:rPr>
          <w:rFonts w:eastAsia="Times New Roman" w:cstheme="majorBidi"/>
        </w:rPr>
        <w:t>SU</w:t>
      </w:r>
      <w:r w:rsidRPr="00A11EAB">
        <w:rPr>
          <w:rFonts w:eastAsia="Times New Roman" w:cstheme="majorBidi"/>
        </w:rPr>
        <w:t xml:space="preserve">. Overall responsibility for the operation of the Network and financial management of its </w:t>
      </w:r>
      <w:r w:rsidR="00E93736" w:rsidRPr="00A11EAB">
        <w:rPr>
          <w:rFonts w:eastAsia="Times New Roman" w:cstheme="majorBidi"/>
        </w:rPr>
        <w:t>T</w:t>
      </w:r>
      <w:r w:rsidRPr="00A11EAB">
        <w:rPr>
          <w:rFonts w:eastAsia="Times New Roman" w:cstheme="majorBidi"/>
        </w:rPr>
        <w:t xml:space="preserve">rust </w:t>
      </w:r>
      <w:r w:rsidR="00E93736" w:rsidRPr="00A11EAB">
        <w:rPr>
          <w:rFonts w:eastAsia="Times New Roman" w:cstheme="majorBidi"/>
        </w:rPr>
        <w:t>F</w:t>
      </w:r>
      <w:r w:rsidRPr="00A11EAB">
        <w:rPr>
          <w:rFonts w:eastAsia="Times New Roman" w:cstheme="majorBidi"/>
        </w:rPr>
        <w:t xml:space="preserve">und is assigned at the level of the Director of the WMO Services Department. </w:t>
      </w:r>
    </w:p>
    <w:p w14:paraId="77CE538B" w14:textId="77777777" w:rsidR="0016755A" w:rsidRPr="00A11EAB" w:rsidRDefault="0016755A" w:rsidP="00FD69D2">
      <w:pPr>
        <w:spacing w:before="120" w:after="120"/>
        <w:ind w:right="-170"/>
        <w:jc w:val="left"/>
        <w:rPr>
          <w:rFonts w:eastAsia="Times New Roman" w:cstheme="majorBidi"/>
        </w:rPr>
      </w:pPr>
      <w:r w:rsidRPr="00A11EAB">
        <w:rPr>
          <w:rFonts w:eastAsia="Times New Roman" w:cstheme="majorBidi"/>
        </w:rPr>
        <w:t>Specifically, the T</w:t>
      </w:r>
      <w:r w:rsidR="00D765FA" w:rsidRPr="00A11EAB">
        <w:rPr>
          <w:rFonts w:eastAsia="Times New Roman" w:cstheme="majorBidi"/>
        </w:rPr>
        <w:t>SU</w:t>
      </w:r>
      <w:r w:rsidRPr="00A11EAB">
        <w:rPr>
          <w:rFonts w:eastAsia="Times New Roman" w:cstheme="majorBidi"/>
        </w:rPr>
        <w:t xml:space="preserve"> has the following functions:</w:t>
      </w:r>
    </w:p>
    <w:p w14:paraId="4168007E" w14:textId="77777777" w:rsidR="0016755A" w:rsidRPr="00A11EAB" w:rsidRDefault="0016755A" w:rsidP="0077447C">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Ensures implementation of the annual work plan, as proposed by the Advisory Group and approved by the Management Committee, and formulates its yearly work plan timetable to meet the expected results; </w:t>
      </w:r>
    </w:p>
    <w:p w14:paraId="4DE7CB7F"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Serves as the point of contact for incoming requests to the Network and its HelpDesk functions;</w:t>
      </w:r>
    </w:p>
    <w:p w14:paraId="5076AC4A"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Routes incoming requests to the Network Co-sponsoring Organizations and Contributing Partners and coordinates follow up; </w:t>
      </w:r>
    </w:p>
    <w:p w14:paraId="73BC74F6" w14:textId="3E432F95"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lastRenderedPageBreak/>
        <w:t>Provides strategic advice concerning heat management policy, strategy and institutional arrangement</w:t>
      </w:r>
      <w:r w:rsidR="00F27AAE">
        <w:rPr>
          <w:rFonts w:ascii="Verdana" w:eastAsia="Times New Roman" w:hAnsi="Verdana" w:cstheme="majorBidi"/>
          <w:sz w:val="20"/>
          <w:szCs w:val="20"/>
          <w:lang w:val="en-GB"/>
        </w:rPr>
        <w:t>s</w:t>
      </w:r>
      <w:r w:rsidRPr="00A11EAB">
        <w:rPr>
          <w:rFonts w:ascii="Verdana" w:eastAsia="Times New Roman" w:hAnsi="Verdana" w:cstheme="majorBidi"/>
          <w:sz w:val="20"/>
          <w:szCs w:val="20"/>
          <w:lang w:val="en-GB"/>
        </w:rPr>
        <w:t xml:space="preserve"> in response to requests; </w:t>
      </w:r>
    </w:p>
    <w:p w14:paraId="1FDFF8A8"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Provides technical support and project management for the implementation of projects developed under the Network; </w:t>
      </w:r>
    </w:p>
    <w:p w14:paraId="6E52FF19"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Maintains, updates and upgrades the Network website and related information and develops new components (especially heat management guidelines/tools) as required; </w:t>
      </w:r>
    </w:p>
    <w:p w14:paraId="01115986" w14:textId="0953CE6A"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Develops and maintains, as a basis for the continuous improvement of Network activities, a registry of received requests and follow</w:t>
      </w:r>
      <w:r w:rsidR="00841B37">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up actions taken;</w:t>
      </w:r>
    </w:p>
    <w:p w14:paraId="11A40B7A"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Strengthens the Network partnerships and maintains linkages and regular communication with Contributing Partners (see below) and Financial Partners (see below), amongst others, by keeping track of available competencies and areas of interest;</w:t>
      </w:r>
    </w:p>
    <w:p w14:paraId="5D58F7B9"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Develops and implements a Network information/outreach strategy; </w:t>
      </w:r>
    </w:p>
    <w:p w14:paraId="39246696"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Develops a Network community of practice tailored to different User Groups as and when recommended by the Advisory Group and Management Committees; </w:t>
      </w:r>
    </w:p>
    <w:p w14:paraId="448059B7"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Advocates for Integrated Heat Health Management (IHHM) concepts in appropriate international and national initiatives; </w:t>
      </w:r>
    </w:p>
    <w:p w14:paraId="0AFE976D" w14:textId="77777777"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Provides coordination and secretarial support for the activities under the Network, as well as to the Advisory Group and Management Committee; </w:t>
      </w:r>
    </w:p>
    <w:p w14:paraId="6403F12F" w14:textId="769C3292" w:rsidR="0016755A" w:rsidRPr="00A11EAB" w:rsidRDefault="0016755A" w:rsidP="00823CC4">
      <w:pPr>
        <w:pStyle w:val="ListParagraph"/>
        <w:numPr>
          <w:ilvl w:val="0"/>
          <w:numId w:val="2"/>
        </w:numPr>
        <w:spacing w:before="120" w:after="12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Provides logistical and technical support for capacity</w:t>
      </w:r>
      <w:r w:rsidR="000628F6">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 xml:space="preserve">building activities as part of the Network; and </w:t>
      </w:r>
    </w:p>
    <w:p w14:paraId="064887F2" w14:textId="621A0DB0" w:rsidR="0016755A" w:rsidRPr="00A11EAB" w:rsidRDefault="0016755A" w:rsidP="002978D2">
      <w:pPr>
        <w:pStyle w:val="ListParagraph"/>
        <w:numPr>
          <w:ilvl w:val="0"/>
          <w:numId w:val="2"/>
        </w:numPr>
        <w:spacing w:before="120" w:after="240" w:line="240" w:lineRule="auto"/>
        <w:ind w:left="1418" w:right="-170" w:hanging="851"/>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Liaises regularly with relevant WHO and WMO technical bodies and divisions to harmonize activities between the two related program</w:t>
      </w:r>
      <w:r w:rsidR="000628F6">
        <w:rPr>
          <w:rFonts w:ascii="Verdana" w:eastAsia="Times New Roman" w:hAnsi="Verdana" w:cstheme="majorBidi"/>
          <w:sz w:val="20"/>
          <w:szCs w:val="20"/>
          <w:lang w:val="en-GB"/>
        </w:rPr>
        <w:t>me</w:t>
      </w:r>
      <w:r w:rsidRPr="00A11EAB">
        <w:rPr>
          <w:rFonts w:ascii="Verdana" w:eastAsia="Times New Roman" w:hAnsi="Verdana" w:cstheme="majorBidi"/>
          <w:sz w:val="20"/>
          <w:szCs w:val="20"/>
          <w:lang w:val="en-GB"/>
        </w:rPr>
        <w:t xml:space="preserve">s and exchange knowledge and know-how. </w:t>
      </w:r>
    </w:p>
    <w:p w14:paraId="279409A9" w14:textId="19EED90A" w:rsidR="0016755A" w:rsidRPr="00A11EAB" w:rsidRDefault="0016755A" w:rsidP="00211C3A">
      <w:pPr>
        <w:pStyle w:val="ListParagraph"/>
        <w:numPr>
          <w:ilvl w:val="0"/>
          <w:numId w:val="16"/>
        </w:numPr>
        <w:spacing w:before="240" w:after="240"/>
        <w:ind w:left="567" w:hanging="567"/>
        <w:rPr>
          <w:rStyle w:val="Heading2Char"/>
          <w:rFonts w:eastAsia="Times New Roman"/>
          <w:sz w:val="20"/>
          <w:szCs w:val="20"/>
        </w:rPr>
      </w:pPr>
      <w:r w:rsidRPr="00A11EAB">
        <w:rPr>
          <w:rStyle w:val="Heading2Char"/>
          <w:rFonts w:eastAsia="Times New Roman"/>
          <w:sz w:val="20"/>
          <w:szCs w:val="20"/>
        </w:rPr>
        <w:t>Co-Sponsoring Organizations</w:t>
      </w:r>
    </w:p>
    <w:p w14:paraId="75435B74" w14:textId="77777777"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 xml:space="preserve">Any organization with a stated scope and substantive activities on extreme heat management issues are invited to become a co-sponsoring organization. Co-sponsoring organizations should have a compatible mandate which reflects the needs and values of the Network; does not possess conflicts of interest with the mandate and goals of the Network, and is prepared to contribute at least one of the following minimum financial commitments: </w:t>
      </w:r>
    </w:p>
    <w:p w14:paraId="341860C9" w14:textId="42B347D4" w:rsidR="0016755A" w:rsidRPr="00A11EAB" w:rsidRDefault="0016755A" w:rsidP="00A10952">
      <w:pPr>
        <w:spacing w:before="120" w:after="120"/>
        <w:ind w:left="1134" w:right="-170" w:hanging="567"/>
        <w:jc w:val="left"/>
        <w:rPr>
          <w:rFonts w:eastAsia="Times New Roman" w:cstheme="majorBidi"/>
        </w:rPr>
      </w:pPr>
      <w:r w:rsidRPr="00A11EAB">
        <w:rPr>
          <w:rFonts w:eastAsia="Times New Roman" w:cstheme="majorBidi"/>
        </w:rPr>
        <w:t>•</w:t>
      </w:r>
      <w:r w:rsidR="00C93DD3" w:rsidRPr="00A11EAB">
        <w:rPr>
          <w:rFonts w:eastAsia="Times New Roman" w:cstheme="majorBidi"/>
        </w:rPr>
        <w:tab/>
      </w:r>
      <w:r w:rsidRPr="00A11EAB">
        <w:rPr>
          <w:rFonts w:eastAsia="Times New Roman" w:cstheme="majorBidi"/>
        </w:rPr>
        <w:t>Seconded staff, or in-kind resource person(s) to support the T</w:t>
      </w:r>
      <w:r w:rsidR="00D765FA" w:rsidRPr="00A11EAB">
        <w:rPr>
          <w:rFonts w:eastAsia="Times New Roman" w:cstheme="majorBidi"/>
        </w:rPr>
        <w:t>SU</w:t>
      </w:r>
      <w:r w:rsidRPr="00A11EAB">
        <w:rPr>
          <w:rFonts w:eastAsia="Times New Roman" w:cstheme="majorBidi"/>
        </w:rPr>
        <w:t xml:space="preserve">; </w:t>
      </w:r>
    </w:p>
    <w:p w14:paraId="2645CB60" w14:textId="70450001" w:rsidR="0016755A" w:rsidRPr="00A11EAB" w:rsidRDefault="0016755A" w:rsidP="00C73F75">
      <w:pPr>
        <w:spacing w:before="120" w:after="120"/>
        <w:ind w:left="1134" w:right="-170" w:hanging="567"/>
        <w:jc w:val="left"/>
        <w:rPr>
          <w:rFonts w:eastAsia="Times New Roman" w:cstheme="majorBidi"/>
        </w:rPr>
      </w:pPr>
      <w:r w:rsidRPr="00A11EAB">
        <w:rPr>
          <w:rFonts w:eastAsia="Times New Roman" w:cstheme="majorBidi"/>
        </w:rPr>
        <w:t>•</w:t>
      </w:r>
      <w:r w:rsidR="00C93DD3" w:rsidRPr="00A11EAB">
        <w:rPr>
          <w:rFonts w:eastAsia="Times New Roman" w:cstheme="majorBidi"/>
        </w:rPr>
        <w:tab/>
      </w:r>
      <w:r w:rsidRPr="00A11EAB">
        <w:rPr>
          <w:rFonts w:eastAsia="Times New Roman" w:cstheme="majorBidi"/>
        </w:rPr>
        <w:t>Financial support to the GHHIN Trust Fund (greater than 75</w:t>
      </w:r>
      <w:r w:rsidR="00C73F75">
        <w:rPr>
          <w:rFonts w:eastAsia="Times New Roman" w:cstheme="majorBidi"/>
        </w:rPr>
        <w:t> </w:t>
      </w:r>
      <w:r w:rsidRPr="00A11EAB">
        <w:rPr>
          <w:rFonts w:eastAsia="Times New Roman" w:cstheme="majorBidi"/>
        </w:rPr>
        <w:t xml:space="preserve">000 </w:t>
      </w:r>
      <w:r w:rsidR="00C73F75">
        <w:rPr>
          <w:rFonts w:eastAsia="Times New Roman" w:cstheme="majorBidi"/>
        </w:rPr>
        <w:t xml:space="preserve">Swiss francs </w:t>
      </w:r>
      <w:r w:rsidRPr="00A11EAB">
        <w:rPr>
          <w:rFonts w:eastAsia="Times New Roman" w:cstheme="majorBidi"/>
        </w:rPr>
        <w:t>per year) or through direct financial contributions to Network projects (also greater than 75</w:t>
      </w:r>
      <w:r w:rsidR="00C73F75">
        <w:rPr>
          <w:rFonts w:eastAsia="Times New Roman" w:cstheme="majorBidi"/>
        </w:rPr>
        <w:t> </w:t>
      </w:r>
      <w:r w:rsidRPr="00A11EAB">
        <w:rPr>
          <w:rFonts w:eastAsia="Times New Roman" w:cstheme="majorBidi"/>
        </w:rPr>
        <w:t xml:space="preserve">000 </w:t>
      </w:r>
      <w:r w:rsidR="00C73F75">
        <w:rPr>
          <w:rFonts w:eastAsia="Times New Roman" w:cstheme="majorBidi"/>
        </w:rPr>
        <w:t>Swiss francs</w:t>
      </w:r>
      <w:r w:rsidRPr="00A11EAB">
        <w:rPr>
          <w:rFonts w:eastAsia="Times New Roman" w:cstheme="majorBidi"/>
        </w:rPr>
        <w:t xml:space="preserve"> per year). </w:t>
      </w:r>
    </w:p>
    <w:p w14:paraId="5E97D8DF" w14:textId="35C9C5CA"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Co-sponsoring organizations agree to directly liaise with each other on international heat</w:t>
      </w:r>
      <w:r w:rsidR="00C05D94">
        <w:rPr>
          <w:rFonts w:eastAsia="Times New Roman" w:cstheme="majorBidi"/>
        </w:rPr>
        <w:t>-</w:t>
      </w:r>
      <w:r w:rsidRPr="00A11EAB">
        <w:rPr>
          <w:rFonts w:eastAsia="Times New Roman" w:cstheme="majorBidi"/>
        </w:rPr>
        <w:t>related initiatives, and to share information on regional, national and local initiatives of relevance to the Network.</w:t>
      </w:r>
    </w:p>
    <w:p w14:paraId="0267C94B" w14:textId="57081259"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 xml:space="preserve">The level and extent of in-kind contributions from co-sponsoring (and contributing) Partners is determined in the Letter of Engagement signed by each of them and will be reported on an annual basis to the Management Committee. Direct contributions for the operations of the Network made by contributors or co-sponsors will be retained in a dedicated budget line within an allocated Trust Fund and managed according to WMO financial rules. </w:t>
      </w:r>
    </w:p>
    <w:p w14:paraId="62A1F366" w14:textId="77777777" w:rsidR="0016755A" w:rsidRPr="00A11EAB" w:rsidRDefault="0016755A" w:rsidP="008425E7">
      <w:pPr>
        <w:keepNext/>
        <w:keepLines/>
        <w:spacing w:before="240" w:after="240"/>
        <w:ind w:right="-170"/>
        <w:jc w:val="left"/>
        <w:rPr>
          <w:rFonts w:eastAsia="Times New Roman" w:cstheme="majorBidi"/>
        </w:rPr>
      </w:pPr>
      <w:r w:rsidRPr="00A11EAB">
        <w:rPr>
          <w:rFonts w:eastAsia="Times New Roman" w:cstheme="majorBidi"/>
        </w:rPr>
        <w:lastRenderedPageBreak/>
        <w:t>It is recommended that organizations considering becoming a co</w:t>
      </w:r>
      <w:r w:rsidR="00993D17" w:rsidRPr="00A11EAB">
        <w:rPr>
          <w:rFonts w:eastAsia="Times New Roman" w:cstheme="majorBidi"/>
        </w:rPr>
        <w:t>-sponsoring</w:t>
      </w:r>
      <w:r w:rsidRPr="00A11EAB">
        <w:rPr>
          <w:rFonts w:eastAsia="Times New Roman" w:cstheme="majorBidi"/>
        </w:rPr>
        <w:t xml:space="preserve"> institution do so for not less than a </w:t>
      </w:r>
      <w:r w:rsidRPr="002978D2">
        <w:rPr>
          <w:rFonts w:eastAsia="Times New Roman" w:cstheme="majorBidi"/>
        </w:rPr>
        <w:t>two-year period</w:t>
      </w:r>
      <w:r w:rsidRPr="00A11EAB">
        <w:rPr>
          <w:rFonts w:eastAsia="Times New Roman" w:cstheme="majorBidi"/>
        </w:rPr>
        <w:t xml:space="preserve"> adhering to the above commitments. It is recognized that co-sponsoring (and collaborating) organizations retain the right to engage in their own regional, national or local projects solely or in coordination with other Network partners. </w:t>
      </w:r>
    </w:p>
    <w:p w14:paraId="7A036FE3" w14:textId="254B00B0"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 xml:space="preserve">All co-sponsoring organizations have the right to representation on the Network’s Management Committee. If co-sponsoring organizations would like to withdraw from the Network, a 6-month notice is required. A 6-month notice of termination of status would also be given should such an organization cease to make their in-kind or financial contributions or not fulfil the spirit of being part of the Network, such as failing to share information on regional, national or local heat management initiatives. </w:t>
      </w:r>
    </w:p>
    <w:p w14:paraId="1BFF524D" w14:textId="79387639" w:rsidR="0016755A" w:rsidRPr="00A11EAB" w:rsidRDefault="0016755A" w:rsidP="005C1165">
      <w:pPr>
        <w:pStyle w:val="ListParagraph"/>
        <w:numPr>
          <w:ilvl w:val="0"/>
          <w:numId w:val="16"/>
        </w:numPr>
        <w:spacing w:before="240" w:after="240"/>
        <w:ind w:left="567" w:hanging="567"/>
        <w:rPr>
          <w:rFonts w:eastAsia="Times New Roman" w:cstheme="majorBidi"/>
          <w:u w:val="single"/>
        </w:rPr>
      </w:pPr>
      <w:r w:rsidRPr="00A11EAB">
        <w:rPr>
          <w:rStyle w:val="Heading2Char"/>
          <w:rFonts w:eastAsia="Times New Roman"/>
          <w:sz w:val="20"/>
          <w:szCs w:val="20"/>
        </w:rPr>
        <w:t>Contributing Partners</w:t>
      </w:r>
    </w:p>
    <w:p w14:paraId="2D0521AD" w14:textId="2F0307F6"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 xml:space="preserve">The Network aims to bring together and leverage the learning and activities of multi-disciplinary organizations working on heat risk management and adaptation issues from different perspectives around the world. Institutions contributing to the Network, known as Contributing Partners, </w:t>
      </w:r>
      <w:r w:rsidRPr="00A11EAB">
        <w:rPr>
          <w:rFonts w:eastAsia="Times New Roman" w:cstheme="majorBidi"/>
          <w:b/>
          <w:bCs/>
        </w:rPr>
        <w:t>indicate their readiness to dedicate a minimum of 10</w:t>
      </w:r>
      <w:r w:rsidR="004674CC">
        <w:rPr>
          <w:rFonts w:eastAsia="Times New Roman" w:cstheme="majorBidi"/>
          <w:b/>
          <w:bCs/>
        </w:rPr>
        <w:t> </w:t>
      </w:r>
      <w:r w:rsidRPr="00A11EAB">
        <w:rPr>
          <w:rFonts w:eastAsia="Times New Roman" w:cstheme="majorBidi"/>
          <w:b/>
          <w:bCs/>
        </w:rPr>
        <w:t>000 US</w:t>
      </w:r>
      <w:r w:rsidR="004674CC">
        <w:rPr>
          <w:rFonts w:eastAsia="Times New Roman" w:cstheme="majorBidi"/>
          <w:b/>
          <w:bCs/>
        </w:rPr>
        <w:t xml:space="preserve"> dollars</w:t>
      </w:r>
      <w:r w:rsidRPr="00A11EAB">
        <w:rPr>
          <w:rFonts w:eastAsia="Times New Roman" w:cstheme="majorBidi"/>
          <w:b/>
          <w:bCs/>
        </w:rPr>
        <w:t xml:space="preserve"> in cash OR in-kind human resources capacity annually </w:t>
      </w:r>
      <w:r w:rsidRPr="00A11EAB">
        <w:rPr>
          <w:rFonts w:eastAsia="Times New Roman" w:cstheme="majorBidi"/>
        </w:rPr>
        <w:t xml:space="preserve">on a voluntary basis for implementation of coordination and/or specific activities and projects. </w:t>
      </w:r>
    </w:p>
    <w:p w14:paraId="38E9AB30" w14:textId="76A40E9C"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Institutions interested in contributing their expertise and independently funded and implemented activities to the Network can become a contributing partner. Partnership with the Network is open to all institutions whose mission is aligned with the basic concepts and aims of</w:t>
      </w:r>
      <w:r w:rsidR="00A2489A">
        <w:rPr>
          <w:rFonts w:eastAsia="Times New Roman" w:cstheme="majorBidi"/>
        </w:rPr>
        <w:t xml:space="preserve"> the</w:t>
      </w:r>
      <w:r w:rsidRPr="00A11EAB">
        <w:rPr>
          <w:rFonts w:eastAsia="Times New Roman" w:cstheme="majorBidi"/>
        </w:rPr>
        <w:t xml:space="preserve"> </w:t>
      </w:r>
      <w:hyperlink r:id="rId15">
        <w:r w:rsidRPr="00A11EAB">
          <w:rPr>
            <w:rStyle w:val="Hyperlink"/>
            <w:rFonts w:eastAsia="Times New Roman" w:cstheme="majorBidi"/>
          </w:rPr>
          <w:t>Integrated Heat Health Action</w:t>
        </w:r>
      </w:hyperlink>
      <w:r w:rsidRPr="00A11EAB">
        <w:rPr>
          <w:rFonts w:eastAsia="Times New Roman" w:cstheme="majorBidi"/>
        </w:rPr>
        <w:t xml:space="preserve"> Framework, who have no declared conflicts of interest with the mission of the Network, accept the principles of good practice and partnership (</w:t>
      </w:r>
      <w:hyperlink w:anchor="ANNEX_3" w:history="1">
        <w:r w:rsidRPr="003E312E">
          <w:rPr>
            <w:rStyle w:val="Hyperlink"/>
            <w:rFonts w:eastAsia="Times New Roman" w:cstheme="majorBidi"/>
          </w:rPr>
          <w:t>Annex</w:t>
        </w:r>
        <w:r w:rsidR="000B7D21" w:rsidRPr="003E312E">
          <w:rPr>
            <w:rStyle w:val="Hyperlink"/>
            <w:rFonts w:eastAsia="Times New Roman" w:cstheme="majorBidi"/>
          </w:rPr>
          <w:t> </w:t>
        </w:r>
        <w:r w:rsidRPr="003E312E">
          <w:rPr>
            <w:rStyle w:val="Hyperlink"/>
            <w:rFonts w:eastAsia="Times New Roman" w:cstheme="majorBidi"/>
          </w:rPr>
          <w:t>3</w:t>
        </w:r>
      </w:hyperlink>
      <w:r w:rsidRPr="00A11EAB">
        <w:rPr>
          <w:rFonts w:eastAsia="Times New Roman" w:cstheme="majorBidi"/>
        </w:rPr>
        <w:t>), and are willing to work together to fulfil the objectives of the Network.</w:t>
      </w:r>
    </w:p>
    <w:p w14:paraId="775912E5" w14:textId="77777777" w:rsidR="0016755A" w:rsidRPr="00A11EAB" w:rsidRDefault="0016755A" w:rsidP="006450DF">
      <w:pPr>
        <w:spacing w:before="240" w:after="240"/>
        <w:ind w:right="-170"/>
        <w:jc w:val="left"/>
        <w:rPr>
          <w:rFonts w:eastAsia="Times New Roman" w:cstheme="majorBidi"/>
        </w:rPr>
      </w:pPr>
      <w:r w:rsidRPr="00A11EAB">
        <w:rPr>
          <w:rFonts w:eastAsia="Times New Roman" w:cstheme="majorBidi"/>
        </w:rPr>
        <w:t xml:space="preserve">A written letter of agreement to become a contributing partner will describe the partner agency, including scope and mission, type of organization, areas of expertise. This letter will indicate the </w:t>
      </w:r>
      <w:r w:rsidR="00A75B02" w:rsidRPr="00A11EAB">
        <w:rPr>
          <w:rFonts w:eastAsia="Times New Roman" w:cstheme="majorBidi"/>
        </w:rPr>
        <w:t>c</w:t>
      </w:r>
      <w:r w:rsidRPr="00A11EAB">
        <w:rPr>
          <w:rFonts w:eastAsia="Times New Roman" w:cstheme="majorBidi"/>
        </w:rPr>
        <w:t xml:space="preserve">ontributing </w:t>
      </w:r>
      <w:r w:rsidR="00A75B02" w:rsidRPr="00A11EAB">
        <w:rPr>
          <w:rFonts w:eastAsia="Times New Roman" w:cstheme="majorBidi"/>
        </w:rPr>
        <w:t>p</w:t>
      </w:r>
      <w:r w:rsidRPr="00A11EAB">
        <w:rPr>
          <w:rFonts w:eastAsia="Times New Roman" w:cstheme="majorBidi"/>
        </w:rPr>
        <w:t xml:space="preserve">artner’s readiness to dedicate activities or a pre-set amount of in-kind human resources capacity (on a voluntary basis) to contribute to activities in accordance with the specialized capacity of the respective </w:t>
      </w:r>
      <w:r w:rsidR="00A75B02" w:rsidRPr="00A11EAB">
        <w:rPr>
          <w:rFonts w:eastAsia="Times New Roman" w:cstheme="majorBidi"/>
        </w:rPr>
        <w:t>c</w:t>
      </w:r>
      <w:r w:rsidRPr="00A11EAB">
        <w:rPr>
          <w:rFonts w:eastAsia="Times New Roman" w:cstheme="majorBidi"/>
        </w:rPr>
        <w:t xml:space="preserve">ontributing </w:t>
      </w:r>
      <w:r w:rsidR="00A75B02" w:rsidRPr="00A11EAB">
        <w:rPr>
          <w:rFonts w:eastAsia="Times New Roman" w:cstheme="majorBidi"/>
        </w:rPr>
        <w:t>p</w:t>
      </w:r>
      <w:r w:rsidRPr="00A11EAB">
        <w:rPr>
          <w:rFonts w:eastAsia="Times New Roman" w:cstheme="majorBidi"/>
        </w:rPr>
        <w:t xml:space="preserve">artner. Principal areas of activity where contributing partners may engage in support of integrated heat health action include: </w:t>
      </w:r>
    </w:p>
    <w:p w14:paraId="2F36DFD1" w14:textId="7D4EBA09" w:rsidR="0016755A" w:rsidRPr="00A11EAB" w:rsidRDefault="0016755A" w:rsidP="00A10952">
      <w:pPr>
        <w:pStyle w:val="ListParagraph"/>
        <w:numPr>
          <w:ilvl w:val="0"/>
          <w:numId w:val="7"/>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Piloting and implementation of extreme heat and health</w:t>
      </w:r>
      <w:r w:rsidR="00554A6C">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 xml:space="preserve">related science, public services and interventions, and/or leading research activities endorsed and contributing to the Network; </w:t>
      </w:r>
    </w:p>
    <w:p w14:paraId="67351BE1" w14:textId="77777777" w:rsidR="0016755A" w:rsidRPr="00A11EAB" w:rsidRDefault="0016755A" w:rsidP="00A10952">
      <w:pPr>
        <w:pStyle w:val="ListParagraph"/>
        <w:numPr>
          <w:ilvl w:val="0"/>
          <w:numId w:val="7"/>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Advice and high-level advocacy for heat management policy and strategy formulation;</w:t>
      </w:r>
    </w:p>
    <w:p w14:paraId="7B7B8776" w14:textId="57F83AC6" w:rsidR="0016755A" w:rsidRPr="00A11EAB" w:rsidRDefault="0016755A" w:rsidP="00A10952">
      <w:pPr>
        <w:pStyle w:val="ListParagraph"/>
        <w:numPr>
          <w:ilvl w:val="0"/>
          <w:numId w:val="7"/>
        </w:numPr>
        <w:spacing w:before="120" w:after="120" w:line="240" w:lineRule="auto"/>
        <w:ind w:left="1134" w:right="-170" w:hanging="567"/>
        <w:contextualSpacing w:val="0"/>
        <w:rPr>
          <w:rFonts w:ascii="Verdana" w:hAnsi="Verdana"/>
          <w:sz w:val="20"/>
          <w:szCs w:val="20"/>
          <w:lang w:val="en-GB"/>
        </w:rPr>
      </w:pPr>
      <w:r w:rsidRPr="00A11EAB">
        <w:rPr>
          <w:rFonts w:ascii="Verdana" w:eastAsia="Times New Roman" w:hAnsi="Verdana" w:cstheme="majorBidi"/>
          <w:sz w:val="20"/>
          <w:szCs w:val="20"/>
          <w:lang w:val="en-GB"/>
        </w:rPr>
        <w:t xml:space="preserve">Development, input and review of technical documents, heat management tools, guidelines, and communications; </w:t>
      </w:r>
    </w:p>
    <w:p w14:paraId="4D08BC51" w14:textId="77777777" w:rsidR="0016755A" w:rsidRPr="00A11EAB" w:rsidRDefault="0016755A" w:rsidP="00A10952">
      <w:pPr>
        <w:pStyle w:val="ListParagraph"/>
        <w:numPr>
          <w:ilvl w:val="0"/>
          <w:numId w:val="7"/>
        </w:numPr>
        <w:spacing w:before="120" w:after="120" w:line="240" w:lineRule="auto"/>
        <w:ind w:left="1134" w:right="-170" w:hanging="567"/>
        <w:contextualSpacing w:val="0"/>
        <w:rPr>
          <w:rFonts w:ascii="Verdana" w:eastAsiaTheme="minorEastAsia" w:hAnsi="Verdana"/>
          <w:sz w:val="20"/>
          <w:szCs w:val="20"/>
          <w:lang w:val="en-GB"/>
        </w:rPr>
      </w:pPr>
      <w:r w:rsidRPr="00A11EAB">
        <w:rPr>
          <w:rFonts w:ascii="Verdana" w:eastAsia="Times New Roman" w:hAnsi="Verdana" w:cstheme="majorBidi"/>
          <w:sz w:val="20"/>
          <w:szCs w:val="20"/>
          <w:lang w:val="en-GB"/>
        </w:rPr>
        <w:t xml:space="preserve">Development and facilitation of workshops, training, skill building, and e-learning options for human capacity development; </w:t>
      </w:r>
    </w:p>
    <w:p w14:paraId="632D5267" w14:textId="77777777" w:rsidR="0016755A" w:rsidRPr="00A11EAB" w:rsidRDefault="0016755A" w:rsidP="00A10952">
      <w:pPr>
        <w:pStyle w:val="ListParagraph"/>
        <w:numPr>
          <w:ilvl w:val="0"/>
          <w:numId w:val="7"/>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Advice and formulation of high-level objectives/scoping/implementation approaches for interventions and project proposals across the Network;</w:t>
      </w:r>
    </w:p>
    <w:p w14:paraId="5CBF3799" w14:textId="144A9710" w:rsidR="0016755A" w:rsidRPr="00A11EAB" w:rsidRDefault="0016755A" w:rsidP="00A10952">
      <w:pPr>
        <w:pStyle w:val="ListParagraph"/>
        <w:numPr>
          <w:ilvl w:val="0"/>
          <w:numId w:val="7"/>
        </w:numPr>
        <w:spacing w:before="120" w:after="120" w:line="240" w:lineRule="auto"/>
        <w:ind w:left="1134" w:right="-170" w:hanging="567"/>
        <w:contextualSpacing w:val="0"/>
        <w:rPr>
          <w:rFonts w:ascii="Verdana" w:eastAsiaTheme="minorEastAsia" w:hAnsi="Verdana"/>
          <w:sz w:val="20"/>
          <w:szCs w:val="20"/>
          <w:lang w:val="en-GB"/>
        </w:rPr>
      </w:pPr>
      <w:r w:rsidRPr="00A11EAB">
        <w:rPr>
          <w:rFonts w:ascii="Verdana" w:eastAsia="Times New Roman" w:hAnsi="Verdana" w:cstheme="majorBidi"/>
          <w:sz w:val="20"/>
          <w:szCs w:val="20"/>
          <w:lang w:val="en-GB"/>
        </w:rPr>
        <w:t xml:space="preserve">Facilitation of science policy partnerships and communications between </w:t>
      </w:r>
      <w:r w:rsidRPr="00A11EAB">
        <w:rPr>
          <w:rFonts w:ascii="Verdana" w:hAnsi="Verdana"/>
          <w:sz w:val="20"/>
          <w:szCs w:val="20"/>
          <w:lang w:val="en-GB"/>
        </w:rPr>
        <w:t>relevant government, academic, private sector and civil society actors, including the media.</w:t>
      </w:r>
    </w:p>
    <w:p w14:paraId="2EC4BDED" w14:textId="77777777" w:rsidR="0016755A" w:rsidRPr="00A11EAB" w:rsidRDefault="0016755A" w:rsidP="00716F19">
      <w:pPr>
        <w:spacing w:before="240" w:after="240"/>
        <w:ind w:right="-170"/>
        <w:jc w:val="left"/>
        <w:rPr>
          <w:rFonts w:eastAsia="Times New Roman" w:cs="Times New Roman"/>
        </w:rPr>
      </w:pPr>
      <w:r w:rsidRPr="00A11EAB">
        <w:rPr>
          <w:rFonts w:eastAsia="Times New Roman" w:cstheme="majorBidi"/>
        </w:rPr>
        <w:t>Each Party shall be responsible for its own costs for its activities under this Agreement.</w:t>
      </w:r>
    </w:p>
    <w:p w14:paraId="4CB702AA"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 xml:space="preserve">The letter should designate an organizational focal point, who will be invited to participate in the Advisory Group, and represent the contributing partner (see below). </w:t>
      </w:r>
    </w:p>
    <w:p w14:paraId="010A9B8C" w14:textId="00D3CC7A" w:rsidR="00121AE7" w:rsidRPr="00A10952" w:rsidRDefault="0016755A" w:rsidP="00A10952">
      <w:pPr>
        <w:spacing w:before="240" w:after="240"/>
        <w:ind w:right="-170"/>
        <w:jc w:val="left"/>
        <w:rPr>
          <w:rFonts w:eastAsia="Times New Roman" w:cstheme="majorBidi"/>
        </w:rPr>
      </w:pPr>
      <w:r w:rsidRPr="00A11EAB">
        <w:rPr>
          <w:rFonts w:eastAsia="Times New Roman" w:cstheme="majorBidi"/>
        </w:rPr>
        <w:lastRenderedPageBreak/>
        <w:t xml:space="preserve">Contributions by organizations will be acknowledged on the Network website and in the activities to which they contribute. Contributing partners may seek Network endorsement by the </w:t>
      </w:r>
      <w:r w:rsidR="00A75B02" w:rsidRPr="00A11EAB">
        <w:rPr>
          <w:rFonts w:eastAsia="Times New Roman" w:cstheme="majorBidi"/>
        </w:rPr>
        <w:t>M</w:t>
      </w:r>
      <w:r w:rsidRPr="00A11EAB">
        <w:rPr>
          <w:rFonts w:eastAsia="Times New Roman" w:cstheme="majorBidi"/>
        </w:rPr>
        <w:t xml:space="preserve">anagement </w:t>
      </w:r>
      <w:r w:rsidR="00A75B02" w:rsidRPr="00A11EAB">
        <w:rPr>
          <w:rFonts w:eastAsia="Times New Roman" w:cstheme="majorBidi"/>
        </w:rPr>
        <w:t>C</w:t>
      </w:r>
      <w:r w:rsidRPr="00A11EAB">
        <w:rPr>
          <w:rFonts w:eastAsia="Times New Roman" w:cstheme="majorBidi"/>
        </w:rPr>
        <w:t>ommittee of projects which contribute to GHHIN goals through an online form.</w:t>
      </w:r>
    </w:p>
    <w:p w14:paraId="0EFE02BC" w14:textId="2F8BBB04" w:rsidR="0016755A" w:rsidRPr="005C1165" w:rsidRDefault="0016755A" w:rsidP="005C1165">
      <w:pPr>
        <w:pStyle w:val="ListParagraph"/>
        <w:numPr>
          <w:ilvl w:val="0"/>
          <w:numId w:val="16"/>
        </w:numPr>
        <w:spacing w:before="240" w:after="240"/>
        <w:ind w:left="567" w:hanging="567"/>
        <w:rPr>
          <w:rStyle w:val="Heading2Char"/>
          <w:rFonts w:eastAsia="Times New Roman"/>
          <w:b w:val="0"/>
          <w:bCs w:val="0"/>
          <w:sz w:val="20"/>
          <w:szCs w:val="20"/>
        </w:rPr>
      </w:pPr>
      <w:r w:rsidRPr="00A11EAB">
        <w:rPr>
          <w:rStyle w:val="Heading2Char"/>
          <w:rFonts w:eastAsia="Times New Roman"/>
          <w:sz w:val="20"/>
          <w:szCs w:val="20"/>
        </w:rPr>
        <w:t>Financial Partners</w:t>
      </w:r>
      <w:r w:rsidRPr="005C1165">
        <w:rPr>
          <w:rStyle w:val="Heading2Char"/>
          <w:rFonts w:eastAsia="Times New Roman"/>
          <w:b w:val="0"/>
          <w:bCs w:val="0"/>
          <w:sz w:val="20"/>
          <w:szCs w:val="20"/>
        </w:rPr>
        <w:t xml:space="preserve"> (Donors)</w:t>
      </w:r>
    </w:p>
    <w:p w14:paraId="41BB949B" w14:textId="77777777" w:rsidR="0016755A" w:rsidRPr="00A11EAB" w:rsidRDefault="0016755A" w:rsidP="00A10952">
      <w:pPr>
        <w:keepNext/>
        <w:keepLines/>
        <w:spacing w:before="240" w:after="240"/>
        <w:ind w:right="-170"/>
        <w:jc w:val="left"/>
        <w:rPr>
          <w:rFonts w:eastAsia="Times New Roman" w:cstheme="majorBidi"/>
        </w:rPr>
      </w:pPr>
      <w:r w:rsidRPr="00A11EAB">
        <w:rPr>
          <w:rFonts w:eastAsia="Times New Roman" w:cstheme="majorBidi"/>
        </w:rPr>
        <w:t xml:space="preserve">Institutions providing financial support to the Network are known as Financial Partners. They contribute to WMO through the Network Trust Fund, and to other co-sponsoring organizations through their respective funding mechanisms. Voluntary financial contributions to the Network shall meet existing rules for the receipt and use of United Nations extrabudgetary funding. As in the case of co-sponsoring organizations, </w:t>
      </w:r>
      <w:r w:rsidR="00A75B02" w:rsidRPr="00A11EAB">
        <w:rPr>
          <w:rFonts w:eastAsia="Times New Roman" w:cstheme="majorBidi"/>
        </w:rPr>
        <w:t>F</w:t>
      </w:r>
      <w:r w:rsidRPr="00A11EAB">
        <w:rPr>
          <w:rFonts w:eastAsia="Times New Roman" w:cstheme="majorBidi"/>
        </w:rPr>
        <w:t xml:space="preserve">inancial </w:t>
      </w:r>
      <w:r w:rsidR="00A75B02" w:rsidRPr="00A11EAB">
        <w:rPr>
          <w:rFonts w:eastAsia="Times New Roman" w:cstheme="majorBidi"/>
        </w:rPr>
        <w:t>P</w:t>
      </w:r>
      <w:r w:rsidRPr="00A11EAB">
        <w:rPr>
          <w:rFonts w:eastAsia="Times New Roman" w:cstheme="majorBidi"/>
        </w:rPr>
        <w:t xml:space="preserve">artners automatically have the option to be represented on the Management Committee, if they so choose. </w:t>
      </w:r>
    </w:p>
    <w:p w14:paraId="54202910" w14:textId="484BDD78" w:rsidR="0016755A" w:rsidRPr="00A11EAB" w:rsidRDefault="0016755A" w:rsidP="00B02A6B">
      <w:pPr>
        <w:pStyle w:val="ListParagraph"/>
        <w:numPr>
          <w:ilvl w:val="0"/>
          <w:numId w:val="16"/>
        </w:numPr>
        <w:spacing w:before="240" w:after="240"/>
        <w:ind w:left="567" w:hanging="567"/>
        <w:rPr>
          <w:rStyle w:val="Heading2Char"/>
          <w:rFonts w:eastAsia="Times New Roman"/>
          <w:sz w:val="20"/>
          <w:szCs w:val="20"/>
        </w:rPr>
      </w:pPr>
      <w:r w:rsidRPr="00A11EAB">
        <w:rPr>
          <w:rStyle w:val="Heading2Char"/>
          <w:rFonts w:eastAsia="Times New Roman"/>
          <w:sz w:val="20"/>
          <w:szCs w:val="20"/>
        </w:rPr>
        <w:t>Individual Experts and Participating Members</w:t>
      </w:r>
    </w:p>
    <w:p w14:paraId="70D43CA0" w14:textId="761C5324" w:rsidR="0016755A" w:rsidRPr="00A11EAB" w:rsidRDefault="0016755A" w:rsidP="00D2425B">
      <w:pPr>
        <w:spacing w:before="240" w:after="240"/>
        <w:ind w:right="-170"/>
        <w:jc w:val="left"/>
        <w:rPr>
          <w:rFonts w:eastAsia="Times New Roman" w:cstheme="majorBidi"/>
        </w:rPr>
      </w:pPr>
      <w:r w:rsidRPr="00A11EAB">
        <w:rPr>
          <w:rFonts w:eastAsia="Times New Roman" w:cstheme="majorBidi"/>
        </w:rPr>
        <w:t xml:space="preserve">As a knowledge network, individual experts and practitioners are recognized as participant members in the Network, which is independent of affiliation with their home institutions. Individual members may range from active experts who may serve on any level of Network governance and projects to more “silent” members such as attendees </w:t>
      </w:r>
      <w:r w:rsidR="00CD50B7">
        <w:rPr>
          <w:rFonts w:eastAsia="Times New Roman" w:cstheme="majorBidi"/>
        </w:rPr>
        <w:t>at</w:t>
      </w:r>
      <w:r w:rsidRPr="00A11EAB">
        <w:rPr>
          <w:rFonts w:eastAsia="Times New Roman" w:cstheme="majorBidi"/>
        </w:rPr>
        <w:t xml:space="preserve"> events and subscribers to mailing lists will be recognized as part of the overall Network community of practice. </w:t>
      </w:r>
    </w:p>
    <w:p w14:paraId="1926C2F5" w14:textId="77777777" w:rsidR="0016755A" w:rsidRPr="00A11EAB" w:rsidRDefault="0016755A" w:rsidP="009D39DA">
      <w:pPr>
        <w:jc w:val="left"/>
        <w:rPr>
          <w:rFonts w:eastAsia="Times New Roman" w:cstheme="majorBidi"/>
        </w:rPr>
      </w:pPr>
      <w:r w:rsidRPr="00A11EAB">
        <w:rPr>
          <w:rFonts w:eastAsia="Times New Roman" w:cstheme="majorBidi"/>
        </w:rPr>
        <w:t xml:space="preserve">See </w:t>
      </w:r>
      <w:hyperlink w:anchor="_Annex_1:_GHHIN" w:history="1">
        <w:r w:rsidRPr="00A11EAB">
          <w:rPr>
            <w:rStyle w:val="Hyperlink"/>
            <w:rFonts w:eastAsia="Times New Roman" w:cstheme="majorBidi"/>
          </w:rPr>
          <w:t>Annex 1</w:t>
        </w:r>
      </w:hyperlink>
      <w:r w:rsidRPr="00A11EAB">
        <w:rPr>
          <w:rFonts w:eastAsia="Times New Roman" w:cstheme="majorBidi"/>
        </w:rPr>
        <w:t>: Partnership and Membership Model</w:t>
      </w:r>
    </w:p>
    <w:p w14:paraId="7F11FC27" w14:textId="77777777" w:rsidR="0016755A" w:rsidRPr="00A11EAB" w:rsidRDefault="0016755A" w:rsidP="009D39DA">
      <w:pPr>
        <w:pStyle w:val="Heading1"/>
        <w:jc w:val="left"/>
        <w:rPr>
          <w:rFonts w:eastAsia="Times New Roman"/>
          <w:b w:val="0"/>
          <w:bCs w:val="0"/>
          <w:sz w:val="20"/>
          <w:szCs w:val="20"/>
        </w:rPr>
      </w:pPr>
      <w:r w:rsidRPr="00A11EAB">
        <w:rPr>
          <w:rFonts w:eastAsia="Times New Roman"/>
          <w:sz w:val="20"/>
          <w:szCs w:val="20"/>
        </w:rPr>
        <w:t xml:space="preserve">Section 3: Governance </w:t>
      </w:r>
    </w:p>
    <w:p w14:paraId="70036B7C" w14:textId="77777777" w:rsidR="0016755A" w:rsidRPr="00CD50B7" w:rsidRDefault="0016755A" w:rsidP="00CD50B7">
      <w:pPr>
        <w:spacing w:before="240" w:after="240"/>
        <w:ind w:right="-227"/>
        <w:jc w:val="left"/>
        <w:rPr>
          <w:rFonts w:eastAsia="Times New Roman" w:cstheme="majorBidi"/>
          <w:spacing w:val="-2"/>
        </w:rPr>
      </w:pPr>
      <w:r w:rsidRPr="00CD50B7">
        <w:rPr>
          <w:rFonts w:eastAsia="Times New Roman" w:cstheme="majorBidi"/>
          <w:spacing w:val="-2"/>
        </w:rPr>
        <w:t xml:space="preserve">A two-tier governance structure is comprised of the Advisory Group and Management Committee. </w:t>
      </w:r>
    </w:p>
    <w:p w14:paraId="4E3F760C" w14:textId="19840DC0" w:rsidR="0016755A" w:rsidRPr="00B02A6B" w:rsidRDefault="0016755A" w:rsidP="00B02A6B">
      <w:pPr>
        <w:pStyle w:val="ListParagraph"/>
        <w:numPr>
          <w:ilvl w:val="0"/>
          <w:numId w:val="17"/>
        </w:numPr>
        <w:tabs>
          <w:tab w:val="left" w:pos="567"/>
        </w:tabs>
        <w:spacing w:after="120"/>
        <w:ind w:left="567" w:hanging="567"/>
        <w:rPr>
          <w:rFonts w:eastAsia="Times New Roman" w:cstheme="majorBidi"/>
        </w:rPr>
      </w:pPr>
      <w:r w:rsidRPr="00B02A6B">
        <w:rPr>
          <w:rStyle w:val="Heading2Char"/>
          <w:rFonts w:eastAsia="Times New Roman"/>
          <w:sz w:val="20"/>
          <w:szCs w:val="20"/>
        </w:rPr>
        <w:t>Advisory Group</w:t>
      </w:r>
    </w:p>
    <w:p w14:paraId="73A089E4" w14:textId="62C6E706"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The Advisory Group (AG) is a global and open consultative group that will serve as a resource and feedback mechanism to identify emerging issues and guide the development and implementation of Network activities. The AG is expected to share learning and identified needs, findings from projects, evaluations, and policy, scientific and technical advances in extreme heat</w:t>
      </w:r>
      <w:r w:rsidR="007717A0" w:rsidRPr="00A11EAB">
        <w:rPr>
          <w:rFonts w:eastAsia="Times New Roman" w:cstheme="majorBidi"/>
        </w:rPr>
        <w:t xml:space="preserve"> </w:t>
      </w:r>
      <w:r w:rsidRPr="00A11EAB">
        <w:rPr>
          <w:rFonts w:eastAsia="Times New Roman" w:cstheme="majorBidi"/>
        </w:rPr>
        <w:t>health</w:t>
      </w:r>
      <w:r w:rsidR="00766481">
        <w:rPr>
          <w:rFonts w:eastAsia="Times New Roman" w:cstheme="majorBidi"/>
        </w:rPr>
        <w:t>-</w:t>
      </w:r>
      <w:r w:rsidRPr="00A11EAB">
        <w:rPr>
          <w:rFonts w:eastAsia="Times New Roman" w:cstheme="majorBidi"/>
        </w:rPr>
        <w:t xml:space="preserve">related issues. With the support of the TSU as Secretariat, the AG will consist of the following: </w:t>
      </w:r>
    </w:p>
    <w:p w14:paraId="70D6E05E" w14:textId="77777777"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The Chairperson: Nominated jointly by Co-sponsoring Organizations; </w:t>
      </w:r>
    </w:p>
    <w:p w14:paraId="7E6A6FC1" w14:textId="77777777"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Two representatives from each co-sponsored organization;</w:t>
      </w:r>
    </w:p>
    <w:p w14:paraId="544E37D2" w14:textId="77777777"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One representative from the WMO Service Commission Health Study Group, Standing Committee on </w:t>
      </w:r>
      <w:r w:rsidR="0091482A" w:rsidRPr="00A11EAB">
        <w:rPr>
          <w:rFonts w:ascii="Verdana" w:eastAsia="Times New Roman" w:hAnsi="Verdana" w:cstheme="majorBidi"/>
          <w:sz w:val="20"/>
          <w:szCs w:val="20"/>
          <w:lang w:val="en-GB"/>
        </w:rPr>
        <w:t xml:space="preserve">Disaster Risk Reduction </w:t>
      </w:r>
      <w:r w:rsidR="00550B75" w:rsidRPr="00A11EAB">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DRR</w:t>
      </w:r>
      <w:r w:rsidR="00550B75" w:rsidRPr="00A11EAB">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 xml:space="preserve">, Standing Committee on Climate; </w:t>
      </w:r>
    </w:p>
    <w:p w14:paraId="57C0651B" w14:textId="7B7568E1"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heme="minorEastAsia" w:hAnsi="Verdana"/>
          <w:sz w:val="20"/>
          <w:szCs w:val="20"/>
          <w:lang w:val="en-GB"/>
        </w:rPr>
      </w:pPr>
      <w:r w:rsidRPr="00A11EAB">
        <w:rPr>
          <w:rFonts w:ascii="Verdana" w:eastAsia="Times New Roman" w:hAnsi="Verdana" w:cstheme="majorBidi"/>
          <w:sz w:val="20"/>
          <w:szCs w:val="20"/>
          <w:lang w:val="en-GB"/>
        </w:rPr>
        <w:t>One representative from the WHO thematic platform for Health Emergency and Disaster Risk Management, or relevant programmes;</w:t>
      </w:r>
    </w:p>
    <w:p w14:paraId="0AF39348" w14:textId="77777777"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One representative from each of the Contributing Partners;</w:t>
      </w:r>
    </w:p>
    <w:p w14:paraId="3D65D5CC" w14:textId="77777777"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Two representatives from Regional Network Nodes;</w:t>
      </w:r>
    </w:p>
    <w:p w14:paraId="06C7C622" w14:textId="77777777"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One representative from each of the Financial Partners;</w:t>
      </w:r>
    </w:p>
    <w:p w14:paraId="3908C3B8" w14:textId="77777777" w:rsidR="0016755A" w:rsidRPr="00A11EAB" w:rsidRDefault="0016755A" w:rsidP="00A10952">
      <w:pPr>
        <w:pStyle w:val="ListParagraph"/>
        <w:numPr>
          <w:ilvl w:val="0"/>
          <w:numId w:val="11"/>
        </w:numPr>
        <w:spacing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Observers.</w:t>
      </w:r>
    </w:p>
    <w:p w14:paraId="20493A9E"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The Terms of Reference of the A</w:t>
      </w:r>
      <w:r w:rsidR="00D765FA" w:rsidRPr="00A11EAB">
        <w:rPr>
          <w:rFonts w:eastAsia="Times New Roman" w:cstheme="majorBidi"/>
        </w:rPr>
        <w:t>G</w:t>
      </w:r>
      <w:r w:rsidRPr="00A11EAB">
        <w:rPr>
          <w:rFonts w:eastAsia="Times New Roman" w:cstheme="majorBidi"/>
        </w:rPr>
        <w:t xml:space="preserve"> are as follows: </w:t>
      </w:r>
    </w:p>
    <w:p w14:paraId="345A91E5" w14:textId="77777777" w:rsidR="0016755A" w:rsidRPr="00A11EAB" w:rsidRDefault="0016755A" w:rsidP="00F06D01">
      <w:pPr>
        <w:pStyle w:val="ListParagraph"/>
        <w:numPr>
          <w:ilvl w:val="0"/>
          <w:numId w:val="10"/>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Guides the implementation of the Network, making proposals for the annual work plan to be considered by the Management Committee;</w:t>
      </w:r>
    </w:p>
    <w:p w14:paraId="119BD782" w14:textId="77777777" w:rsidR="0016755A" w:rsidRPr="00A11EAB" w:rsidRDefault="0016755A" w:rsidP="00F06D01">
      <w:pPr>
        <w:pStyle w:val="ListParagraph"/>
        <w:numPr>
          <w:ilvl w:val="0"/>
          <w:numId w:val="10"/>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lastRenderedPageBreak/>
        <w:t>Ensures, by advising the TSU, that the Network develops and maintains an adequate service spectrum, an effective and efficient working arrangement vis-à-vis beneficiaries, Contributing Partners and Financial Partners;</w:t>
      </w:r>
    </w:p>
    <w:p w14:paraId="22A75D7C" w14:textId="6B244439" w:rsidR="0016755A" w:rsidRPr="00A11EAB" w:rsidRDefault="0016755A" w:rsidP="00F06D01">
      <w:pPr>
        <w:pStyle w:val="ListParagraph"/>
        <w:numPr>
          <w:ilvl w:val="0"/>
          <w:numId w:val="10"/>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Ensures synergies and multi</w:t>
      </w:r>
      <w:r w:rsidR="00A80F1D" w:rsidRPr="00A11EAB">
        <w:rPr>
          <w:rFonts w:ascii="Verdana" w:eastAsia="Times New Roman" w:hAnsi="Verdana" w:cstheme="majorBidi"/>
          <w:sz w:val="20"/>
          <w:szCs w:val="20"/>
          <w:lang w:val="en-GB"/>
        </w:rPr>
        <w:t>-disciplinary</w:t>
      </w:r>
      <w:r w:rsidRPr="00A11EAB">
        <w:rPr>
          <w:rFonts w:ascii="Verdana" w:eastAsia="Times New Roman" w:hAnsi="Verdana" w:cstheme="majorBidi"/>
          <w:sz w:val="20"/>
          <w:szCs w:val="20"/>
          <w:lang w:val="en-GB"/>
        </w:rPr>
        <w:t xml:space="preserve"> inputs into the activities of the Network and suggests approaches to implement I</w:t>
      </w:r>
      <w:r w:rsidR="00D765FA" w:rsidRPr="00A11EAB">
        <w:rPr>
          <w:rFonts w:ascii="Verdana" w:eastAsia="Times New Roman" w:hAnsi="Verdana" w:cstheme="majorBidi"/>
          <w:sz w:val="20"/>
          <w:szCs w:val="20"/>
          <w:lang w:val="en-GB"/>
        </w:rPr>
        <w:t>HHM</w:t>
      </w:r>
      <w:r w:rsidRPr="00A11EAB">
        <w:rPr>
          <w:rFonts w:ascii="Verdana" w:eastAsia="Times New Roman" w:hAnsi="Verdana" w:cstheme="majorBidi"/>
          <w:sz w:val="20"/>
          <w:szCs w:val="20"/>
          <w:lang w:val="en-GB"/>
        </w:rPr>
        <w:t xml:space="preserve"> Framework concepts in the field;</w:t>
      </w:r>
    </w:p>
    <w:p w14:paraId="09BA2DED" w14:textId="77777777" w:rsidR="0016755A" w:rsidRPr="00A11EAB" w:rsidRDefault="0016755A" w:rsidP="00F06D01">
      <w:pPr>
        <w:pStyle w:val="ListParagraph"/>
        <w:numPr>
          <w:ilvl w:val="0"/>
          <w:numId w:val="10"/>
        </w:numPr>
        <w:spacing w:before="120" w:after="24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Proposes priorities and opportunities for the network’s activities, impacts, and influence.</w:t>
      </w:r>
    </w:p>
    <w:p w14:paraId="46808256" w14:textId="779883A8" w:rsidR="0016755A" w:rsidRPr="00D43B35" w:rsidRDefault="0016755A" w:rsidP="00D43B35">
      <w:pPr>
        <w:pStyle w:val="ListParagraph"/>
        <w:numPr>
          <w:ilvl w:val="0"/>
          <w:numId w:val="17"/>
        </w:numPr>
        <w:tabs>
          <w:tab w:val="left" w:pos="567"/>
        </w:tabs>
        <w:spacing w:after="120"/>
        <w:ind w:left="567" w:hanging="567"/>
        <w:rPr>
          <w:rStyle w:val="Heading2Char"/>
          <w:rFonts w:eastAsia="Times New Roman"/>
          <w:iCs w:val="0"/>
          <w:sz w:val="20"/>
          <w:szCs w:val="20"/>
        </w:rPr>
      </w:pPr>
      <w:r w:rsidRPr="00D43B35">
        <w:rPr>
          <w:rStyle w:val="Heading2Char"/>
          <w:rFonts w:eastAsia="Times New Roman"/>
          <w:sz w:val="20"/>
          <w:szCs w:val="20"/>
        </w:rPr>
        <w:t>Management Committee</w:t>
      </w:r>
    </w:p>
    <w:p w14:paraId="7FED0010"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 xml:space="preserve">The Management Committee will review the progress of work, monitor implementation of the programme and decide on the budget plan. The Management Committee has approximately 18-20 members, meeting agreed criteria of technical, institutional, regional, and age diversity. </w:t>
      </w:r>
    </w:p>
    <w:p w14:paraId="42285FF2" w14:textId="77777777" w:rsidR="0016755A" w:rsidRPr="00A11EAB" w:rsidRDefault="0016755A" w:rsidP="00C57138">
      <w:pPr>
        <w:spacing w:after="120"/>
        <w:jc w:val="left"/>
        <w:rPr>
          <w:rFonts w:eastAsia="Times New Roman" w:cstheme="majorBidi"/>
        </w:rPr>
      </w:pPr>
      <w:r w:rsidRPr="00A11EAB">
        <w:rPr>
          <w:rFonts w:eastAsia="Times New Roman" w:cstheme="majorBidi"/>
        </w:rPr>
        <w:t xml:space="preserve">With the support of the TSU as Secretariat, the </w:t>
      </w:r>
      <w:r w:rsidRPr="00A11EAB">
        <w:rPr>
          <w:rFonts w:eastAsia="Times New Roman" w:cstheme="majorBidi"/>
          <w:b/>
          <w:bCs/>
        </w:rPr>
        <w:t>Management Committee</w:t>
      </w:r>
      <w:r w:rsidRPr="00A11EAB">
        <w:rPr>
          <w:rFonts w:eastAsia="Times New Roman" w:cstheme="majorBidi"/>
        </w:rPr>
        <w:t xml:space="preserve"> consists of (as minimum)</w:t>
      </w:r>
      <w:r w:rsidR="00C57138" w:rsidRPr="00A11EAB">
        <w:rPr>
          <w:rFonts w:eastAsia="Times New Roman" w:cstheme="majorBidi"/>
        </w:rPr>
        <w:t>:</w:t>
      </w:r>
    </w:p>
    <w:p w14:paraId="21F5A3C1" w14:textId="77777777" w:rsidR="0016755A" w:rsidRPr="00A11EAB" w:rsidRDefault="0016755A" w:rsidP="007365CB">
      <w:pPr>
        <w:pStyle w:val="ListParagraph"/>
        <w:numPr>
          <w:ilvl w:val="0"/>
          <w:numId w:val="4"/>
        </w:numPr>
        <w:spacing w:after="120" w:line="240" w:lineRule="auto"/>
        <w:ind w:left="1134"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The Chairperson: To be nominated jointly by the co-sponsoring international organizations, who is also the </w:t>
      </w:r>
      <w:r w:rsidR="00D765FA" w:rsidRPr="00A11EAB">
        <w:rPr>
          <w:rFonts w:ascii="Verdana" w:eastAsia="Times New Roman" w:hAnsi="Verdana" w:cstheme="majorBidi"/>
          <w:sz w:val="20"/>
          <w:szCs w:val="20"/>
          <w:lang w:val="en-GB"/>
        </w:rPr>
        <w:t>C</w:t>
      </w:r>
      <w:r w:rsidRPr="00A11EAB">
        <w:rPr>
          <w:rFonts w:ascii="Verdana" w:eastAsia="Times New Roman" w:hAnsi="Verdana" w:cstheme="majorBidi"/>
          <w:sz w:val="20"/>
          <w:szCs w:val="20"/>
          <w:lang w:val="en-GB"/>
        </w:rPr>
        <w:t>hairperson of the A</w:t>
      </w:r>
      <w:r w:rsidR="00D765FA" w:rsidRPr="00A11EAB">
        <w:rPr>
          <w:rFonts w:ascii="Verdana" w:eastAsia="Times New Roman" w:hAnsi="Verdana" w:cstheme="majorBidi"/>
          <w:sz w:val="20"/>
          <w:szCs w:val="20"/>
          <w:lang w:val="en-GB"/>
        </w:rPr>
        <w:t>G</w:t>
      </w:r>
      <w:r w:rsidRPr="00A11EAB">
        <w:rPr>
          <w:rFonts w:ascii="Verdana" w:eastAsia="Times New Roman" w:hAnsi="Verdana" w:cstheme="majorBidi"/>
          <w:sz w:val="20"/>
          <w:szCs w:val="20"/>
          <w:lang w:val="en-GB"/>
        </w:rPr>
        <w:t>;</w:t>
      </w:r>
    </w:p>
    <w:p w14:paraId="6797D89C" w14:textId="77777777" w:rsidR="0016755A" w:rsidRPr="00A11EAB" w:rsidRDefault="0016755A" w:rsidP="007365CB">
      <w:pPr>
        <w:pStyle w:val="ListParagraph"/>
        <w:numPr>
          <w:ilvl w:val="0"/>
          <w:numId w:val="4"/>
        </w:numPr>
        <w:spacing w:after="120" w:line="240" w:lineRule="auto"/>
        <w:ind w:left="1134" w:hanging="567"/>
        <w:contextualSpacing w:val="0"/>
        <w:rPr>
          <w:rFonts w:ascii="Verdana" w:eastAsia="Times New Roman" w:hAnsi="Verdana" w:cstheme="majorHAnsi"/>
          <w:sz w:val="20"/>
          <w:szCs w:val="20"/>
          <w:lang w:val="en-GB"/>
        </w:rPr>
      </w:pPr>
      <w:r w:rsidRPr="00A11EAB">
        <w:rPr>
          <w:rFonts w:ascii="Verdana" w:eastAsia="Times New Roman" w:hAnsi="Verdana" w:cstheme="majorHAnsi"/>
          <w:sz w:val="20"/>
          <w:szCs w:val="20"/>
          <w:lang w:val="en-GB"/>
        </w:rPr>
        <w:t xml:space="preserve">Two representatives from each co-sponsoring organization; </w:t>
      </w:r>
    </w:p>
    <w:p w14:paraId="475DCD09" w14:textId="77777777" w:rsidR="0016755A" w:rsidRPr="00A11EAB" w:rsidRDefault="0016755A" w:rsidP="007365CB">
      <w:pPr>
        <w:pStyle w:val="ListParagraph"/>
        <w:numPr>
          <w:ilvl w:val="0"/>
          <w:numId w:val="4"/>
        </w:numPr>
        <w:spacing w:after="120" w:line="240" w:lineRule="auto"/>
        <w:ind w:left="1134"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One representative from each of the Financial Partners (if desired); </w:t>
      </w:r>
    </w:p>
    <w:p w14:paraId="748FAF7A" w14:textId="68B5EB0E" w:rsidR="0016755A" w:rsidRPr="00A11EAB" w:rsidRDefault="0016755A" w:rsidP="007365CB">
      <w:pPr>
        <w:pStyle w:val="ListParagraph"/>
        <w:numPr>
          <w:ilvl w:val="0"/>
          <w:numId w:val="4"/>
        </w:numPr>
        <w:spacing w:after="120" w:line="240" w:lineRule="auto"/>
        <w:ind w:left="1134" w:hanging="567"/>
        <w:contextualSpacing w:val="0"/>
        <w:rPr>
          <w:rFonts w:ascii="Verdana" w:hAnsi="Verdana"/>
          <w:sz w:val="20"/>
          <w:szCs w:val="20"/>
          <w:lang w:val="en-GB"/>
        </w:rPr>
      </w:pPr>
      <w:r w:rsidRPr="00A11EAB">
        <w:rPr>
          <w:rFonts w:ascii="Verdana" w:eastAsia="Times New Roman" w:hAnsi="Verdana" w:cstheme="majorBidi"/>
          <w:sz w:val="20"/>
          <w:szCs w:val="20"/>
          <w:lang w:val="en-GB"/>
        </w:rPr>
        <w:t>One representative from each of the Regional Network Node</w:t>
      </w:r>
      <w:r w:rsidR="00AD6F41">
        <w:rPr>
          <w:rFonts w:ascii="Verdana" w:eastAsia="Times New Roman" w:hAnsi="Verdana" w:cstheme="majorBidi"/>
          <w:sz w:val="20"/>
          <w:szCs w:val="20"/>
          <w:lang w:val="en-GB"/>
        </w:rPr>
        <w:t>s</w:t>
      </w:r>
      <w:r w:rsidRPr="00A11EAB">
        <w:rPr>
          <w:rFonts w:ascii="Verdana" w:eastAsia="Times New Roman" w:hAnsi="Verdana" w:cstheme="majorBidi"/>
          <w:sz w:val="20"/>
          <w:szCs w:val="20"/>
          <w:lang w:val="en-GB"/>
        </w:rPr>
        <w:t xml:space="preserve">; </w:t>
      </w:r>
    </w:p>
    <w:p w14:paraId="474BDA06" w14:textId="77777777" w:rsidR="0016755A" w:rsidRPr="00A11EAB" w:rsidRDefault="0016755A" w:rsidP="007365CB">
      <w:pPr>
        <w:pStyle w:val="ListParagraph"/>
        <w:numPr>
          <w:ilvl w:val="0"/>
          <w:numId w:val="4"/>
        </w:numPr>
        <w:spacing w:after="120" w:line="240" w:lineRule="auto"/>
        <w:ind w:left="1134"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Five members from the Contributing Partners;</w:t>
      </w:r>
    </w:p>
    <w:p w14:paraId="43F7F803" w14:textId="77777777" w:rsidR="0016755A" w:rsidRPr="00A11EAB" w:rsidRDefault="0016755A" w:rsidP="00C2536E">
      <w:pPr>
        <w:pStyle w:val="ListParagraph"/>
        <w:numPr>
          <w:ilvl w:val="0"/>
          <w:numId w:val="4"/>
        </w:numPr>
        <w:ind w:left="1134" w:hanging="567"/>
        <w:rPr>
          <w:rFonts w:ascii="Verdana" w:hAnsi="Verdana"/>
          <w:sz w:val="20"/>
          <w:szCs w:val="20"/>
          <w:lang w:val="en-GB"/>
        </w:rPr>
      </w:pPr>
      <w:r w:rsidRPr="00A11EAB">
        <w:rPr>
          <w:rFonts w:ascii="Verdana" w:eastAsia="Times New Roman" w:hAnsi="Verdana" w:cstheme="majorBidi"/>
          <w:sz w:val="20"/>
          <w:szCs w:val="20"/>
          <w:lang w:val="en-GB"/>
        </w:rPr>
        <w:t>Two early career representatives.</w:t>
      </w:r>
    </w:p>
    <w:p w14:paraId="1AF27125"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 xml:space="preserve">In cooperation with the Chairperson, the TSU has the right to invite additional participants or observers on an ad-hoc basis. </w:t>
      </w:r>
    </w:p>
    <w:p w14:paraId="61EB5B0D" w14:textId="77777777" w:rsidR="0016755A" w:rsidRPr="00A11EAB" w:rsidRDefault="0016755A" w:rsidP="00716F19">
      <w:pPr>
        <w:spacing w:before="240" w:after="240"/>
        <w:ind w:right="-170"/>
        <w:jc w:val="left"/>
        <w:rPr>
          <w:rFonts w:eastAsia="Times New Roman" w:cstheme="majorHAnsi"/>
        </w:rPr>
      </w:pPr>
      <w:r w:rsidRPr="00A11EAB">
        <w:rPr>
          <w:rFonts w:eastAsia="Times New Roman" w:cstheme="majorHAnsi"/>
        </w:rPr>
        <w:t xml:space="preserve">The Terms of Reference of the Management Committee are as follows: </w:t>
      </w:r>
    </w:p>
    <w:p w14:paraId="1D10EDEC" w14:textId="77777777" w:rsidR="0016755A" w:rsidRPr="00A11EAB" w:rsidRDefault="0016755A" w:rsidP="000B2898">
      <w:pPr>
        <w:numPr>
          <w:ilvl w:val="0"/>
          <w:numId w:val="9"/>
        </w:numPr>
        <w:tabs>
          <w:tab w:val="clear" w:pos="720"/>
          <w:tab w:val="clear" w:pos="1134"/>
        </w:tabs>
        <w:spacing w:before="120" w:after="120"/>
        <w:ind w:left="1134" w:right="-170" w:hanging="567"/>
        <w:jc w:val="left"/>
        <w:rPr>
          <w:rFonts w:eastAsiaTheme="minorEastAsia"/>
        </w:rPr>
      </w:pPr>
      <w:r w:rsidRPr="00A11EAB">
        <w:rPr>
          <w:rFonts w:eastAsia="Times New Roman" w:cstheme="majorBidi"/>
        </w:rPr>
        <w:t>Promotes the values, mission, and goals of the Network</w:t>
      </w:r>
      <w:r w:rsidR="008B63C4" w:rsidRPr="00A11EAB">
        <w:rPr>
          <w:rFonts w:eastAsia="Times New Roman" w:cstheme="majorBidi"/>
        </w:rPr>
        <w:t>;</w:t>
      </w:r>
    </w:p>
    <w:p w14:paraId="2D84354D" w14:textId="77777777" w:rsidR="0016755A" w:rsidRPr="00AD6F41" w:rsidRDefault="0016755A" w:rsidP="00AD6F41">
      <w:pPr>
        <w:numPr>
          <w:ilvl w:val="0"/>
          <w:numId w:val="9"/>
        </w:numPr>
        <w:tabs>
          <w:tab w:val="clear" w:pos="720"/>
          <w:tab w:val="clear" w:pos="1134"/>
        </w:tabs>
        <w:spacing w:before="120" w:after="120"/>
        <w:ind w:left="1134" w:right="-227" w:hanging="567"/>
        <w:jc w:val="left"/>
        <w:rPr>
          <w:rFonts w:eastAsiaTheme="minorEastAsia"/>
          <w:spacing w:val="-2"/>
        </w:rPr>
      </w:pPr>
      <w:r w:rsidRPr="00AD6F41">
        <w:rPr>
          <w:rFonts w:eastAsia="Times New Roman" w:cstheme="majorBidi"/>
          <w:spacing w:val="-2"/>
        </w:rPr>
        <w:t>Provides oversight to the Network and its TSU, monitoring the progress of implementation of activities and the A</w:t>
      </w:r>
      <w:r w:rsidR="00D765FA" w:rsidRPr="00AD6F41">
        <w:rPr>
          <w:rFonts w:eastAsia="Times New Roman" w:cstheme="majorBidi"/>
          <w:spacing w:val="-2"/>
        </w:rPr>
        <w:t>G</w:t>
      </w:r>
      <w:r w:rsidRPr="00AD6F41">
        <w:rPr>
          <w:rFonts w:eastAsia="Times New Roman" w:cstheme="majorBidi"/>
          <w:spacing w:val="-2"/>
        </w:rPr>
        <w:t xml:space="preserve"> recommendations;</w:t>
      </w:r>
    </w:p>
    <w:p w14:paraId="43FD9826" w14:textId="77777777" w:rsidR="0016755A" w:rsidRPr="00A11EAB" w:rsidRDefault="0016755A" w:rsidP="00107019">
      <w:pPr>
        <w:numPr>
          <w:ilvl w:val="0"/>
          <w:numId w:val="9"/>
        </w:numPr>
        <w:tabs>
          <w:tab w:val="clear" w:pos="720"/>
          <w:tab w:val="clear" w:pos="1134"/>
        </w:tabs>
        <w:spacing w:before="120" w:after="120"/>
        <w:ind w:left="1134" w:right="-170" w:hanging="567"/>
        <w:jc w:val="left"/>
        <w:rPr>
          <w:rFonts w:eastAsiaTheme="minorEastAsia"/>
        </w:rPr>
      </w:pPr>
      <w:r w:rsidRPr="00A11EAB">
        <w:rPr>
          <w:rFonts w:eastAsia="Times New Roman" w:cstheme="majorBidi"/>
        </w:rPr>
        <w:t>Advises the level of financial support required for the Network including the TSU, as well as the corresponding resource mobilization strategy;</w:t>
      </w:r>
    </w:p>
    <w:p w14:paraId="72C2C716" w14:textId="3CE02F4C" w:rsidR="0016755A" w:rsidRPr="00A11EAB" w:rsidRDefault="0016755A" w:rsidP="00107019">
      <w:pPr>
        <w:numPr>
          <w:ilvl w:val="0"/>
          <w:numId w:val="9"/>
        </w:numPr>
        <w:tabs>
          <w:tab w:val="clear" w:pos="720"/>
          <w:tab w:val="clear" w:pos="1134"/>
        </w:tabs>
        <w:spacing w:before="120" w:after="120"/>
        <w:ind w:left="1134" w:right="-170" w:hanging="567"/>
        <w:jc w:val="left"/>
        <w:rPr>
          <w:rFonts w:eastAsiaTheme="minorEastAsia"/>
        </w:rPr>
      </w:pPr>
      <w:r w:rsidRPr="00A11EAB">
        <w:rPr>
          <w:rFonts w:eastAsia="Times New Roman" w:cstheme="majorBidi"/>
        </w:rPr>
        <w:t>Approves the Network annual work plan and budget;</w:t>
      </w:r>
    </w:p>
    <w:p w14:paraId="355C9CAA" w14:textId="77777777" w:rsidR="0016755A" w:rsidRPr="00A11EAB" w:rsidRDefault="0016755A" w:rsidP="00107019">
      <w:pPr>
        <w:numPr>
          <w:ilvl w:val="0"/>
          <w:numId w:val="9"/>
        </w:numPr>
        <w:tabs>
          <w:tab w:val="clear" w:pos="720"/>
          <w:tab w:val="clear" w:pos="1134"/>
        </w:tabs>
        <w:spacing w:before="120" w:after="120"/>
        <w:ind w:left="1134" w:right="-170" w:hanging="567"/>
        <w:jc w:val="left"/>
        <w:rPr>
          <w:rFonts w:eastAsiaTheme="minorEastAsia"/>
        </w:rPr>
      </w:pPr>
      <w:r w:rsidRPr="00A11EAB">
        <w:rPr>
          <w:rFonts w:eastAsia="Times New Roman" w:cstheme="majorBidi"/>
        </w:rPr>
        <w:t>Adopts modifications to the governance framework of the Network;</w:t>
      </w:r>
    </w:p>
    <w:p w14:paraId="3CF30165" w14:textId="77777777" w:rsidR="0016755A" w:rsidRPr="00A11EAB" w:rsidRDefault="0016755A" w:rsidP="00107019">
      <w:pPr>
        <w:numPr>
          <w:ilvl w:val="0"/>
          <w:numId w:val="9"/>
        </w:numPr>
        <w:tabs>
          <w:tab w:val="clear" w:pos="720"/>
          <w:tab w:val="clear" w:pos="1134"/>
        </w:tabs>
        <w:spacing w:before="120" w:after="120"/>
        <w:ind w:left="1134" w:right="-170" w:hanging="567"/>
        <w:jc w:val="left"/>
        <w:rPr>
          <w:rFonts w:eastAsiaTheme="minorEastAsia"/>
        </w:rPr>
      </w:pPr>
      <w:r w:rsidRPr="00A11EAB">
        <w:rPr>
          <w:rFonts w:eastAsia="Times New Roman" w:cstheme="majorBidi"/>
        </w:rPr>
        <w:t>Sets and reviews criteria of eligibility for Contributing Partners as well as the threshold to qualify as a substantive financial contributor;</w:t>
      </w:r>
    </w:p>
    <w:p w14:paraId="1E141E62" w14:textId="47CABB4C" w:rsidR="0016755A" w:rsidRPr="00107019" w:rsidRDefault="0016755A" w:rsidP="009D39DA">
      <w:pPr>
        <w:numPr>
          <w:ilvl w:val="0"/>
          <w:numId w:val="9"/>
        </w:numPr>
        <w:tabs>
          <w:tab w:val="clear" w:pos="720"/>
          <w:tab w:val="clear" w:pos="1134"/>
        </w:tabs>
        <w:spacing w:before="120" w:after="120"/>
        <w:ind w:left="1134" w:right="-170" w:hanging="567"/>
        <w:jc w:val="left"/>
        <w:rPr>
          <w:rFonts w:eastAsiaTheme="minorEastAsia"/>
        </w:rPr>
      </w:pPr>
      <w:r w:rsidRPr="00A11EAB">
        <w:rPr>
          <w:rFonts w:eastAsia="Times New Roman" w:cstheme="majorBidi"/>
        </w:rPr>
        <w:t>Establishes its own modus operandi and procedural rules, as well as those of the A</w:t>
      </w:r>
      <w:r w:rsidR="00D765FA" w:rsidRPr="00A11EAB">
        <w:rPr>
          <w:rFonts w:eastAsia="Times New Roman" w:cstheme="majorBidi"/>
        </w:rPr>
        <w:t>G</w:t>
      </w:r>
      <w:r w:rsidRPr="00A11EAB">
        <w:rPr>
          <w:rFonts w:eastAsia="Times New Roman" w:cstheme="majorBidi"/>
        </w:rPr>
        <w:t xml:space="preserve">. </w:t>
      </w:r>
    </w:p>
    <w:p w14:paraId="04DE4675"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The A</w:t>
      </w:r>
      <w:r w:rsidR="00D765FA" w:rsidRPr="00A11EAB">
        <w:rPr>
          <w:rFonts w:eastAsia="Times New Roman" w:cstheme="majorBidi"/>
        </w:rPr>
        <w:t>G</w:t>
      </w:r>
      <w:r w:rsidRPr="00A11EAB">
        <w:rPr>
          <w:rFonts w:eastAsia="Times New Roman" w:cstheme="majorBidi"/>
        </w:rPr>
        <w:t xml:space="preserve"> and the Management Committee will meet at least once a year and shall meet, as far as possible, in conjunction. </w:t>
      </w:r>
    </w:p>
    <w:p w14:paraId="5E41BA76" w14:textId="77777777" w:rsidR="0016755A" w:rsidRPr="00A11EAB" w:rsidRDefault="0016755A" w:rsidP="009D39DA">
      <w:pPr>
        <w:pStyle w:val="Heading1"/>
        <w:jc w:val="left"/>
        <w:rPr>
          <w:rFonts w:eastAsia="Times New Roman"/>
          <w:b w:val="0"/>
          <w:bCs w:val="0"/>
          <w:sz w:val="20"/>
          <w:szCs w:val="20"/>
        </w:rPr>
      </w:pPr>
      <w:r w:rsidRPr="00A11EAB">
        <w:rPr>
          <w:rFonts w:eastAsia="Times New Roman"/>
          <w:sz w:val="20"/>
          <w:szCs w:val="20"/>
        </w:rPr>
        <w:t xml:space="preserve">Section 4: Contributions and Resources </w:t>
      </w:r>
    </w:p>
    <w:p w14:paraId="1A9B3768"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 xml:space="preserve">The Network common activities are carried out using resources consisting of in-kind and financial contributions from the co-sponsoring organizations, voluntary in-kind contributions from Contributing Partners/Members and financial contributions by the Financial Partners to the Network Trust Fund. </w:t>
      </w:r>
    </w:p>
    <w:p w14:paraId="4FA951E5" w14:textId="77777777" w:rsidR="0016755A" w:rsidRPr="00A11EAB" w:rsidRDefault="0016755A" w:rsidP="00716F19">
      <w:pPr>
        <w:spacing w:before="240" w:after="240"/>
        <w:ind w:right="-170"/>
        <w:jc w:val="left"/>
        <w:rPr>
          <w:rFonts w:eastAsia="Times New Roman" w:cstheme="majorBidi"/>
        </w:rPr>
      </w:pPr>
      <w:r w:rsidRPr="003E312E">
        <w:rPr>
          <w:rFonts w:eastAsia="Times New Roman" w:cstheme="majorBidi"/>
        </w:rPr>
        <w:lastRenderedPageBreak/>
        <w:t>Based on the current arrangement, the Network has in practice already been co-sponsored by</w:t>
      </w:r>
      <w:r w:rsidRPr="00A11EAB">
        <w:rPr>
          <w:rFonts w:eastAsia="Times New Roman" w:cstheme="majorBidi"/>
        </w:rPr>
        <w:t xml:space="preserve"> WHO, WMO, and NOAA since 2017, and would therefore be transitioned to this new model through an exchange of letters. Based on the current situation including assessed available resources, the proposed transition includes:</w:t>
      </w:r>
    </w:p>
    <w:p w14:paraId="2DB7921D"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b/>
          <w:bCs/>
        </w:rPr>
        <w:t xml:space="preserve">WMO </w:t>
      </w:r>
      <w:r w:rsidRPr="00A11EAB">
        <w:rPr>
          <w:rFonts w:eastAsia="Times New Roman" w:cstheme="majorBidi"/>
        </w:rPr>
        <w:t>would continue supporting the Network via in-kind and financial contributions, including:</w:t>
      </w:r>
    </w:p>
    <w:p w14:paraId="766D26CB" w14:textId="77777777" w:rsidR="0016755A" w:rsidRPr="00A11EAB" w:rsidRDefault="00E344E4" w:rsidP="00EF41B8">
      <w:pPr>
        <w:pStyle w:val="ListParagraph"/>
        <w:numPr>
          <w:ilvl w:val="0"/>
          <w:numId w:val="13"/>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The</w:t>
      </w:r>
      <w:r w:rsidR="0016755A" w:rsidRPr="00A11EAB">
        <w:rPr>
          <w:rFonts w:ascii="Verdana" w:eastAsia="Times New Roman" w:hAnsi="Verdana" w:cstheme="majorBidi"/>
          <w:sz w:val="20"/>
          <w:szCs w:val="20"/>
          <w:lang w:val="en-GB"/>
        </w:rPr>
        <w:t xml:space="preserve"> provision of professional and general service staff </w:t>
      </w:r>
      <w:r w:rsidRPr="00A11EAB">
        <w:rPr>
          <w:rFonts w:ascii="Verdana" w:eastAsia="Times New Roman" w:hAnsi="Verdana" w:cstheme="majorBidi"/>
          <w:sz w:val="20"/>
          <w:szCs w:val="20"/>
          <w:lang w:val="en-GB"/>
        </w:rPr>
        <w:t>supports</w:t>
      </w:r>
      <w:r w:rsidR="0016755A" w:rsidRPr="00A11EAB">
        <w:rPr>
          <w:rFonts w:ascii="Verdana" w:eastAsia="Times New Roman" w:hAnsi="Verdana" w:cstheme="majorBidi"/>
          <w:sz w:val="20"/>
          <w:szCs w:val="20"/>
          <w:lang w:val="en-GB"/>
        </w:rPr>
        <w:t xml:space="preserve"> from the WMO Service Department to the T</w:t>
      </w:r>
      <w:r w:rsidR="00D765FA" w:rsidRPr="00A11EAB">
        <w:rPr>
          <w:rFonts w:ascii="Verdana" w:eastAsia="Times New Roman" w:hAnsi="Verdana" w:cstheme="majorBidi"/>
          <w:sz w:val="20"/>
          <w:szCs w:val="20"/>
          <w:lang w:val="en-GB"/>
        </w:rPr>
        <w:t>SU</w:t>
      </w:r>
      <w:r w:rsidR="0016755A" w:rsidRPr="00A11EAB">
        <w:rPr>
          <w:rFonts w:ascii="Verdana" w:eastAsia="Times New Roman" w:hAnsi="Verdana" w:cstheme="majorBidi"/>
          <w:sz w:val="20"/>
          <w:szCs w:val="20"/>
          <w:lang w:val="en-GB"/>
        </w:rPr>
        <w:t xml:space="preserve">; </w:t>
      </w:r>
    </w:p>
    <w:p w14:paraId="547625CB" w14:textId="77777777" w:rsidR="0016755A" w:rsidRPr="00A11EAB" w:rsidRDefault="00E344E4" w:rsidP="00EF41B8">
      <w:pPr>
        <w:pStyle w:val="ListParagraph"/>
        <w:numPr>
          <w:ilvl w:val="0"/>
          <w:numId w:val="13"/>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The</w:t>
      </w:r>
      <w:r w:rsidR="0016755A" w:rsidRPr="00A11EAB">
        <w:rPr>
          <w:rFonts w:ascii="Verdana" w:eastAsia="Times New Roman" w:hAnsi="Verdana" w:cstheme="majorBidi"/>
          <w:sz w:val="20"/>
          <w:szCs w:val="20"/>
          <w:lang w:val="en-GB"/>
        </w:rPr>
        <w:t xml:space="preserve"> provision of logistics in the form of office space and utilities for the Network T</w:t>
      </w:r>
      <w:r w:rsidR="00D765FA" w:rsidRPr="00A11EAB">
        <w:rPr>
          <w:rFonts w:ascii="Verdana" w:eastAsia="Times New Roman" w:hAnsi="Verdana" w:cstheme="majorBidi"/>
          <w:sz w:val="20"/>
          <w:szCs w:val="20"/>
          <w:lang w:val="en-GB"/>
        </w:rPr>
        <w:t>SU</w:t>
      </w:r>
      <w:r w:rsidR="0016755A" w:rsidRPr="00A11EAB">
        <w:rPr>
          <w:rFonts w:ascii="Verdana" w:eastAsia="Times New Roman" w:hAnsi="Verdana" w:cstheme="majorBidi"/>
          <w:sz w:val="20"/>
          <w:szCs w:val="20"/>
          <w:lang w:val="en-GB"/>
        </w:rPr>
        <w:t xml:space="preserve">; </w:t>
      </w:r>
    </w:p>
    <w:p w14:paraId="5394B3E3" w14:textId="125CA755" w:rsidR="0016755A" w:rsidRPr="00A11EAB" w:rsidRDefault="00E344E4" w:rsidP="00EF41B8">
      <w:pPr>
        <w:pStyle w:val="ListParagraph"/>
        <w:numPr>
          <w:ilvl w:val="0"/>
          <w:numId w:val="13"/>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Provision</w:t>
      </w:r>
      <w:r w:rsidR="0016755A" w:rsidRPr="00A11EAB">
        <w:rPr>
          <w:rFonts w:ascii="Verdana" w:eastAsia="Times New Roman" w:hAnsi="Verdana" w:cstheme="majorBidi"/>
          <w:sz w:val="20"/>
          <w:szCs w:val="20"/>
          <w:lang w:val="en-GB"/>
        </w:rPr>
        <w:t xml:space="preserve"> of technical inputs from the WMO Service </w:t>
      </w:r>
      <w:r w:rsidR="008B63C4" w:rsidRPr="00A11EAB">
        <w:rPr>
          <w:rFonts w:ascii="Verdana" w:eastAsia="Times New Roman" w:hAnsi="Verdana" w:cstheme="majorBidi"/>
          <w:sz w:val="20"/>
          <w:szCs w:val="20"/>
          <w:lang w:val="en-GB"/>
        </w:rPr>
        <w:t>Department and</w:t>
      </w:r>
      <w:r w:rsidR="0016755A" w:rsidRPr="00A11EAB">
        <w:rPr>
          <w:rFonts w:ascii="Verdana" w:eastAsia="Times New Roman" w:hAnsi="Verdana" w:cstheme="majorBidi"/>
          <w:sz w:val="20"/>
          <w:szCs w:val="20"/>
          <w:lang w:val="en-GB"/>
        </w:rPr>
        <w:t xml:space="preserve"> Science and Innovation Department</w:t>
      </w:r>
      <w:r w:rsidR="00D2361A">
        <w:rPr>
          <w:rFonts w:ascii="Verdana" w:eastAsia="Times New Roman" w:hAnsi="Verdana" w:cstheme="majorBidi"/>
          <w:sz w:val="20"/>
          <w:szCs w:val="20"/>
          <w:lang w:val="en-GB"/>
        </w:rPr>
        <w:t>;</w:t>
      </w:r>
    </w:p>
    <w:p w14:paraId="0AC5EED3" w14:textId="26E52E01" w:rsidR="0016755A" w:rsidRPr="00A11EAB" w:rsidRDefault="0016755A" w:rsidP="00EF41B8">
      <w:pPr>
        <w:pStyle w:val="ListParagraph"/>
        <w:numPr>
          <w:ilvl w:val="0"/>
          <w:numId w:val="13"/>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Facilitate interaction and linkages to the WMO Service Commission technical bodies</w:t>
      </w:r>
      <w:r w:rsidR="00D2361A">
        <w:rPr>
          <w:rFonts w:ascii="Verdana" w:eastAsia="Times New Roman" w:hAnsi="Verdana" w:cstheme="majorBidi"/>
          <w:sz w:val="20"/>
          <w:szCs w:val="20"/>
          <w:lang w:val="en-GB"/>
        </w:rPr>
        <w:t>;</w:t>
      </w:r>
    </w:p>
    <w:p w14:paraId="6667C295" w14:textId="4122B3F4" w:rsidR="0016755A" w:rsidRPr="00A11EAB" w:rsidRDefault="0016755A" w:rsidP="00EF41B8">
      <w:pPr>
        <w:pStyle w:val="ListParagraph"/>
        <w:numPr>
          <w:ilvl w:val="0"/>
          <w:numId w:val="13"/>
        </w:numPr>
        <w:spacing w:before="120" w:after="120" w:line="240" w:lineRule="auto"/>
        <w:ind w:left="1134" w:right="-170" w:hanging="567"/>
        <w:contextualSpacing w:val="0"/>
        <w:rPr>
          <w:rFonts w:ascii="Verdana" w:eastAsiaTheme="minorEastAsia" w:hAnsi="Verdana"/>
          <w:sz w:val="20"/>
          <w:szCs w:val="20"/>
          <w:lang w:val="en-GB"/>
        </w:rPr>
      </w:pPr>
      <w:r w:rsidRPr="00A11EAB">
        <w:rPr>
          <w:rFonts w:ascii="Verdana" w:eastAsia="Times New Roman" w:hAnsi="Verdana" w:cstheme="majorBidi"/>
          <w:sz w:val="20"/>
          <w:szCs w:val="20"/>
          <w:lang w:val="en-GB"/>
        </w:rPr>
        <w:t>Facilitate the update of technical guidance, evidence and good practices on heat and health by WMO members and partners</w:t>
      </w:r>
      <w:r w:rsidR="00D2361A">
        <w:rPr>
          <w:rFonts w:ascii="Verdana" w:eastAsia="Times New Roman" w:hAnsi="Verdana" w:cstheme="majorBidi"/>
          <w:sz w:val="20"/>
          <w:szCs w:val="20"/>
          <w:lang w:val="en-GB"/>
        </w:rPr>
        <w:t>.</w:t>
      </w:r>
    </w:p>
    <w:p w14:paraId="35A0B53B"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b/>
          <w:bCs/>
        </w:rPr>
        <w:t>WHO</w:t>
      </w:r>
      <w:r w:rsidRPr="00A11EAB">
        <w:rPr>
          <w:rFonts w:eastAsia="Times New Roman" w:cstheme="majorBidi"/>
        </w:rPr>
        <w:t xml:space="preserve"> would continue supporting the Network through combined support from the Climate and Health </w:t>
      </w:r>
      <w:r w:rsidR="00FF5960" w:rsidRPr="00A11EAB">
        <w:rPr>
          <w:rFonts w:eastAsia="Times New Roman" w:cstheme="majorBidi"/>
        </w:rPr>
        <w:t>Programme</w:t>
      </w:r>
      <w:r w:rsidRPr="00A11EAB">
        <w:rPr>
          <w:rFonts w:eastAsia="Times New Roman" w:cstheme="majorBidi"/>
        </w:rPr>
        <w:t xml:space="preserve">, Health Emergency Preparedness, and Regional Offices. </w:t>
      </w:r>
    </w:p>
    <w:p w14:paraId="71556FDF" w14:textId="77777777" w:rsidR="0016755A" w:rsidRPr="00A11EAB" w:rsidRDefault="0016755A" w:rsidP="00FF5960">
      <w:pPr>
        <w:spacing w:after="120"/>
        <w:ind w:left="360"/>
        <w:jc w:val="left"/>
        <w:rPr>
          <w:rFonts w:eastAsia="Times New Roman" w:cstheme="majorBidi"/>
        </w:rPr>
      </w:pPr>
      <w:r w:rsidRPr="00A11EAB">
        <w:rPr>
          <w:rFonts w:eastAsia="Times New Roman" w:cstheme="majorBidi"/>
        </w:rPr>
        <w:t xml:space="preserve">The in-kind and financial contributions from WHO include: </w:t>
      </w:r>
    </w:p>
    <w:p w14:paraId="75B1BD3D" w14:textId="5DE67434" w:rsidR="0016755A" w:rsidRPr="00A11EAB" w:rsidRDefault="00FF5960" w:rsidP="000B2898">
      <w:pPr>
        <w:pStyle w:val="ListParagraph"/>
        <w:numPr>
          <w:ilvl w:val="0"/>
          <w:numId w:val="6"/>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The </w:t>
      </w:r>
      <w:r w:rsidR="0016755A" w:rsidRPr="00A11EAB">
        <w:rPr>
          <w:rFonts w:ascii="Verdana" w:eastAsia="Times New Roman" w:hAnsi="Verdana" w:cstheme="majorBidi"/>
          <w:sz w:val="20"/>
          <w:szCs w:val="20"/>
          <w:lang w:val="en-GB"/>
        </w:rPr>
        <w:t xml:space="preserve">provision of seconded staff </w:t>
      </w:r>
      <w:r w:rsidRPr="00A11EAB">
        <w:rPr>
          <w:rFonts w:ascii="Verdana" w:eastAsia="Times New Roman" w:hAnsi="Verdana" w:cstheme="majorBidi"/>
          <w:sz w:val="20"/>
          <w:szCs w:val="20"/>
          <w:lang w:val="en-GB"/>
        </w:rPr>
        <w:t>supports</w:t>
      </w:r>
      <w:r w:rsidR="0016755A" w:rsidRPr="00A11EAB">
        <w:rPr>
          <w:rFonts w:ascii="Verdana" w:eastAsia="Times New Roman" w:hAnsi="Verdana" w:cstheme="majorBidi"/>
          <w:sz w:val="20"/>
          <w:szCs w:val="20"/>
          <w:lang w:val="en-GB"/>
        </w:rPr>
        <w:t xml:space="preserve"> to the TSU; </w:t>
      </w:r>
    </w:p>
    <w:p w14:paraId="3EB5B77C" w14:textId="77777777" w:rsidR="0016755A" w:rsidRPr="00A11EAB" w:rsidRDefault="00FF5960" w:rsidP="000B2898">
      <w:pPr>
        <w:pStyle w:val="ListParagraph"/>
        <w:numPr>
          <w:ilvl w:val="0"/>
          <w:numId w:val="6"/>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Web</w:t>
      </w:r>
      <w:r w:rsidR="0016755A" w:rsidRPr="00A11EAB">
        <w:rPr>
          <w:rFonts w:ascii="Verdana" w:eastAsia="Times New Roman" w:hAnsi="Verdana" w:cstheme="majorBidi"/>
          <w:sz w:val="20"/>
          <w:szCs w:val="20"/>
          <w:lang w:val="en-GB"/>
        </w:rPr>
        <w:t xml:space="preserve"> hosting for relevant parts of the Network; </w:t>
      </w:r>
    </w:p>
    <w:p w14:paraId="5C4CE04B" w14:textId="77777777" w:rsidR="0016755A" w:rsidRPr="00A11EAB" w:rsidRDefault="00FF5960" w:rsidP="000B2898">
      <w:pPr>
        <w:pStyle w:val="ListParagraph"/>
        <w:numPr>
          <w:ilvl w:val="0"/>
          <w:numId w:val="6"/>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Provision</w:t>
      </w:r>
      <w:r w:rsidR="0016755A" w:rsidRPr="00A11EAB">
        <w:rPr>
          <w:rFonts w:ascii="Verdana" w:eastAsia="Times New Roman" w:hAnsi="Verdana" w:cstheme="majorBidi"/>
          <w:sz w:val="20"/>
          <w:szCs w:val="20"/>
          <w:lang w:val="en-GB"/>
        </w:rPr>
        <w:t xml:space="preserve"> of technical inputs via projects and secretariat staff;</w:t>
      </w:r>
    </w:p>
    <w:p w14:paraId="0C458BB2" w14:textId="6AD5852E" w:rsidR="0016755A" w:rsidRPr="00A11EAB" w:rsidRDefault="0016755A" w:rsidP="000B2898">
      <w:pPr>
        <w:pStyle w:val="ListParagraph"/>
        <w:numPr>
          <w:ilvl w:val="0"/>
          <w:numId w:val="6"/>
        </w:numPr>
        <w:spacing w:before="120" w:after="120" w:line="240" w:lineRule="auto"/>
        <w:ind w:left="1134" w:right="-170" w:hanging="567"/>
        <w:contextualSpacing w:val="0"/>
        <w:rPr>
          <w:rFonts w:ascii="Verdana" w:eastAsiaTheme="minorEastAsia" w:hAnsi="Verdana"/>
          <w:sz w:val="20"/>
          <w:szCs w:val="20"/>
          <w:lang w:val="en-GB"/>
        </w:rPr>
      </w:pPr>
      <w:r w:rsidRPr="00A11EAB">
        <w:rPr>
          <w:rFonts w:ascii="Verdana" w:eastAsia="Times New Roman" w:hAnsi="Verdana" w:cstheme="majorBidi"/>
          <w:sz w:val="20"/>
          <w:szCs w:val="20"/>
          <w:lang w:val="en-GB"/>
        </w:rPr>
        <w:t xml:space="preserve">Facilitation of interaction and linkages to regional organizations and collaborating </w:t>
      </w:r>
      <w:r w:rsidR="000B2898" w:rsidRPr="00A11EAB">
        <w:rPr>
          <w:rFonts w:ascii="Verdana" w:eastAsia="Times New Roman" w:hAnsi="Verdana" w:cstheme="majorBidi"/>
          <w:sz w:val="20"/>
          <w:szCs w:val="20"/>
          <w:lang w:val="en-GB"/>
        </w:rPr>
        <w:t>centres</w:t>
      </w:r>
      <w:r w:rsidRPr="00A11EAB">
        <w:rPr>
          <w:rFonts w:ascii="Verdana" w:eastAsia="Times New Roman" w:hAnsi="Verdana" w:cstheme="majorBidi"/>
          <w:sz w:val="20"/>
          <w:szCs w:val="20"/>
          <w:lang w:val="en-GB"/>
        </w:rPr>
        <w:t>, and relevant networks such as the Thematic platform for Health Emergency and Disaster Risk Management (Health-</w:t>
      </w:r>
      <w:r w:rsidR="00E93736" w:rsidRPr="00A11EAB">
        <w:rPr>
          <w:rFonts w:ascii="Verdana" w:eastAsia="Times New Roman" w:hAnsi="Verdana" w:cstheme="majorBidi"/>
          <w:sz w:val="20"/>
          <w:szCs w:val="20"/>
          <w:lang w:val="en-GB"/>
        </w:rPr>
        <w:t>EDRM);</w:t>
      </w:r>
      <w:r w:rsidRPr="00A11EAB">
        <w:rPr>
          <w:rFonts w:ascii="Verdana" w:eastAsia="Times New Roman" w:hAnsi="Verdana" w:cstheme="majorBidi"/>
          <w:sz w:val="20"/>
          <w:szCs w:val="20"/>
          <w:lang w:val="en-GB"/>
        </w:rPr>
        <w:t xml:space="preserve"> </w:t>
      </w:r>
    </w:p>
    <w:p w14:paraId="630CD519" w14:textId="0F3E8098" w:rsidR="0016755A" w:rsidRPr="00A11EAB" w:rsidRDefault="0016755A" w:rsidP="000B2898">
      <w:pPr>
        <w:pStyle w:val="ListParagraph"/>
        <w:numPr>
          <w:ilvl w:val="0"/>
          <w:numId w:val="6"/>
        </w:numPr>
        <w:spacing w:before="120" w:after="120" w:line="240" w:lineRule="auto"/>
        <w:ind w:left="1134" w:right="-170" w:hanging="567"/>
        <w:contextualSpacing w:val="0"/>
        <w:rPr>
          <w:rFonts w:ascii="Verdana" w:eastAsia="Verdana" w:hAnsi="Verdana" w:cs="Verdana"/>
          <w:sz w:val="20"/>
          <w:szCs w:val="20"/>
          <w:lang w:val="en-GB"/>
        </w:rPr>
      </w:pPr>
      <w:r w:rsidRPr="00A11EAB">
        <w:rPr>
          <w:rFonts w:ascii="Verdana" w:eastAsia="Verdana" w:hAnsi="Verdana" w:cs="Verdana"/>
          <w:sz w:val="20"/>
          <w:szCs w:val="20"/>
          <w:lang w:val="en-GB"/>
        </w:rPr>
        <w:t>Facilitate the updating of technical guidance, evidence and good practices on heat and health by WHO members and partners</w:t>
      </w:r>
      <w:r w:rsidR="00FF34BA">
        <w:rPr>
          <w:rFonts w:ascii="Verdana" w:eastAsia="Verdana" w:hAnsi="Verdana" w:cs="Verdana"/>
          <w:sz w:val="20"/>
          <w:szCs w:val="20"/>
          <w:lang w:val="en-GB"/>
        </w:rPr>
        <w:t>.</w:t>
      </w:r>
    </w:p>
    <w:p w14:paraId="7E580B13"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b/>
          <w:bCs/>
        </w:rPr>
        <w:t xml:space="preserve">NOAA </w:t>
      </w:r>
      <w:r w:rsidRPr="00A11EAB">
        <w:rPr>
          <w:rFonts w:eastAsia="Times New Roman" w:cstheme="majorBidi"/>
        </w:rPr>
        <w:t>would continue supporting the Network through:</w:t>
      </w:r>
    </w:p>
    <w:p w14:paraId="12ADE6CB" w14:textId="77777777" w:rsidR="0016755A" w:rsidRPr="00A11EAB" w:rsidRDefault="00FF5960" w:rsidP="00802FAC">
      <w:pPr>
        <w:pStyle w:val="ListParagraph"/>
        <w:numPr>
          <w:ilvl w:val="0"/>
          <w:numId w:val="15"/>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The</w:t>
      </w:r>
      <w:r w:rsidR="0016755A" w:rsidRPr="00A11EAB">
        <w:rPr>
          <w:rFonts w:ascii="Verdana" w:eastAsia="Times New Roman" w:hAnsi="Verdana" w:cstheme="majorBidi"/>
          <w:sz w:val="20"/>
          <w:szCs w:val="20"/>
          <w:lang w:val="en-GB"/>
        </w:rPr>
        <w:t xml:space="preserve"> provision of seconded or in-kind staff </w:t>
      </w:r>
      <w:r w:rsidRPr="00A11EAB">
        <w:rPr>
          <w:rFonts w:ascii="Verdana" w:eastAsia="Times New Roman" w:hAnsi="Verdana" w:cstheme="majorBidi"/>
          <w:sz w:val="20"/>
          <w:szCs w:val="20"/>
          <w:lang w:val="en-GB"/>
        </w:rPr>
        <w:t>supports</w:t>
      </w:r>
      <w:r w:rsidR="0016755A" w:rsidRPr="00A11EAB">
        <w:rPr>
          <w:rFonts w:ascii="Verdana" w:eastAsia="Times New Roman" w:hAnsi="Verdana" w:cstheme="majorBidi"/>
          <w:sz w:val="20"/>
          <w:szCs w:val="20"/>
          <w:lang w:val="en-GB"/>
        </w:rPr>
        <w:t xml:space="preserve"> to the TSU</w:t>
      </w:r>
      <w:r w:rsidRPr="00A11EAB">
        <w:rPr>
          <w:rFonts w:ascii="Verdana" w:eastAsia="Times New Roman" w:hAnsi="Verdana" w:cstheme="majorBidi"/>
          <w:sz w:val="20"/>
          <w:szCs w:val="20"/>
          <w:lang w:val="en-GB"/>
        </w:rPr>
        <w:t>;</w:t>
      </w:r>
      <w:r w:rsidR="0016755A" w:rsidRPr="00A11EAB">
        <w:rPr>
          <w:rFonts w:ascii="Verdana" w:eastAsia="Times New Roman" w:hAnsi="Verdana" w:cstheme="majorBidi"/>
          <w:sz w:val="20"/>
          <w:szCs w:val="20"/>
          <w:lang w:val="en-GB"/>
        </w:rPr>
        <w:t xml:space="preserve"> </w:t>
      </w:r>
    </w:p>
    <w:p w14:paraId="347BBC35" w14:textId="77777777" w:rsidR="0016755A" w:rsidRPr="00A11EAB" w:rsidRDefault="00FF5960" w:rsidP="00802FAC">
      <w:pPr>
        <w:pStyle w:val="ListParagraph"/>
        <w:numPr>
          <w:ilvl w:val="0"/>
          <w:numId w:val="15"/>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Provision </w:t>
      </w:r>
      <w:r w:rsidR="0016755A" w:rsidRPr="00A11EAB">
        <w:rPr>
          <w:rFonts w:ascii="Verdana" w:eastAsia="Times New Roman" w:hAnsi="Verdana" w:cstheme="majorBidi"/>
          <w:sz w:val="20"/>
          <w:szCs w:val="20"/>
          <w:lang w:val="en-GB"/>
        </w:rPr>
        <w:t>of technical inputs from the National Heat Health Information System and other NOAA research and operational programmes;</w:t>
      </w:r>
    </w:p>
    <w:p w14:paraId="09F01B84" w14:textId="77777777" w:rsidR="0016755A" w:rsidRPr="00A11EAB" w:rsidRDefault="00FF5960" w:rsidP="00802FAC">
      <w:pPr>
        <w:pStyle w:val="ListParagraph"/>
        <w:numPr>
          <w:ilvl w:val="0"/>
          <w:numId w:val="15"/>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sz w:val="20"/>
          <w:szCs w:val="20"/>
          <w:lang w:val="en-GB"/>
        </w:rPr>
        <w:t xml:space="preserve">The </w:t>
      </w:r>
      <w:r w:rsidR="0016755A" w:rsidRPr="00A11EAB">
        <w:rPr>
          <w:rFonts w:ascii="Verdana" w:eastAsia="Times New Roman" w:hAnsi="Verdana" w:cstheme="majorBidi"/>
          <w:sz w:val="20"/>
          <w:szCs w:val="20"/>
          <w:lang w:val="en-GB"/>
        </w:rPr>
        <w:t>provision of resources for selected activities or meetings;</w:t>
      </w:r>
    </w:p>
    <w:p w14:paraId="5B5C5DC2" w14:textId="77777777" w:rsidR="0016755A" w:rsidRPr="00A11EAB" w:rsidRDefault="00FF5960" w:rsidP="00802FAC">
      <w:pPr>
        <w:pStyle w:val="ListParagraph"/>
        <w:numPr>
          <w:ilvl w:val="0"/>
          <w:numId w:val="15"/>
        </w:numPr>
        <w:spacing w:before="120" w:after="120" w:line="240" w:lineRule="auto"/>
        <w:ind w:left="1134" w:right="-170" w:hanging="567"/>
        <w:contextualSpacing w:val="0"/>
        <w:rPr>
          <w:rFonts w:ascii="Verdana" w:hAnsi="Verdana"/>
          <w:sz w:val="20"/>
          <w:szCs w:val="20"/>
          <w:lang w:val="en-GB"/>
        </w:rPr>
      </w:pPr>
      <w:r w:rsidRPr="00A11EAB">
        <w:rPr>
          <w:rFonts w:ascii="Verdana" w:eastAsia="Times New Roman" w:hAnsi="Verdana" w:cstheme="majorBidi"/>
          <w:sz w:val="20"/>
          <w:szCs w:val="20"/>
          <w:lang w:val="en-GB"/>
        </w:rPr>
        <w:t xml:space="preserve">Facilitate </w:t>
      </w:r>
      <w:r w:rsidR="0016755A" w:rsidRPr="00A11EAB">
        <w:rPr>
          <w:rFonts w:ascii="Verdana" w:eastAsia="Times New Roman" w:hAnsi="Verdana" w:cstheme="majorBidi"/>
          <w:sz w:val="20"/>
          <w:szCs w:val="20"/>
          <w:lang w:val="en-GB"/>
        </w:rPr>
        <w:t xml:space="preserve">engagement and linkages with other relevant research, technical, and policy partners; </w:t>
      </w:r>
    </w:p>
    <w:p w14:paraId="0185CE45" w14:textId="77777777" w:rsidR="0016755A" w:rsidRPr="00A11EAB" w:rsidRDefault="00FF5960" w:rsidP="00802FAC">
      <w:pPr>
        <w:pStyle w:val="ListParagraph"/>
        <w:numPr>
          <w:ilvl w:val="0"/>
          <w:numId w:val="15"/>
        </w:numPr>
        <w:spacing w:before="120" w:after="120" w:line="240" w:lineRule="auto"/>
        <w:ind w:left="1134" w:right="-170" w:hanging="567"/>
        <w:contextualSpacing w:val="0"/>
        <w:rPr>
          <w:rFonts w:ascii="Verdana" w:eastAsiaTheme="minorEastAsia" w:hAnsi="Verdana"/>
          <w:sz w:val="20"/>
          <w:szCs w:val="20"/>
          <w:lang w:val="en-GB"/>
        </w:rPr>
      </w:pPr>
      <w:r w:rsidRPr="00A11EAB">
        <w:rPr>
          <w:rFonts w:ascii="Verdana" w:eastAsia="Times New Roman" w:hAnsi="Verdana" w:cstheme="majorBidi"/>
          <w:sz w:val="20"/>
          <w:szCs w:val="20"/>
          <w:lang w:val="en-GB"/>
        </w:rPr>
        <w:t>Facilitate</w:t>
      </w:r>
      <w:r w:rsidR="0016755A" w:rsidRPr="00A11EAB">
        <w:rPr>
          <w:rFonts w:ascii="Verdana" w:eastAsia="Times New Roman" w:hAnsi="Verdana" w:cstheme="majorBidi"/>
          <w:sz w:val="20"/>
          <w:szCs w:val="20"/>
          <w:lang w:val="en-GB"/>
        </w:rPr>
        <w:t xml:space="preserve"> the update of evidence and good practices on heat and health by other federal agencies and partners.</w:t>
      </w:r>
    </w:p>
    <w:p w14:paraId="0546EB09" w14:textId="77777777" w:rsidR="0016755A" w:rsidRPr="00A11EAB" w:rsidRDefault="0016755A" w:rsidP="009D39DA">
      <w:pPr>
        <w:pStyle w:val="Heading1"/>
        <w:jc w:val="left"/>
        <w:rPr>
          <w:rFonts w:eastAsia="Times New Roman"/>
          <w:b w:val="0"/>
          <w:bCs w:val="0"/>
          <w:sz w:val="20"/>
          <w:szCs w:val="20"/>
        </w:rPr>
      </w:pPr>
      <w:r w:rsidRPr="00A11EAB">
        <w:rPr>
          <w:rFonts w:eastAsia="Times New Roman"/>
          <w:sz w:val="20"/>
          <w:szCs w:val="20"/>
        </w:rPr>
        <w:t xml:space="preserve">Section 5: Liability </w:t>
      </w:r>
    </w:p>
    <w:p w14:paraId="0CB37411" w14:textId="1B97162F"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 xml:space="preserve">Neither the co-sponsoring organizations, contributing partners, nor </w:t>
      </w:r>
      <w:r w:rsidR="00A75B02" w:rsidRPr="00A11EAB">
        <w:rPr>
          <w:rFonts w:eastAsia="Times New Roman" w:cstheme="majorBidi"/>
        </w:rPr>
        <w:t>F</w:t>
      </w:r>
      <w:r w:rsidRPr="00A11EAB">
        <w:rPr>
          <w:rFonts w:eastAsia="Times New Roman" w:cstheme="majorBidi"/>
        </w:rPr>
        <w:t xml:space="preserve">inancial </w:t>
      </w:r>
      <w:r w:rsidR="00A75B02" w:rsidRPr="00A11EAB">
        <w:rPr>
          <w:rFonts w:eastAsia="Times New Roman" w:cstheme="majorBidi"/>
        </w:rPr>
        <w:t>P</w:t>
      </w:r>
      <w:r w:rsidRPr="00A11EAB">
        <w:rPr>
          <w:rFonts w:eastAsia="Times New Roman" w:cstheme="majorBidi"/>
        </w:rPr>
        <w:t xml:space="preserve">artners and their staff shall be held liable for any damage caused or sustained by any party, including any damage caused to third parties as a consequence of the advice, guidance and professional opinions generated by the Network. A clear disclaimer to this effect is provided on the public website </w:t>
      </w:r>
      <w:hyperlink r:id="rId16">
        <w:r w:rsidRPr="00A11EAB">
          <w:rPr>
            <w:rStyle w:val="Hyperlink"/>
            <w:rFonts w:eastAsia="Times New Roman" w:cstheme="majorBidi"/>
          </w:rPr>
          <w:t>https://ghhin.org/legal/.</w:t>
        </w:r>
      </w:hyperlink>
    </w:p>
    <w:p w14:paraId="5B786D33" w14:textId="77777777" w:rsidR="0016755A" w:rsidRPr="00A11EAB" w:rsidRDefault="0016755A" w:rsidP="009D39DA">
      <w:pPr>
        <w:pStyle w:val="Heading1"/>
        <w:jc w:val="left"/>
        <w:rPr>
          <w:rFonts w:eastAsia="Times New Roman"/>
          <w:b w:val="0"/>
          <w:bCs w:val="0"/>
          <w:sz w:val="20"/>
          <w:szCs w:val="20"/>
        </w:rPr>
      </w:pPr>
      <w:r w:rsidRPr="00A11EAB">
        <w:rPr>
          <w:rFonts w:eastAsia="Times New Roman"/>
          <w:sz w:val="20"/>
          <w:szCs w:val="20"/>
        </w:rPr>
        <w:lastRenderedPageBreak/>
        <w:t>Section 6: Intellectual Property</w:t>
      </w:r>
    </w:p>
    <w:p w14:paraId="360220DD" w14:textId="1AB534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The Network aims to have an open data and information sharing policy. Collaborating partners and contributors to the Network shall retain ownership of, and all right</w:t>
      </w:r>
      <w:r w:rsidR="008375C3">
        <w:rPr>
          <w:rFonts w:eastAsia="Times New Roman" w:cstheme="majorBidi"/>
        </w:rPr>
        <w:t>s</w:t>
      </w:r>
      <w:r w:rsidR="001E2E35">
        <w:rPr>
          <w:rFonts w:eastAsia="Times New Roman" w:cstheme="majorBidi"/>
        </w:rPr>
        <w:t>,</w:t>
      </w:r>
      <w:r w:rsidRPr="00A11EAB">
        <w:rPr>
          <w:rFonts w:eastAsia="Times New Roman" w:cstheme="majorBidi"/>
        </w:rPr>
        <w:t xml:space="preserve"> title and interest in and to, their respective pre-existing intellectual property, which may be shared with or presented to the Network.</w:t>
      </w:r>
    </w:p>
    <w:p w14:paraId="0AB39A73" w14:textId="1892ECEF"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Upon mutual written agreement, collaborating partners may grant the Network an unlimited, royalty-free, perpetual, non-exclusive, revocable, non-transferable license to use pre-existing intellectual property from contributors, as specified by such contributor</w:t>
      </w:r>
      <w:r w:rsidR="000933F2">
        <w:rPr>
          <w:rFonts w:eastAsia="Times New Roman" w:cstheme="majorBidi"/>
        </w:rPr>
        <w:t>s</w:t>
      </w:r>
      <w:r w:rsidRPr="00A11EAB">
        <w:rPr>
          <w:rFonts w:eastAsia="Times New Roman" w:cstheme="majorBidi"/>
        </w:rPr>
        <w:t xml:space="preserve">. All Network printed and published materials will credit the source and original contributors of materials. Permission to use institutional logos, personal information or contacts will be sought in writing for all published materials. </w:t>
      </w:r>
    </w:p>
    <w:p w14:paraId="2738F14A"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 xml:space="preserve">Full information can be referenced at </w:t>
      </w:r>
      <w:hyperlink r:id="rId17">
        <w:r w:rsidRPr="00A11EAB">
          <w:rPr>
            <w:rStyle w:val="Hyperlink"/>
            <w:rFonts w:eastAsia="Times New Roman" w:cstheme="majorBidi"/>
          </w:rPr>
          <w:t>https://ghhin.org/legal/</w:t>
        </w:r>
      </w:hyperlink>
      <w:r w:rsidRPr="00A11EAB">
        <w:rPr>
          <w:rFonts w:eastAsia="Times New Roman" w:cstheme="majorBidi"/>
        </w:rPr>
        <w:t xml:space="preserve"> </w:t>
      </w:r>
    </w:p>
    <w:p w14:paraId="1A3EC71C" w14:textId="02079096" w:rsidR="00984BF2" w:rsidRDefault="00984BF2" w:rsidP="009D39DA">
      <w:pPr>
        <w:jc w:val="left"/>
        <w:rPr>
          <w:rFonts w:eastAsia="Times New Roman" w:cstheme="majorHAnsi"/>
          <w:b/>
          <w:bCs/>
        </w:rPr>
        <w:sectPr w:rsidR="00984BF2" w:rsidSect="00C364AA">
          <w:headerReference w:type="even" r:id="rId18"/>
          <w:headerReference w:type="default" r:id="rId19"/>
          <w:headerReference w:type="first" r:id="rId20"/>
          <w:pgSz w:w="11907" w:h="16840" w:code="9"/>
          <w:pgMar w:top="1134" w:right="1134" w:bottom="1134" w:left="1134" w:header="907" w:footer="1134" w:gutter="0"/>
          <w:cols w:space="720"/>
          <w:titlePg/>
          <w:docGrid w:linePitch="299"/>
        </w:sectPr>
      </w:pPr>
    </w:p>
    <w:p w14:paraId="2325EA83" w14:textId="1D37F290" w:rsidR="0016755A" w:rsidRPr="00A11EAB" w:rsidRDefault="0016755A" w:rsidP="000B2898">
      <w:pPr>
        <w:pStyle w:val="Heading1"/>
        <w:spacing w:before="0" w:after="360"/>
        <w:rPr>
          <w:rFonts w:eastAsia="Times New Roman"/>
          <w:sz w:val="20"/>
          <w:szCs w:val="20"/>
        </w:rPr>
      </w:pPr>
      <w:bookmarkStart w:id="1" w:name="_Annex_1:_GHHIN"/>
      <w:bookmarkStart w:id="2" w:name="ANNEX_1"/>
      <w:bookmarkEnd w:id="1"/>
      <w:r w:rsidRPr="00A11EAB">
        <w:rPr>
          <w:rFonts w:eastAsia="Times New Roman"/>
          <w:sz w:val="20"/>
          <w:szCs w:val="20"/>
        </w:rPr>
        <w:lastRenderedPageBreak/>
        <w:t>Annex</w:t>
      </w:r>
      <w:r w:rsidR="00D00EAF">
        <w:rPr>
          <w:rFonts w:eastAsia="Times New Roman"/>
          <w:sz w:val="20"/>
          <w:szCs w:val="20"/>
        </w:rPr>
        <w:t> </w:t>
      </w:r>
      <w:r w:rsidRPr="00A11EAB">
        <w:rPr>
          <w:rFonts w:eastAsia="Times New Roman"/>
          <w:sz w:val="20"/>
          <w:szCs w:val="20"/>
        </w:rPr>
        <w:t>1</w:t>
      </w:r>
      <w:bookmarkEnd w:id="2"/>
      <w:r w:rsidRPr="00A11EAB">
        <w:rPr>
          <w:rFonts w:eastAsia="Times New Roman"/>
          <w:sz w:val="20"/>
          <w:szCs w:val="20"/>
        </w:rPr>
        <w:t>: GHHIN Partnership/Membership model</w:t>
      </w:r>
    </w:p>
    <w:tbl>
      <w:tblPr>
        <w:tblStyle w:val="TableGrid"/>
        <w:tblW w:w="5000" w:type="pct"/>
        <w:tblLook w:val="04A0" w:firstRow="1" w:lastRow="0" w:firstColumn="1" w:lastColumn="0" w:noHBand="0" w:noVBand="1"/>
      </w:tblPr>
      <w:tblGrid>
        <w:gridCol w:w="2485"/>
        <w:gridCol w:w="3180"/>
        <w:gridCol w:w="4115"/>
        <w:gridCol w:w="2272"/>
        <w:gridCol w:w="2510"/>
      </w:tblGrid>
      <w:tr w:rsidR="0016755A" w:rsidRPr="00D760DF" w14:paraId="27D31661" w14:textId="77777777" w:rsidTr="0012523C">
        <w:tc>
          <w:tcPr>
            <w:tcW w:w="853" w:type="pct"/>
          </w:tcPr>
          <w:p w14:paraId="737964BA" w14:textId="4A77F6D2" w:rsidR="0016755A" w:rsidRPr="00D760DF" w:rsidRDefault="0016755A" w:rsidP="006E29CF">
            <w:pPr>
              <w:spacing w:before="120" w:after="120"/>
              <w:jc w:val="center"/>
              <w:rPr>
                <w:rFonts w:eastAsia="Times New Roman" w:cstheme="majorHAnsi"/>
                <w:b/>
                <w:bCs/>
                <w:sz w:val="18"/>
                <w:szCs w:val="18"/>
              </w:rPr>
            </w:pPr>
            <w:r w:rsidRPr="00D760DF">
              <w:rPr>
                <w:rFonts w:eastAsia="Times New Roman" w:cstheme="majorHAnsi"/>
                <w:b/>
                <w:bCs/>
                <w:sz w:val="18"/>
                <w:szCs w:val="18"/>
              </w:rPr>
              <w:t>Member</w:t>
            </w:r>
            <w:r w:rsidR="00B4416A" w:rsidRPr="00D760DF">
              <w:rPr>
                <w:rFonts w:eastAsia="Times New Roman" w:cstheme="majorHAnsi"/>
                <w:b/>
                <w:bCs/>
                <w:sz w:val="18"/>
                <w:szCs w:val="18"/>
              </w:rPr>
              <w:t xml:space="preserve"> </w:t>
            </w:r>
            <w:r w:rsidRPr="00D760DF">
              <w:rPr>
                <w:rFonts w:eastAsia="Times New Roman" w:cstheme="majorHAnsi"/>
                <w:b/>
                <w:bCs/>
                <w:sz w:val="18"/>
                <w:szCs w:val="18"/>
              </w:rPr>
              <w:t>Type</w:t>
            </w:r>
          </w:p>
        </w:tc>
        <w:tc>
          <w:tcPr>
            <w:tcW w:w="1092" w:type="pct"/>
          </w:tcPr>
          <w:p w14:paraId="131A282A" w14:textId="77777777" w:rsidR="0016755A" w:rsidRPr="00D760DF" w:rsidRDefault="0016755A" w:rsidP="006E29CF">
            <w:pPr>
              <w:spacing w:before="120" w:after="120"/>
              <w:jc w:val="center"/>
              <w:rPr>
                <w:rFonts w:eastAsia="Times New Roman" w:cstheme="majorHAnsi"/>
                <w:b/>
                <w:bCs/>
                <w:sz w:val="18"/>
                <w:szCs w:val="18"/>
              </w:rPr>
            </w:pPr>
            <w:r w:rsidRPr="00D760DF">
              <w:rPr>
                <w:rFonts w:eastAsia="Times New Roman" w:cstheme="majorHAnsi"/>
                <w:b/>
                <w:bCs/>
                <w:sz w:val="18"/>
                <w:szCs w:val="18"/>
              </w:rPr>
              <w:t>Role</w:t>
            </w:r>
          </w:p>
        </w:tc>
        <w:tc>
          <w:tcPr>
            <w:tcW w:w="1413" w:type="pct"/>
          </w:tcPr>
          <w:p w14:paraId="6D83842F" w14:textId="60D37074" w:rsidR="0016755A" w:rsidRPr="00D760DF" w:rsidRDefault="0016755A" w:rsidP="006E29CF">
            <w:pPr>
              <w:spacing w:before="120" w:after="120"/>
              <w:jc w:val="center"/>
              <w:rPr>
                <w:rFonts w:eastAsia="Times New Roman" w:cstheme="majorHAnsi"/>
                <w:b/>
                <w:bCs/>
                <w:sz w:val="18"/>
                <w:szCs w:val="18"/>
              </w:rPr>
            </w:pPr>
            <w:r w:rsidRPr="00D760DF">
              <w:rPr>
                <w:rFonts w:eastAsia="Times New Roman" w:cstheme="majorHAnsi"/>
                <w:b/>
                <w:bCs/>
                <w:sz w:val="18"/>
                <w:szCs w:val="18"/>
              </w:rPr>
              <w:t>Privileges</w:t>
            </w:r>
          </w:p>
        </w:tc>
        <w:tc>
          <w:tcPr>
            <w:tcW w:w="780" w:type="pct"/>
          </w:tcPr>
          <w:p w14:paraId="6972F05D" w14:textId="77777777" w:rsidR="0016755A" w:rsidRPr="00D760DF" w:rsidRDefault="0016755A" w:rsidP="006E29CF">
            <w:pPr>
              <w:spacing w:before="120" w:after="120"/>
              <w:jc w:val="center"/>
              <w:rPr>
                <w:rFonts w:eastAsia="Times New Roman" w:cstheme="majorHAnsi"/>
                <w:b/>
                <w:bCs/>
                <w:sz w:val="18"/>
                <w:szCs w:val="18"/>
              </w:rPr>
            </w:pPr>
            <w:r w:rsidRPr="00D760DF">
              <w:rPr>
                <w:rFonts w:eastAsia="Times New Roman" w:cstheme="majorHAnsi"/>
                <w:b/>
                <w:bCs/>
                <w:sz w:val="18"/>
                <w:szCs w:val="18"/>
              </w:rPr>
              <w:t>Current example</w:t>
            </w:r>
          </w:p>
        </w:tc>
        <w:tc>
          <w:tcPr>
            <w:tcW w:w="862" w:type="pct"/>
          </w:tcPr>
          <w:p w14:paraId="797C1233" w14:textId="77777777" w:rsidR="0016755A" w:rsidRPr="00D760DF" w:rsidRDefault="0016755A" w:rsidP="006E29CF">
            <w:pPr>
              <w:spacing w:before="120" w:after="120"/>
              <w:jc w:val="center"/>
              <w:rPr>
                <w:rFonts w:eastAsia="Times New Roman" w:cstheme="majorHAnsi"/>
                <w:b/>
                <w:bCs/>
                <w:sz w:val="18"/>
                <w:szCs w:val="18"/>
              </w:rPr>
            </w:pPr>
            <w:r w:rsidRPr="00D760DF">
              <w:rPr>
                <w:rFonts w:eastAsia="Times New Roman" w:cstheme="majorHAnsi"/>
                <w:b/>
                <w:bCs/>
                <w:sz w:val="18"/>
                <w:szCs w:val="18"/>
              </w:rPr>
              <w:t>Supported by</w:t>
            </w:r>
          </w:p>
        </w:tc>
      </w:tr>
      <w:tr w:rsidR="00D760DF" w:rsidRPr="00D760DF" w14:paraId="0E9B3F23" w14:textId="77777777" w:rsidTr="0012523C">
        <w:tc>
          <w:tcPr>
            <w:tcW w:w="5000" w:type="pct"/>
            <w:gridSpan w:val="5"/>
            <w:shd w:val="clear" w:color="auto" w:fill="95B3D7" w:themeFill="accent1" w:themeFillTint="99"/>
          </w:tcPr>
          <w:p w14:paraId="094A9DFA" w14:textId="32921393" w:rsidR="00D760DF" w:rsidRPr="00D760DF" w:rsidRDefault="00D760DF" w:rsidP="00D760DF">
            <w:pPr>
              <w:spacing w:before="120" w:after="120"/>
              <w:jc w:val="center"/>
              <w:rPr>
                <w:rFonts w:eastAsia="Times New Roman" w:cstheme="majorHAnsi"/>
                <w:b/>
                <w:bCs/>
                <w:sz w:val="18"/>
                <w:szCs w:val="18"/>
              </w:rPr>
            </w:pPr>
            <w:r w:rsidRPr="00D760DF">
              <w:rPr>
                <w:rFonts w:eastAsia="Times New Roman" w:cstheme="majorBidi"/>
                <w:b/>
                <w:bCs/>
                <w:sz w:val="18"/>
                <w:szCs w:val="18"/>
              </w:rPr>
              <w:t>GHHIN Partners (Institutions)</w:t>
            </w:r>
          </w:p>
        </w:tc>
      </w:tr>
      <w:tr w:rsidR="0016755A" w:rsidRPr="00D760DF" w14:paraId="74FEB0F4" w14:textId="77777777" w:rsidTr="0012523C">
        <w:tc>
          <w:tcPr>
            <w:tcW w:w="853" w:type="pct"/>
          </w:tcPr>
          <w:p w14:paraId="74D1E7D8" w14:textId="77777777" w:rsidR="0016755A" w:rsidRPr="00D760DF" w:rsidRDefault="0016755A" w:rsidP="005319EA">
            <w:pPr>
              <w:spacing w:before="120" w:after="120"/>
              <w:jc w:val="left"/>
              <w:rPr>
                <w:rFonts w:eastAsia="Times New Roman" w:cstheme="majorHAnsi"/>
                <w:sz w:val="18"/>
                <w:szCs w:val="18"/>
              </w:rPr>
            </w:pPr>
            <w:r w:rsidRPr="00D760DF">
              <w:rPr>
                <w:rFonts w:eastAsia="Times New Roman" w:cstheme="majorHAnsi"/>
                <w:sz w:val="18"/>
                <w:szCs w:val="18"/>
              </w:rPr>
              <w:t>Financial Partners</w:t>
            </w:r>
          </w:p>
        </w:tc>
        <w:tc>
          <w:tcPr>
            <w:tcW w:w="1092" w:type="pct"/>
          </w:tcPr>
          <w:p w14:paraId="33B84A46" w14:textId="77777777" w:rsidR="0016755A" w:rsidRPr="00D760DF" w:rsidRDefault="0016755A" w:rsidP="005319EA">
            <w:pPr>
              <w:spacing w:before="120" w:after="120"/>
              <w:jc w:val="left"/>
              <w:rPr>
                <w:rFonts w:eastAsia="Times New Roman" w:cstheme="majorHAnsi"/>
                <w:sz w:val="18"/>
                <w:szCs w:val="18"/>
              </w:rPr>
            </w:pPr>
            <w:r w:rsidRPr="00D760DF">
              <w:rPr>
                <w:rFonts w:eastAsia="Times New Roman" w:cstheme="majorHAnsi"/>
                <w:b/>
                <w:bCs/>
                <w:sz w:val="18"/>
                <w:szCs w:val="18"/>
              </w:rPr>
              <w:t>Financial donors.</w:t>
            </w:r>
            <w:r w:rsidRPr="00D760DF">
              <w:rPr>
                <w:rFonts w:eastAsia="Times New Roman" w:cstheme="majorHAnsi"/>
                <w:sz w:val="18"/>
                <w:szCs w:val="18"/>
              </w:rPr>
              <w:t xml:space="preserve"> Not involved in technical implementation. </w:t>
            </w:r>
          </w:p>
        </w:tc>
        <w:tc>
          <w:tcPr>
            <w:tcW w:w="1413" w:type="pct"/>
          </w:tcPr>
          <w:p w14:paraId="45748FEB" w14:textId="6BF184A7" w:rsidR="0016755A" w:rsidRPr="00D760DF" w:rsidRDefault="0016755A" w:rsidP="005319EA">
            <w:pPr>
              <w:spacing w:after="120"/>
              <w:jc w:val="left"/>
              <w:rPr>
                <w:rFonts w:eastAsia="Times New Roman" w:cstheme="majorBidi"/>
                <w:sz w:val="18"/>
                <w:szCs w:val="18"/>
              </w:rPr>
            </w:pPr>
            <w:r w:rsidRPr="00D760DF">
              <w:rPr>
                <w:rFonts w:eastAsia="Times New Roman" w:cstheme="majorBidi"/>
                <w:sz w:val="18"/>
                <w:szCs w:val="18"/>
              </w:rPr>
              <w:t xml:space="preserve">Decision-making: Financial </w:t>
            </w:r>
            <w:r w:rsidR="00A75B02" w:rsidRPr="00D760DF">
              <w:rPr>
                <w:rFonts w:eastAsia="Times New Roman" w:cstheme="majorBidi"/>
                <w:sz w:val="18"/>
                <w:szCs w:val="18"/>
              </w:rPr>
              <w:t>P</w:t>
            </w:r>
            <w:r w:rsidRPr="00D760DF">
              <w:rPr>
                <w:rFonts w:eastAsia="Times New Roman" w:cstheme="majorBidi"/>
                <w:sz w:val="18"/>
                <w:szCs w:val="18"/>
              </w:rPr>
              <w:t>artners will have the opportunity to be involved in network governance, strategic priority setting, and implementation, as desired.</w:t>
            </w:r>
          </w:p>
          <w:p w14:paraId="633FB346" w14:textId="332E2054" w:rsidR="0016755A" w:rsidRPr="00D760DF" w:rsidRDefault="0016755A" w:rsidP="005319EA">
            <w:pPr>
              <w:spacing w:after="120"/>
              <w:jc w:val="left"/>
              <w:rPr>
                <w:rFonts w:eastAsia="Times New Roman" w:cstheme="majorBidi"/>
                <w:sz w:val="18"/>
                <w:szCs w:val="18"/>
              </w:rPr>
            </w:pPr>
            <w:r w:rsidRPr="00D760DF">
              <w:rPr>
                <w:rFonts w:eastAsia="Times New Roman" w:cstheme="majorBidi"/>
                <w:sz w:val="18"/>
                <w:szCs w:val="18"/>
              </w:rPr>
              <w:t>Opportunity to contribute to high</w:t>
            </w:r>
            <w:r w:rsidR="007717A0" w:rsidRPr="00D760DF">
              <w:rPr>
                <w:rFonts w:eastAsia="Times New Roman" w:cstheme="majorBidi"/>
                <w:sz w:val="18"/>
                <w:szCs w:val="18"/>
              </w:rPr>
              <w:t>-</w:t>
            </w:r>
            <w:r w:rsidRPr="00D760DF">
              <w:rPr>
                <w:rFonts w:eastAsia="Times New Roman" w:cstheme="majorBidi"/>
                <w:sz w:val="18"/>
                <w:szCs w:val="18"/>
              </w:rPr>
              <w:t>level awareness raising, leverage multi</w:t>
            </w:r>
            <w:r w:rsidR="00A80F1D" w:rsidRPr="00D760DF">
              <w:rPr>
                <w:rFonts w:eastAsia="Times New Roman" w:cstheme="majorBidi"/>
                <w:sz w:val="18"/>
                <w:szCs w:val="18"/>
              </w:rPr>
              <w:t>-disciplinary</w:t>
            </w:r>
            <w:r w:rsidRPr="00D760DF">
              <w:rPr>
                <w:rFonts w:eastAsia="Times New Roman" w:cstheme="majorBidi"/>
                <w:sz w:val="18"/>
                <w:szCs w:val="18"/>
              </w:rPr>
              <w:t xml:space="preserve"> partners, invest in capacity development, and technical guidelines and recommendations with global impact.</w:t>
            </w:r>
          </w:p>
          <w:p w14:paraId="1DCD67DD" w14:textId="77777777" w:rsidR="0016755A" w:rsidRPr="00D760DF" w:rsidRDefault="0016755A" w:rsidP="005319EA">
            <w:pPr>
              <w:spacing w:after="120"/>
              <w:jc w:val="left"/>
              <w:rPr>
                <w:rFonts w:eastAsia="Times New Roman" w:cstheme="majorHAnsi"/>
                <w:sz w:val="18"/>
                <w:szCs w:val="18"/>
              </w:rPr>
            </w:pPr>
            <w:r w:rsidRPr="00D760DF">
              <w:rPr>
                <w:rFonts w:eastAsia="Times New Roman" w:cstheme="majorHAnsi"/>
                <w:sz w:val="18"/>
                <w:szCs w:val="18"/>
              </w:rPr>
              <w:t xml:space="preserve">Visibility: Institutional logos featured as appropriate and in accordance with donor requirements. </w:t>
            </w:r>
          </w:p>
        </w:tc>
        <w:tc>
          <w:tcPr>
            <w:tcW w:w="0" w:type="auto"/>
          </w:tcPr>
          <w:p w14:paraId="2C5C740E" w14:textId="65B99BB8" w:rsidR="0016755A" w:rsidRPr="00D760DF" w:rsidRDefault="00D765FA" w:rsidP="005319EA">
            <w:pPr>
              <w:spacing w:before="120" w:after="120"/>
              <w:jc w:val="left"/>
              <w:rPr>
                <w:rFonts w:eastAsia="Times New Roman" w:cstheme="majorBidi"/>
                <w:sz w:val="18"/>
                <w:szCs w:val="18"/>
              </w:rPr>
            </w:pPr>
            <w:r w:rsidRPr="00D760DF">
              <w:rPr>
                <w:rFonts w:eastAsia="Times New Roman" w:cstheme="majorBidi"/>
                <w:sz w:val="18"/>
                <w:szCs w:val="18"/>
              </w:rPr>
              <w:t>Welcome</w:t>
            </w:r>
            <w:r w:rsidR="0016755A" w:rsidRPr="00D760DF">
              <w:rPr>
                <w:rFonts w:eastAsia="Times New Roman" w:cstheme="majorBidi"/>
                <w:sz w:val="18"/>
                <w:szCs w:val="18"/>
              </w:rPr>
              <w:t xml:space="preserve"> Trust</w:t>
            </w:r>
          </w:p>
          <w:p w14:paraId="497A9722" w14:textId="0153AF46" w:rsidR="0016755A" w:rsidRPr="00D760DF" w:rsidRDefault="0016755A" w:rsidP="009D39DA">
            <w:pPr>
              <w:jc w:val="left"/>
              <w:rPr>
                <w:rFonts w:eastAsia="Times New Roman" w:cstheme="majorHAnsi"/>
                <w:sz w:val="18"/>
                <w:szCs w:val="18"/>
              </w:rPr>
            </w:pPr>
            <w:r w:rsidRPr="00D760DF">
              <w:rPr>
                <w:rFonts w:eastAsia="Times New Roman" w:cstheme="majorHAnsi"/>
                <w:sz w:val="18"/>
                <w:szCs w:val="18"/>
              </w:rPr>
              <w:t xml:space="preserve">Public Health England </w:t>
            </w:r>
          </w:p>
        </w:tc>
        <w:tc>
          <w:tcPr>
            <w:tcW w:w="862" w:type="pct"/>
          </w:tcPr>
          <w:p w14:paraId="7F04C4CC" w14:textId="77777777" w:rsidR="0016755A" w:rsidRPr="00D760DF" w:rsidRDefault="0016755A" w:rsidP="005319EA">
            <w:pPr>
              <w:spacing w:before="120" w:after="120"/>
              <w:jc w:val="left"/>
              <w:rPr>
                <w:rFonts w:eastAsia="Times New Roman" w:cstheme="majorHAnsi"/>
                <w:sz w:val="18"/>
                <w:szCs w:val="18"/>
              </w:rPr>
            </w:pPr>
            <w:r w:rsidRPr="00D760DF">
              <w:rPr>
                <w:rFonts w:eastAsia="Times New Roman" w:cstheme="majorHAnsi"/>
                <w:sz w:val="18"/>
                <w:szCs w:val="18"/>
              </w:rPr>
              <w:t>Funding agreement</w:t>
            </w:r>
          </w:p>
        </w:tc>
      </w:tr>
      <w:tr w:rsidR="0016755A" w:rsidRPr="00D760DF" w14:paraId="651A74CB" w14:textId="77777777" w:rsidTr="0012523C">
        <w:trPr>
          <w:trHeight w:val="1830"/>
        </w:trPr>
        <w:tc>
          <w:tcPr>
            <w:tcW w:w="853" w:type="pct"/>
          </w:tcPr>
          <w:p w14:paraId="69D781BD" w14:textId="620DF928" w:rsidR="0016755A" w:rsidRPr="00D760DF" w:rsidRDefault="0016755A" w:rsidP="005319EA">
            <w:pPr>
              <w:spacing w:before="120" w:after="120"/>
              <w:jc w:val="left"/>
              <w:rPr>
                <w:rFonts w:eastAsia="Times New Roman" w:cstheme="majorHAnsi"/>
                <w:b/>
                <w:bCs/>
                <w:sz w:val="18"/>
                <w:szCs w:val="18"/>
              </w:rPr>
            </w:pPr>
            <w:r w:rsidRPr="00D760DF">
              <w:rPr>
                <w:rFonts w:eastAsia="Times New Roman" w:cstheme="majorHAnsi"/>
                <w:b/>
                <w:bCs/>
                <w:sz w:val="18"/>
                <w:szCs w:val="18"/>
              </w:rPr>
              <w:t>Co-Sponsoring Institutional Partners</w:t>
            </w:r>
          </w:p>
        </w:tc>
        <w:tc>
          <w:tcPr>
            <w:tcW w:w="1092" w:type="pct"/>
          </w:tcPr>
          <w:p w14:paraId="0EA00508" w14:textId="054A3E3F" w:rsidR="0016755A" w:rsidRPr="00D760DF" w:rsidRDefault="0016755A" w:rsidP="005319EA">
            <w:pPr>
              <w:spacing w:before="120" w:after="120"/>
              <w:jc w:val="left"/>
              <w:rPr>
                <w:rFonts w:eastAsia="Times New Roman" w:cstheme="majorHAnsi"/>
                <w:sz w:val="18"/>
                <w:szCs w:val="18"/>
              </w:rPr>
            </w:pPr>
            <w:r w:rsidRPr="00D760DF">
              <w:rPr>
                <w:rFonts w:eastAsia="Times New Roman" w:cstheme="majorHAnsi"/>
                <w:b/>
                <w:bCs/>
                <w:sz w:val="18"/>
                <w:szCs w:val="18"/>
              </w:rPr>
              <w:t>Institutional partners</w:t>
            </w:r>
            <w:r w:rsidRPr="00D760DF">
              <w:rPr>
                <w:rFonts w:eastAsia="Times New Roman" w:cstheme="majorHAnsi"/>
                <w:sz w:val="18"/>
                <w:szCs w:val="18"/>
              </w:rPr>
              <w:t xml:space="preserve"> provide a minimum annual financial support (in cash or in-kind) of 75</w:t>
            </w:r>
            <w:r w:rsidR="00B4416A" w:rsidRPr="00D760DF">
              <w:rPr>
                <w:rFonts w:eastAsia="Times New Roman" w:cstheme="majorHAnsi"/>
                <w:sz w:val="18"/>
                <w:szCs w:val="18"/>
              </w:rPr>
              <w:t> </w:t>
            </w:r>
            <w:r w:rsidRPr="00D760DF">
              <w:rPr>
                <w:rFonts w:eastAsia="Times New Roman" w:cstheme="majorHAnsi"/>
                <w:sz w:val="18"/>
                <w:szCs w:val="18"/>
              </w:rPr>
              <w:t>00</w:t>
            </w:r>
            <w:r w:rsidR="00B4416A" w:rsidRPr="00D760DF">
              <w:rPr>
                <w:rFonts w:eastAsia="Times New Roman" w:cstheme="majorHAnsi"/>
                <w:sz w:val="18"/>
                <w:szCs w:val="18"/>
              </w:rPr>
              <w:t xml:space="preserve"> </w:t>
            </w:r>
            <w:r w:rsidRPr="00D760DF">
              <w:rPr>
                <w:rFonts w:eastAsia="Times New Roman" w:cstheme="majorHAnsi"/>
                <w:sz w:val="18"/>
                <w:szCs w:val="18"/>
              </w:rPr>
              <w:t>US</w:t>
            </w:r>
            <w:r w:rsidR="00B4416A" w:rsidRPr="00D760DF">
              <w:rPr>
                <w:rFonts w:eastAsia="Times New Roman" w:cstheme="majorHAnsi"/>
                <w:sz w:val="18"/>
                <w:szCs w:val="18"/>
              </w:rPr>
              <w:t xml:space="preserve"> dollars</w:t>
            </w:r>
          </w:p>
          <w:p w14:paraId="2BEDAC25" w14:textId="77777777" w:rsidR="0016755A" w:rsidRPr="00D760DF" w:rsidRDefault="0016755A" w:rsidP="005319EA">
            <w:pPr>
              <w:spacing w:before="120" w:after="120"/>
              <w:jc w:val="left"/>
              <w:rPr>
                <w:rFonts w:eastAsia="Times New Roman" w:cstheme="majorHAnsi"/>
                <w:sz w:val="18"/>
                <w:szCs w:val="18"/>
                <w:u w:val="single"/>
              </w:rPr>
            </w:pPr>
            <w:r w:rsidRPr="00D760DF">
              <w:rPr>
                <w:rFonts w:eastAsia="Times New Roman" w:cstheme="majorHAnsi"/>
                <w:sz w:val="18"/>
                <w:szCs w:val="18"/>
              </w:rPr>
              <w:t>Responsibilities: Co-sponsors take a lead role in coordination and implementation of activities</w:t>
            </w:r>
          </w:p>
        </w:tc>
        <w:tc>
          <w:tcPr>
            <w:tcW w:w="1413" w:type="pct"/>
          </w:tcPr>
          <w:p w14:paraId="72B8D738" w14:textId="135CACA3" w:rsidR="0016755A" w:rsidRPr="00D760DF" w:rsidRDefault="0016755A" w:rsidP="005C6AF1">
            <w:pPr>
              <w:spacing w:before="120" w:after="120"/>
              <w:jc w:val="left"/>
              <w:rPr>
                <w:rFonts w:eastAsia="Times New Roman" w:cstheme="majorHAnsi"/>
                <w:sz w:val="18"/>
                <w:szCs w:val="18"/>
              </w:rPr>
            </w:pPr>
            <w:r w:rsidRPr="00D760DF">
              <w:rPr>
                <w:rFonts w:eastAsia="Times New Roman" w:cstheme="majorHAnsi"/>
                <w:sz w:val="18"/>
                <w:szCs w:val="18"/>
              </w:rPr>
              <w:t>Decision-making: Co-sponsors will have the opportunity to be involved in network governance, strategic priority setting, and implementation.</w:t>
            </w:r>
          </w:p>
          <w:p w14:paraId="3825621A" w14:textId="77777777" w:rsidR="0016755A" w:rsidRPr="00D760DF" w:rsidRDefault="0016755A" w:rsidP="005C6AF1">
            <w:pPr>
              <w:spacing w:before="120" w:after="120"/>
              <w:jc w:val="left"/>
              <w:rPr>
                <w:rFonts w:eastAsia="Times New Roman" w:cstheme="majorHAnsi"/>
                <w:sz w:val="18"/>
                <w:szCs w:val="18"/>
                <w:u w:val="single"/>
              </w:rPr>
            </w:pPr>
            <w:r w:rsidRPr="00D760DF">
              <w:rPr>
                <w:rFonts w:eastAsia="Times New Roman" w:cstheme="majorHAnsi"/>
                <w:sz w:val="18"/>
                <w:szCs w:val="18"/>
              </w:rPr>
              <w:t>Visibility: Institutional logos featured as appropriate</w:t>
            </w:r>
          </w:p>
        </w:tc>
        <w:tc>
          <w:tcPr>
            <w:tcW w:w="0" w:type="auto"/>
          </w:tcPr>
          <w:p w14:paraId="35D13E82" w14:textId="54300AB2" w:rsidR="0016755A" w:rsidRPr="00D760DF" w:rsidRDefault="0016755A" w:rsidP="005C6AF1">
            <w:pPr>
              <w:spacing w:before="120" w:after="120"/>
              <w:jc w:val="left"/>
              <w:rPr>
                <w:rFonts w:eastAsia="Times New Roman" w:cstheme="majorHAnsi"/>
                <w:sz w:val="18"/>
                <w:szCs w:val="18"/>
              </w:rPr>
            </w:pPr>
            <w:r w:rsidRPr="00D760DF">
              <w:rPr>
                <w:rFonts w:eastAsia="Times New Roman" w:cstheme="majorHAnsi"/>
                <w:sz w:val="18"/>
                <w:szCs w:val="18"/>
              </w:rPr>
              <w:t>NOAA</w:t>
            </w:r>
          </w:p>
          <w:p w14:paraId="3757CD6E" w14:textId="77777777" w:rsidR="0016755A" w:rsidRPr="00D760DF" w:rsidRDefault="0016755A" w:rsidP="005C6AF1">
            <w:pPr>
              <w:spacing w:before="120" w:after="120"/>
              <w:jc w:val="left"/>
              <w:rPr>
                <w:rFonts w:eastAsia="Times New Roman" w:cstheme="majorHAnsi"/>
                <w:sz w:val="18"/>
                <w:szCs w:val="18"/>
              </w:rPr>
            </w:pPr>
            <w:r w:rsidRPr="00D760DF">
              <w:rPr>
                <w:rFonts w:eastAsia="Times New Roman" w:cstheme="majorHAnsi"/>
                <w:sz w:val="18"/>
                <w:szCs w:val="18"/>
              </w:rPr>
              <w:t>WHO</w:t>
            </w:r>
          </w:p>
          <w:p w14:paraId="072AD220" w14:textId="77777777" w:rsidR="0016755A" w:rsidRPr="00D760DF" w:rsidRDefault="0016755A" w:rsidP="005C6AF1">
            <w:pPr>
              <w:spacing w:before="120" w:after="120"/>
              <w:jc w:val="left"/>
              <w:rPr>
                <w:rFonts w:eastAsia="Times New Roman" w:cstheme="majorHAnsi"/>
                <w:sz w:val="18"/>
                <w:szCs w:val="18"/>
                <w:u w:val="single"/>
              </w:rPr>
            </w:pPr>
            <w:r w:rsidRPr="00D760DF">
              <w:rPr>
                <w:rFonts w:eastAsia="Times New Roman" w:cstheme="majorHAnsi"/>
                <w:sz w:val="18"/>
                <w:szCs w:val="18"/>
              </w:rPr>
              <w:t>WMO</w:t>
            </w:r>
          </w:p>
        </w:tc>
        <w:tc>
          <w:tcPr>
            <w:tcW w:w="862" w:type="pct"/>
          </w:tcPr>
          <w:p w14:paraId="10CBC608" w14:textId="77777777" w:rsidR="0016755A" w:rsidRPr="00D760DF" w:rsidRDefault="0016755A" w:rsidP="005C6AF1">
            <w:pPr>
              <w:pStyle w:val="ListParagraph"/>
              <w:numPr>
                <w:ilvl w:val="0"/>
                <w:numId w:val="8"/>
              </w:numPr>
              <w:spacing w:before="120" w:after="120" w:line="240" w:lineRule="auto"/>
              <w:ind w:left="170" w:hanging="170"/>
              <w:contextualSpacing w:val="0"/>
              <w:rPr>
                <w:rFonts w:ascii="Verdana" w:eastAsia="Times New Roman" w:hAnsi="Verdana" w:cstheme="majorHAnsi"/>
                <w:sz w:val="18"/>
                <w:szCs w:val="18"/>
                <w:lang w:val="en-GB"/>
              </w:rPr>
            </w:pPr>
            <w:r w:rsidRPr="00D760DF">
              <w:rPr>
                <w:rFonts w:ascii="Verdana" w:eastAsia="Times New Roman" w:hAnsi="Verdana" w:cstheme="majorHAnsi"/>
                <w:sz w:val="18"/>
                <w:szCs w:val="18"/>
                <w:lang w:val="en-GB"/>
              </w:rPr>
              <w:t xml:space="preserve">Engagement letter </w:t>
            </w:r>
          </w:p>
          <w:p w14:paraId="5079A0CB" w14:textId="7F625B2F" w:rsidR="0016755A" w:rsidRPr="00D760DF" w:rsidRDefault="0016755A" w:rsidP="005C6AF1">
            <w:pPr>
              <w:pStyle w:val="ListParagraph"/>
              <w:numPr>
                <w:ilvl w:val="0"/>
                <w:numId w:val="8"/>
              </w:numPr>
              <w:spacing w:before="120" w:after="120" w:line="240" w:lineRule="auto"/>
              <w:ind w:left="170" w:hanging="170"/>
              <w:contextualSpacing w:val="0"/>
              <w:rPr>
                <w:rFonts w:ascii="Verdana" w:eastAsia="Times New Roman" w:hAnsi="Verdana" w:cstheme="majorHAnsi"/>
                <w:sz w:val="18"/>
                <w:szCs w:val="18"/>
                <w:lang w:val="en-GB"/>
              </w:rPr>
            </w:pPr>
            <w:r w:rsidRPr="00D760DF">
              <w:rPr>
                <w:rFonts w:ascii="Verdana" w:eastAsia="Times New Roman" w:hAnsi="Verdana" w:cstheme="majorHAnsi"/>
                <w:sz w:val="18"/>
                <w:szCs w:val="18"/>
                <w:lang w:val="en-GB"/>
              </w:rPr>
              <w:t>Designated staff and T</w:t>
            </w:r>
            <w:r w:rsidR="00D765FA" w:rsidRPr="00D760DF">
              <w:rPr>
                <w:rFonts w:ascii="Verdana" w:eastAsia="Times New Roman" w:hAnsi="Verdana" w:cstheme="majorHAnsi"/>
                <w:sz w:val="18"/>
                <w:szCs w:val="18"/>
                <w:lang w:val="en-GB"/>
              </w:rPr>
              <w:t>o</w:t>
            </w:r>
            <w:r w:rsidRPr="00D760DF">
              <w:rPr>
                <w:rFonts w:ascii="Verdana" w:eastAsia="Times New Roman" w:hAnsi="Verdana" w:cstheme="majorHAnsi"/>
                <w:sz w:val="18"/>
                <w:szCs w:val="18"/>
                <w:lang w:val="en-GB"/>
              </w:rPr>
              <w:t>R for supporting TSU</w:t>
            </w:r>
          </w:p>
        </w:tc>
      </w:tr>
      <w:tr w:rsidR="0016755A" w:rsidRPr="00D760DF" w14:paraId="1CFF5DF8" w14:textId="77777777" w:rsidTr="0012523C">
        <w:tc>
          <w:tcPr>
            <w:tcW w:w="853" w:type="pct"/>
          </w:tcPr>
          <w:p w14:paraId="42FF82E9" w14:textId="77777777" w:rsidR="0016755A" w:rsidRPr="00D760DF" w:rsidRDefault="0016755A" w:rsidP="003A263F">
            <w:pPr>
              <w:spacing w:before="120" w:after="120"/>
              <w:jc w:val="left"/>
              <w:rPr>
                <w:rFonts w:eastAsia="Times New Roman" w:cstheme="majorBidi"/>
                <w:b/>
                <w:bCs/>
                <w:sz w:val="18"/>
                <w:szCs w:val="18"/>
              </w:rPr>
            </w:pPr>
            <w:r w:rsidRPr="00D760DF">
              <w:rPr>
                <w:rFonts w:eastAsia="Times New Roman" w:cstheme="majorBidi"/>
                <w:b/>
                <w:bCs/>
                <w:sz w:val="18"/>
                <w:szCs w:val="18"/>
              </w:rPr>
              <w:t>Contributing Partners</w:t>
            </w:r>
          </w:p>
        </w:tc>
        <w:tc>
          <w:tcPr>
            <w:tcW w:w="1092" w:type="pct"/>
          </w:tcPr>
          <w:p w14:paraId="4F3400B1" w14:textId="7079D818" w:rsidR="0016755A" w:rsidRPr="00D760DF" w:rsidRDefault="0016755A" w:rsidP="003A263F">
            <w:pPr>
              <w:spacing w:before="120" w:after="120"/>
              <w:jc w:val="left"/>
              <w:rPr>
                <w:rFonts w:eastAsia="Times New Roman" w:cstheme="majorBidi"/>
                <w:sz w:val="18"/>
                <w:szCs w:val="18"/>
              </w:rPr>
            </w:pPr>
            <w:r w:rsidRPr="00D760DF">
              <w:rPr>
                <w:rFonts w:eastAsia="Times New Roman" w:cstheme="majorBidi"/>
                <w:b/>
                <w:bCs/>
                <w:sz w:val="18"/>
                <w:szCs w:val="18"/>
              </w:rPr>
              <w:t>Institutional partners</w:t>
            </w:r>
            <w:r w:rsidRPr="00D760DF">
              <w:rPr>
                <w:rFonts w:eastAsia="Times New Roman" w:cstheme="majorBidi"/>
                <w:sz w:val="18"/>
                <w:szCs w:val="18"/>
              </w:rPr>
              <w:t xml:space="preserve"> provide a minimum bi-annual financial support (in cash or in-kind) of 10</w:t>
            </w:r>
            <w:r w:rsidR="00B4416A" w:rsidRPr="00D760DF">
              <w:rPr>
                <w:rFonts w:eastAsia="Times New Roman" w:cstheme="majorBidi"/>
                <w:sz w:val="18"/>
                <w:szCs w:val="18"/>
              </w:rPr>
              <w:t> </w:t>
            </w:r>
            <w:r w:rsidRPr="00D760DF">
              <w:rPr>
                <w:rFonts w:eastAsia="Times New Roman" w:cstheme="majorBidi"/>
                <w:sz w:val="18"/>
                <w:szCs w:val="18"/>
              </w:rPr>
              <w:t>000</w:t>
            </w:r>
            <w:r w:rsidR="00B4416A" w:rsidRPr="00D760DF">
              <w:rPr>
                <w:rFonts w:eastAsia="Times New Roman" w:cstheme="majorBidi"/>
                <w:sz w:val="18"/>
                <w:szCs w:val="18"/>
              </w:rPr>
              <w:t xml:space="preserve"> </w:t>
            </w:r>
            <w:r w:rsidRPr="00D760DF">
              <w:rPr>
                <w:rFonts w:eastAsia="Times New Roman" w:cstheme="majorBidi"/>
                <w:sz w:val="18"/>
                <w:szCs w:val="18"/>
              </w:rPr>
              <w:t>US</w:t>
            </w:r>
            <w:r w:rsidR="00B4416A" w:rsidRPr="00D760DF">
              <w:rPr>
                <w:rFonts w:eastAsia="Times New Roman" w:cstheme="majorBidi"/>
                <w:sz w:val="18"/>
                <w:szCs w:val="18"/>
              </w:rPr>
              <w:t xml:space="preserve"> dollars</w:t>
            </w:r>
            <w:r w:rsidRPr="00D760DF">
              <w:rPr>
                <w:rFonts w:eastAsia="Times New Roman" w:cstheme="majorBidi"/>
                <w:sz w:val="18"/>
                <w:szCs w:val="18"/>
              </w:rPr>
              <w:t xml:space="preserve"> for implementation, coordination and/or contribution to specific activities and projects per annum. </w:t>
            </w:r>
          </w:p>
          <w:p w14:paraId="190B6011" w14:textId="77777777" w:rsidR="0016755A" w:rsidRPr="00D760DF" w:rsidRDefault="0016755A" w:rsidP="006F182E">
            <w:pPr>
              <w:spacing w:before="120" w:after="120"/>
              <w:jc w:val="left"/>
              <w:rPr>
                <w:rFonts w:eastAsia="Times New Roman" w:cstheme="majorBidi"/>
                <w:sz w:val="18"/>
                <w:szCs w:val="18"/>
              </w:rPr>
            </w:pPr>
            <w:r w:rsidRPr="00D760DF">
              <w:rPr>
                <w:rFonts w:eastAsia="Times New Roman" w:cstheme="majorBidi"/>
                <w:sz w:val="18"/>
                <w:szCs w:val="18"/>
              </w:rPr>
              <w:t>Regional Network Nodes are considered contributing partners, with additional TORs</w:t>
            </w:r>
          </w:p>
        </w:tc>
        <w:tc>
          <w:tcPr>
            <w:tcW w:w="1413" w:type="pct"/>
          </w:tcPr>
          <w:p w14:paraId="6653333F" w14:textId="6C6EDD94" w:rsidR="0016755A" w:rsidRPr="00D760DF" w:rsidRDefault="0016755A" w:rsidP="003A263F">
            <w:pPr>
              <w:spacing w:before="120" w:after="120"/>
              <w:jc w:val="left"/>
              <w:rPr>
                <w:rFonts w:eastAsia="Times New Roman" w:cstheme="majorBidi"/>
                <w:sz w:val="18"/>
                <w:szCs w:val="18"/>
              </w:rPr>
            </w:pPr>
            <w:r w:rsidRPr="00D760DF">
              <w:rPr>
                <w:rFonts w:eastAsia="Times New Roman" w:cstheme="majorBidi"/>
                <w:sz w:val="18"/>
                <w:szCs w:val="18"/>
              </w:rPr>
              <w:t>Decision-making: Supporting members will have the opportunity to be involved in network governance, strategic priority setting, and implementation via A</w:t>
            </w:r>
            <w:r w:rsidR="00D765FA" w:rsidRPr="00D760DF">
              <w:rPr>
                <w:rFonts w:eastAsia="Times New Roman" w:cstheme="majorBidi"/>
                <w:sz w:val="18"/>
                <w:szCs w:val="18"/>
              </w:rPr>
              <w:t>G</w:t>
            </w:r>
            <w:r w:rsidRPr="00D760DF">
              <w:rPr>
                <w:rFonts w:eastAsia="Times New Roman" w:cstheme="majorBidi"/>
                <w:sz w:val="18"/>
                <w:szCs w:val="18"/>
              </w:rPr>
              <w:t>, report progress.</w:t>
            </w:r>
          </w:p>
          <w:p w14:paraId="20E1EC1A" w14:textId="77777777" w:rsidR="0016755A" w:rsidRPr="00D760DF" w:rsidRDefault="0016755A" w:rsidP="006F182E">
            <w:pPr>
              <w:spacing w:before="120" w:after="120"/>
              <w:jc w:val="left"/>
              <w:rPr>
                <w:rFonts w:eastAsia="Times New Roman" w:cstheme="majorBidi"/>
                <w:sz w:val="18"/>
                <w:szCs w:val="18"/>
              </w:rPr>
            </w:pPr>
            <w:r w:rsidRPr="00D760DF">
              <w:rPr>
                <w:rFonts w:eastAsia="Times New Roman" w:cstheme="majorBidi"/>
                <w:sz w:val="18"/>
                <w:szCs w:val="18"/>
              </w:rPr>
              <w:t>Visibility</w:t>
            </w:r>
            <w:r w:rsidRPr="00D760DF">
              <w:rPr>
                <w:rFonts w:eastAsia="Times New Roman" w:cstheme="majorBidi"/>
                <w:sz w:val="18"/>
                <w:szCs w:val="18"/>
                <w:u w:val="single"/>
              </w:rPr>
              <w:t>:</w:t>
            </w:r>
            <w:r w:rsidRPr="00D760DF">
              <w:rPr>
                <w:rFonts w:eastAsia="Times New Roman" w:cstheme="majorBidi"/>
                <w:sz w:val="18"/>
                <w:szCs w:val="18"/>
              </w:rPr>
              <w:t xml:space="preserve"> Institutional logos featured as appropriate, </w:t>
            </w:r>
          </w:p>
          <w:p w14:paraId="162B70B9" w14:textId="77777777" w:rsidR="0016755A" w:rsidRPr="00D760DF" w:rsidRDefault="0016755A" w:rsidP="009D39DA">
            <w:pPr>
              <w:jc w:val="left"/>
              <w:rPr>
                <w:rFonts w:eastAsia="Times New Roman" w:cstheme="majorBidi"/>
                <w:sz w:val="18"/>
                <w:szCs w:val="18"/>
                <w:u w:val="single"/>
              </w:rPr>
            </w:pPr>
            <w:r w:rsidRPr="00D760DF">
              <w:rPr>
                <w:rFonts w:eastAsia="Times New Roman" w:cstheme="majorBidi"/>
                <w:sz w:val="18"/>
                <w:szCs w:val="18"/>
              </w:rPr>
              <w:t>GHHIN Endorsed projects</w:t>
            </w:r>
          </w:p>
        </w:tc>
        <w:tc>
          <w:tcPr>
            <w:tcW w:w="0" w:type="auto"/>
          </w:tcPr>
          <w:p w14:paraId="1B90236E" w14:textId="7B7FB31C" w:rsidR="0016755A" w:rsidRPr="00D760DF" w:rsidRDefault="0016755A" w:rsidP="003A263F">
            <w:pPr>
              <w:spacing w:before="120" w:after="120"/>
              <w:jc w:val="left"/>
              <w:rPr>
                <w:rFonts w:eastAsia="Times New Roman" w:cstheme="majorHAnsi"/>
                <w:sz w:val="18"/>
                <w:szCs w:val="18"/>
              </w:rPr>
            </w:pPr>
            <w:r w:rsidRPr="00D760DF">
              <w:rPr>
                <w:rFonts w:eastAsia="Times New Roman" w:cstheme="majorBidi"/>
                <w:sz w:val="18"/>
                <w:szCs w:val="18"/>
              </w:rPr>
              <w:t>E</w:t>
            </w:r>
            <w:r w:rsidR="006F182E" w:rsidRPr="00D760DF">
              <w:rPr>
                <w:rFonts w:eastAsia="Times New Roman" w:cstheme="majorBidi"/>
                <w:sz w:val="18"/>
                <w:szCs w:val="18"/>
              </w:rPr>
              <w:t>xample</w:t>
            </w:r>
            <w:r w:rsidR="00FC2B81">
              <w:rPr>
                <w:rFonts w:eastAsia="Times New Roman" w:cstheme="majorBidi"/>
                <w:sz w:val="18"/>
                <w:szCs w:val="18"/>
              </w:rPr>
              <w:t>s</w:t>
            </w:r>
            <w:r w:rsidR="006F182E" w:rsidRPr="00D760DF">
              <w:rPr>
                <w:rFonts w:eastAsia="Times New Roman" w:cstheme="majorBidi"/>
                <w:sz w:val="18"/>
                <w:szCs w:val="18"/>
              </w:rPr>
              <w:t>:</w:t>
            </w:r>
          </w:p>
          <w:p w14:paraId="03ABEB9C" w14:textId="77777777" w:rsidR="0016755A" w:rsidRPr="00D760DF" w:rsidRDefault="0016755A" w:rsidP="009D39DA">
            <w:pPr>
              <w:jc w:val="left"/>
              <w:rPr>
                <w:rFonts w:eastAsia="Times New Roman" w:cstheme="majorHAnsi"/>
                <w:sz w:val="18"/>
                <w:szCs w:val="18"/>
              </w:rPr>
            </w:pPr>
            <w:r w:rsidRPr="00D760DF">
              <w:rPr>
                <w:rFonts w:eastAsia="Times New Roman" w:cstheme="majorHAnsi"/>
                <w:sz w:val="18"/>
                <w:szCs w:val="18"/>
              </w:rPr>
              <w:t>PAHO</w:t>
            </w:r>
          </w:p>
          <w:p w14:paraId="757A7F6F" w14:textId="77777777" w:rsidR="0016755A" w:rsidRPr="00D760DF" w:rsidRDefault="0016755A" w:rsidP="009D39DA">
            <w:pPr>
              <w:jc w:val="left"/>
              <w:rPr>
                <w:rFonts w:eastAsia="Times New Roman" w:cstheme="majorHAnsi"/>
                <w:sz w:val="18"/>
                <w:szCs w:val="18"/>
              </w:rPr>
            </w:pPr>
            <w:r w:rsidRPr="00D760DF">
              <w:rPr>
                <w:rFonts w:eastAsia="Times New Roman" w:cstheme="majorHAnsi"/>
                <w:sz w:val="18"/>
                <w:szCs w:val="18"/>
              </w:rPr>
              <w:t>IITM</w:t>
            </w:r>
          </w:p>
          <w:p w14:paraId="7777B544" w14:textId="77777777" w:rsidR="0016755A" w:rsidRPr="00D760DF" w:rsidRDefault="0016755A" w:rsidP="009D39DA">
            <w:pPr>
              <w:jc w:val="left"/>
              <w:rPr>
                <w:rFonts w:eastAsia="Times New Roman" w:cstheme="majorBidi"/>
                <w:sz w:val="18"/>
                <w:szCs w:val="18"/>
              </w:rPr>
            </w:pPr>
            <w:r w:rsidRPr="00D760DF">
              <w:rPr>
                <w:rFonts w:eastAsia="Times New Roman" w:cstheme="majorBidi"/>
                <w:sz w:val="18"/>
                <w:szCs w:val="18"/>
              </w:rPr>
              <w:t>Univ. Copenhagen</w:t>
            </w:r>
          </w:p>
        </w:tc>
        <w:tc>
          <w:tcPr>
            <w:tcW w:w="862" w:type="pct"/>
          </w:tcPr>
          <w:p w14:paraId="4671D9EE" w14:textId="77777777" w:rsidR="0016755A" w:rsidRPr="00D760DF" w:rsidRDefault="0016755A" w:rsidP="00095392">
            <w:pPr>
              <w:pStyle w:val="ListParagraph"/>
              <w:numPr>
                <w:ilvl w:val="0"/>
                <w:numId w:val="8"/>
              </w:numPr>
              <w:spacing w:before="120" w:after="120" w:line="240" w:lineRule="auto"/>
              <w:ind w:left="170" w:hanging="170"/>
              <w:contextualSpacing w:val="0"/>
              <w:rPr>
                <w:rFonts w:ascii="Verdana" w:eastAsia="Times New Roman" w:hAnsi="Verdana" w:cstheme="majorBidi"/>
                <w:sz w:val="18"/>
                <w:szCs w:val="18"/>
                <w:lang w:val="en-GB"/>
              </w:rPr>
            </w:pPr>
            <w:r w:rsidRPr="00D760DF">
              <w:rPr>
                <w:rFonts w:ascii="Verdana" w:eastAsia="Times New Roman" w:hAnsi="Verdana" w:cstheme="majorBidi"/>
                <w:sz w:val="18"/>
                <w:szCs w:val="18"/>
                <w:lang w:val="en-GB"/>
              </w:rPr>
              <w:t>Engagement letter and expected contributions</w:t>
            </w:r>
          </w:p>
          <w:p w14:paraId="18C24C6A" w14:textId="77777777" w:rsidR="0016755A" w:rsidRPr="00D760DF" w:rsidRDefault="0016755A" w:rsidP="006F182E">
            <w:pPr>
              <w:pStyle w:val="ListParagraph"/>
              <w:numPr>
                <w:ilvl w:val="0"/>
                <w:numId w:val="8"/>
              </w:numPr>
              <w:spacing w:before="120" w:after="120" w:line="240" w:lineRule="auto"/>
              <w:ind w:left="170" w:hanging="170"/>
              <w:contextualSpacing w:val="0"/>
              <w:rPr>
                <w:rFonts w:ascii="Verdana" w:eastAsia="Times New Roman" w:hAnsi="Verdana" w:cstheme="majorHAnsi"/>
                <w:sz w:val="18"/>
                <w:szCs w:val="18"/>
                <w:lang w:val="en-GB"/>
              </w:rPr>
            </w:pPr>
            <w:r w:rsidRPr="00D760DF">
              <w:rPr>
                <w:rFonts w:ascii="Verdana" w:eastAsia="Times New Roman" w:hAnsi="Verdana" w:cstheme="majorHAnsi"/>
                <w:sz w:val="18"/>
                <w:szCs w:val="18"/>
                <w:lang w:val="en-GB"/>
              </w:rPr>
              <w:t>Designated Focal Point</w:t>
            </w:r>
          </w:p>
          <w:p w14:paraId="70FA46E3" w14:textId="77777777" w:rsidR="0016755A" w:rsidRPr="00D760DF" w:rsidRDefault="0016755A" w:rsidP="006F182E">
            <w:pPr>
              <w:pStyle w:val="ListParagraph"/>
              <w:numPr>
                <w:ilvl w:val="0"/>
                <w:numId w:val="8"/>
              </w:numPr>
              <w:spacing w:before="120" w:after="120" w:line="240" w:lineRule="auto"/>
              <w:ind w:left="170" w:hanging="170"/>
              <w:contextualSpacing w:val="0"/>
              <w:rPr>
                <w:rFonts w:ascii="Verdana" w:eastAsia="Times New Roman" w:hAnsi="Verdana" w:cstheme="majorHAnsi"/>
                <w:sz w:val="18"/>
                <w:szCs w:val="18"/>
                <w:lang w:val="en-GB"/>
              </w:rPr>
            </w:pPr>
            <w:r w:rsidRPr="00D760DF">
              <w:rPr>
                <w:rFonts w:ascii="Verdana" w:eastAsia="Times New Roman" w:hAnsi="Verdana" w:cstheme="majorHAnsi"/>
                <w:sz w:val="18"/>
                <w:szCs w:val="18"/>
                <w:lang w:val="en-GB"/>
              </w:rPr>
              <w:t>Letter of Agreement with Co-Sponsors for funding (when applicable)</w:t>
            </w:r>
          </w:p>
          <w:p w14:paraId="4C7E5E23" w14:textId="77777777" w:rsidR="0016755A" w:rsidRPr="00D760DF" w:rsidRDefault="0016755A" w:rsidP="009D39DA">
            <w:pPr>
              <w:pStyle w:val="ListParagraph"/>
              <w:ind w:left="130"/>
              <w:rPr>
                <w:rFonts w:ascii="Verdana" w:eastAsia="Times New Roman" w:hAnsi="Verdana" w:cstheme="majorHAnsi"/>
                <w:sz w:val="18"/>
                <w:szCs w:val="18"/>
                <w:lang w:val="en-GB"/>
              </w:rPr>
            </w:pPr>
            <w:r w:rsidRPr="00D760DF">
              <w:rPr>
                <w:rFonts w:ascii="Verdana" w:eastAsia="Times New Roman" w:hAnsi="Verdana" w:cstheme="majorHAnsi"/>
                <w:sz w:val="18"/>
                <w:szCs w:val="18"/>
                <w:lang w:val="en-GB"/>
              </w:rPr>
              <w:t>(Alt.)</w:t>
            </w:r>
          </w:p>
          <w:p w14:paraId="26EE3F4E" w14:textId="77777777" w:rsidR="0016755A" w:rsidRPr="00D760DF" w:rsidRDefault="0016755A" w:rsidP="006F182E">
            <w:pPr>
              <w:pStyle w:val="ListParagraph"/>
              <w:numPr>
                <w:ilvl w:val="0"/>
                <w:numId w:val="8"/>
              </w:numPr>
              <w:spacing w:before="120" w:after="120" w:line="240" w:lineRule="auto"/>
              <w:ind w:left="170" w:hanging="170"/>
              <w:contextualSpacing w:val="0"/>
              <w:rPr>
                <w:rFonts w:ascii="Verdana" w:eastAsia="Times New Roman" w:hAnsi="Verdana" w:cstheme="majorBidi"/>
                <w:sz w:val="18"/>
                <w:szCs w:val="18"/>
                <w:lang w:val="en-GB"/>
              </w:rPr>
            </w:pPr>
            <w:r w:rsidRPr="00D760DF">
              <w:rPr>
                <w:rFonts w:ascii="Verdana" w:eastAsia="Times New Roman" w:hAnsi="Verdana" w:cstheme="majorBidi"/>
                <w:sz w:val="18"/>
                <w:szCs w:val="18"/>
                <w:lang w:val="en-GB"/>
              </w:rPr>
              <w:t xml:space="preserve">Project Endorsement approved by MC </w:t>
            </w:r>
          </w:p>
        </w:tc>
      </w:tr>
      <w:tr w:rsidR="00D760DF" w:rsidRPr="00D760DF" w14:paraId="445EC388" w14:textId="77777777" w:rsidTr="0012523C">
        <w:tc>
          <w:tcPr>
            <w:tcW w:w="5000" w:type="pct"/>
            <w:gridSpan w:val="5"/>
            <w:shd w:val="clear" w:color="auto" w:fill="D99594" w:themeFill="accent2" w:themeFillTint="99"/>
          </w:tcPr>
          <w:p w14:paraId="6F08EC51" w14:textId="0F55664A" w:rsidR="00D760DF" w:rsidRPr="00D760DF" w:rsidRDefault="00D760DF" w:rsidP="00D760DF">
            <w:pPr>
              <w:spacing w:before="120" w:after="120"/>
              <w:jc w:val="center"/>
              <w:rPr>
                <w:rFonts w:eastAsia="Times New Roman" w:cstheme="majorHAnsi"/>
                <w:b/>
                <w:bCs/>
                <w:sz w:val="18"/>
                <w:szCs w:val="18"/>
              </w:rPr>
            </w:pPr>
            <w:r w:rsidRPr="00D760DF">
              <w:rPr>
                <w:rFonts w:eastAsia="Times New Roman" w:cstheme="majorBidi"/>
                <w:b/>
                <w:bCs/>
                <w:sz w:val="18"/>
                <w:szCs w:val="18"/>
              </w:rPr>
              <w:lastRenderedPageBreak/>
              <w:t>GHHIN PARTICIPATING MEMBERS (Individual experts in the community of practice)</w:t>
            </w:r>
          </w:p>
        </w:tc>
      </w:tr>
      <w:tr w:rsidR="0016755A" w:rsidRPr="00D760DF" w14:paraId="5D0522F6" w14:textId="77777777" w:rsidTr="0012523C">
        <w:tc>
          <w:tcPr>
            <w:tcW w:w="853" w:type="pct"/>
          </w:tcPr>
          <w:p w14:paraId="0465E24A" w14:textId="0A5A76FF" w:rsidR="0016755A" w:rsidRPr="00D760DF" w:rsidRDefault="0016755A" w:rsidP="00A46F86">
            <w:pPr>
              <w:spacing w:before="120" w:after="120"/>
              <w:jc w:val="center"/>
              <w:rPr>
                <w:rFonts w:eastAsia="Times New Roman" w:cstheme="majorHAnsi"/>
                <w:b/>
                <w:bCs/>
                <w:sz w:val="18"/>
                <w:szCs w:val="18"/>
              </w:rPr>
            </w:pPr>
            <w:r w:rsidRPr="00D760DF">
              <w:rPr>
                <w:rFonts w:eastAsia="Times New Roman" w:cstheme="majorHAnsi"/>
                <w:b/>
                <w:bCs/>
                <w:sz w:val="18"/>
                <w:szCs w:val="18"/>
              </w:rPr>
              <w:t>Member Type</w:t>
            </w:r>
          </w:p>
        </w:tc>
        <w:tc>
          <w:tcPr>
            <w:tcW w:w="1092" w:type="pct"/>
          </w:tcPr>
          <w:p w14:paraId="53A6E5B5" w14:textId="77777777" w:rsidR="0016755A" w:rsidRPr="00D760DF" w:rsidRDefault="0016755A" w:rsidP="00A46F86">
            <w:pPr>
              <w:spacing w:before="120" w:after="120"/>
              <w:jc w:val="center"/>
              <w:rPr>
                <w:rFonts w:eastAsia="Times New Roman" w:cstheme="majorHAnsi"/>
                <w:b/>
                <w:bCs/>
                <w:sz w:val="18"/>
                <w:szCs w:val="18"/>
                <w:u w:val="single"/>
              </w:rPr>
            </w:pPr>
            <w:r w:rsidRPr="00D760DF">
              <w:rPr>
                <w:rFonts w:eastAsia="Times New Roman" w:cstheme="majorHAnsi"/>
                <w:b/>
                <w:bCs/>
                <w:sz w:val="18"/>
                <w:szCs w:val="18"/>
              </w:rPr>
              <w:t>Role</w:t>
            </w:r>
          </w:p>
        </w:tc>
        <w:tc>
          <w:tcPr>
            <w:tcW w:w="1413" w:type="pct"/>
          </w:tcPr>
          <w:p w14:paraId="44C743C2" w14:textId="712D8210" w:rsidR="0016755A" w:rsidRPr="00D760DF" w:rsidRDefault="0016755A" w:rsidP="00A46F86">
            <w:pPr>
              <w:spacing w:before="120" w:after="120"/>
              <w:jc w:val="center"/>
              <w:rPr>
                <w:rFonts w:eastAsia="Times New Roman" w:cstheme="majorHAnsi"/>
                <w:b/>
                <w:bCs/>
                <w:sz w:val="18"/>
                <w:szCs w:val="18"/>
                <w:u w:val="single"/>
              </w:rPr>
            </w:pPr>
            <w:r w:rsidRPr="00D760DF">
              <w:rPr>
                <w:rFonts w:eastAsia="Times New Roman" w:cstheme="majorHAnsi"/>
                <w:b/>
                <w:bCs/>
                <w:sz w:val="18"/>
                <w:szCs w:val="18"/>
              </w:rPr>
              <w:t>Privileges</w:t>
            </w:r>
          </w:p>
        </w:tc>
        <w:tc>
          <w:tcPr>
            <w:tcW w:w="780" w:type="pct"/>
          </w:tcPr>
          <w:p w14:paraId="2B7F536D" w14:textId="77777777" w:rsidR="0016755A" w:rsidRPr="00D760DF" w:rsidRDefault="0016755A" w:rsidP="00A46F86">
            <w:pPr>
              <w:spacing w:before="120" w:after="120"/>
              <w:jc w:val="center"/>
              <w:rPr>
                <w:rFonts w:eastAsia="Times New Roman" w:cstheme="majorHAnsi"/>
                <w:b/>
                <w:bCs/>
                <w:sz w:val="18"/>
                <w:szCs w:val="18"/>
              </w:rPr>
            </w:pPr>
            <w:r w:rsidRPr="00D760DF">
              <w:rPr>
                <w:rFonts w:eastAsia="Times New Roman" w:cstheme="majorHAnsi"/>
                <w:b/>
                <w:bCs/>
                <w:sz w:val="18"/>
                <w:szCs w:val="18"/>
              </w:rPr>
              <w:t>Current example</w:t>
            </w:r>
          </w:p>
        </w:tc>
        <w:tc>
          <w:tcPr>
            <w:tcW w:w="862" w:type="pct"/>
          </w:tcPr>
          <w:p w14:paraId="4EB0504B" w14:textId="77777777" w:rsidR="0016755A" w:rsidRPr="00D760DF" w:rsidRDefault="0016755A" w:rsidP="00A46F86">
            <w:pPr>
              <w:spacing w:before="120" w:after="120"/>
              <w:jc w:val="center"/>
              <w:rPr>
                <w:rFonts w:eastAsia="Times New Roman" w:cstheme="majorHAnsi"/>
                <w:b/>
                <w:bCs/>
                <w:sz w:val="18"/>
                <w:szCs w:val="18"/>
              </w:rPr>
            </w:pPr>
            <w:r w:rsidRPr="00D760DF">
              <w:rPr>
                <w:rFonts w:eastAsia="Times New Roman" w:cstheme="majorHAnsi"/>
                <w:b/>
                <w:bCs/>
                <w:sz w:val="18"/>
                <w:szCs w:val="18"/>
              </w:rPr>
              <w:t>Supported by</w:t>
            </w:r>
          </w:p>
        </w:tc>
      </w:tr>
      <w:tr w:rsidR="0016755A" w:rsidRPr="00D760DF" w14:paraId="6B8538EA" w14:textId="77777777" w:rsidTr="0012523C">
        <w:tc>
          <w:tcPr>
            <w:tcW w:w="853" w:type="pct"/>
            <w:vMerge w:val="restart"/>
          </w:tcPr>
          <w:p w14:paraId="1304BB2A" w14:textId="5A7FFC3F" w:rsidR="0016755A" w:rsidRPr="00D760DF" w:rsidRDefault="0016755A" w:rsidP="003D7887">
            <w:pPr>
              <w:spacing w:before="120" w:after="120"/>
              <w:rPr>
                <w:rFonts w:eastAsia="Times New Roman" w:cstheme="majorBidi"/>
                <w:sz w:val="18"/>
                <w:szCs w:val="18"/>
              </w:rPr>
            </w:pPr>
            <w:r w:rsidRPr="00D760DF">
              <w:rPr>
                <w:rFonts w:eastAsia="Times New Roman" w:cstheme="majorBidi"/>
                <w:b/>
                <w:bCs/>
                <w:sz w:val="18"/>
                <w:szCs w:val="18"/>
              </w:rPr>
              <w:t xml:space="preserve">Participating Members </w:t>
            </w:r>
          </w:p>
        </w:tc>
        <w:tc>
          <w:tcPr>
            <w:tcW w:w="1092" w:type="pct"/>
            <w:vMerge w:val="restart"/>
          </w:tcPr>
          <w:p w14:paraId="3574CC5D" w14:textId="7F772451" w:rsidR="0016755A" w:rsidRPr="00D760DF" w:rsidRDefault="0016755A" w:rsidP="003D7887">
            <w:pPr>
              <w:spacing w:before="120" w:after="120"/>
              <w:jc w:val="left"/>
              <w:rPr>
                <w:rFonts w:eastAsia="Times New Roman" w:cstheme="majorHAnsi"/>
                <w:sz w:val="18"/>
                <w:szCs w:val="18"/>
              </w:rPr>
            </w:pPr>
            <w:r w:rsidRPr="00D760DF">
              <w:rPr>
                <w:rFonts w:eastAsia="Times New Roman" w:cstheme="majorHAnsi"/>
                <w:b/>
                <w:bCs/>
                <w:sz w:val="18"/>
                <w:szCs w:val="18"/>
              </w:rPr>
              <w:t>Individual members</w:t>
            </w:r>
            <w:r w:rsidRPr="00D760DF">
              <w:rPr>
                <w:rFonts w:eastAsia="Times New Roman" w:cstheme="majorHAnsi"/>
                <w:sz w:val="18"/>
                <w:szCs w:val="18"/>
              </w:rPr>
              <w:t xml:space="preserve"> may have different levels of activity:</w:t>
            </w:r>
          </w:p>
          <w:p w14:paraId="560E70E6" w14:textId="74B4AFC9" w:rsidR="0016755A" w:rsidRPr="00D760DF" w:rsidRDefault="0016755A" w:rsidP="003D7887">
            <w:pPr>
              <w:spacing w:before="120" w:after="120"/>
              <w:jc w:val="left"/>
              <w:rPr>
                <w:rFonts w:eastAsia="Times New Roman" w:cstheme="majorHAnsi"/>
                <w:sz w:val="18"/>
                <w:szCs w:val="18"/>
              </w:rPr>
            </w:pPr>
            <w:r w:rsidRPr="00D760DF">
              <w:rPr>
                <w:rFonts w:eastAsia="Times New Roman" w:cstheme="majorHAnsi"/>
                <w:sz w:val="18"/>
                <w:szCs w:val="18"/>
              </w:rPr>
              <w:t xml:space="preserve">Some members may provide in-kind time and expertise to support activities such as organizing webinars, trainings, workshops, writing and revision of technical documents. </w:t>
            </w:r>
          </w:p>
          <w:p w14:paraId="4BF38A61" w14:textId="0EACA608" w:rsidR="0016755A" w:rsidRPr="00D760DF" w:rsidRDefault="0016755A" w:rsidP="003D7887">
            <w:pPr>
              <w:spacing w:before="120" w:after="120"/>
              <w:jc w:val="left"/>
              <w:rPr>
                <w:rFonts w:eastAsia="Times New Roman" w:cstheme="majorBidi"/>
                <w:sz w:val="18"/>
                <w:szCs w:val="18"/>
              </w:rPr>
            </w:pPr>
            <w:r w:rsidRPr="00D760DF">
              <w:rPr>
                <w:rFonts w:eastAsia="Times New Roman" w:cstheme="majorBidi"/>
                <w:sz w:val="18"/>
                <w:szCs w:val="18"/>
              </w:rPr>
              <w:t xml:space="preserve">Includes </w:t>
            </w:r>
            <w:r w:rsidR="00A75B02" w:rsidRPr="00D760DF">
              <w:rPr>
                <w:rFonts w:eastAsia="Times New Roman" w:cstheme="majorBidi"/>
                <w:sz w:val="18"/>
                <w:szCs w:val="18"/>
              </w:rPr>
              <w:t>M</w:t>
            </w:r>
            <w:r w:rsidRPr="00D760DF">
              <w:rPr>
                <w:rFonts w:eastAsia="Times New Roman" w:cstheme="majorBidi"/>
                <w:sz w:val="18"/>
                <w:szCs w:val="18"/>
              </w:rPr>
              <w:t xml:space="preserve">anagement </w:t>
            </w:r>
            <w:r w:rsidR="00A75B02" w:rsidRPr="00D760DF">
              <w:rPr>
                <w:rFonts w:eastAsia="Times New Roman" w:cstheme="majorBidi"/>
                <w:sz w:val="18"/>
                <w:szCs w:val="18"/>
              </w:rPr>
              <w:t>C</w:t>
            </w:r>
            <w:r w:rsidRPr="00D760DF">
              <w:rPr>
                <w:rFonts w:eastAsia="Times New Roman" w:cstheme="majorBidi"/>
                <w:sz w:val="18"/>
                <w:szCs w:val="18"/>
              </w:rPr>
              <w:t xml:space="preserve">ommittee members who contribute substantial time (5-10 days per year). </w:t>
            </w:r>
          </w:p>
          <w:p w14:paraId="59108C46" w14:textId="77777777" w:rsidR="0016755A" w:rsidRPr="00D760DF" w:rsidRDefault="0016755A" w:rsidP="003D7887">
            <w:pPr>
              <w:spacing w:before="120" w:after="120"/>
              <w:jc w:val="left"/>
              <w:rPr>
                <w:rFonts w:eastAsia="Times New Roman" w:cstheme="majorBidi"/>
                <w:sz w:val="18"/>
                <w:szCs w:val="18"/>
              </w:rPr>
            </w:pPr>
            <w:r w:rsidRPr="00D760DF">
              <w:rPr>
                <w:rFonts w:eastAsia="Times New Roman" w:cstheme="majorBidi"/>
                <w:sz w:val="18"/>
                <w:szCs w:val="18"/>
              </w:rPr>
              <w:t>Some may attend activities and share lessons and research at Network events. (E.g. participate or present in Network events)</w:t>
            </w:r>
          </w:p>
        </w:tc>
        <w:tc>
          <w:tcPr>
            <w:tcW w:w="1413" w:type="pct"/>
            <w:vMerge w:val="restart"/>
          </w:tcPr>
          <w:p w14:paraId="01D2FB62" w14:textId="6A79E9A6" w:rsidR="0016755A" w:rsidRPr="00D760DF" w:rsidRDefault="0016755A" w:rsidP="00D256BC">
            <w:pPr>
              <w:spacing w:before="120" w:after="120"/>
              <w:jc w:val="left"/>
              <w:rPr>
                <w:rFonts w:eastAsia="Times New Roman" w:cstheme="majorBidi"/>
                <w:sz w:val="18"/>
                <w:szCs w:val="18"/>
              </w:rPr>
            </w:pPr>
            <w:r w:rsidRPr="00D760DF">
              <w:rPr>
                <w:rFonts w:eastAsia="Times New Roman" w:cstheme="majorBidi"/>
                <w:sz w:val="18"/>
                <w:szCs w:val="18"/>
              </w:rPr>
              <w:t>Visibility: Individual Members have the option to be featured in the “Expert Network”, and work considered for the library.</w:t>
            </w:r>
          </w:p>
          <w:p w14:paraId="79B0F1B3" w14:textId="1622BC98" w:rsidR="0016755A" w:rsidRPr="00D760DF" w:rsidRDefault="0016755A" w:rsidP="00D256BC">
            <w:pPr>
              <w:spacing w:before="120" w:after="120"/>
              <w:jc w:val="left"/>
              <w:rPr>
                <w:rFonts w:eastAsia="Times New Roman" w:cstheme="majorBidi"/>
                <w:sz w:val="18"/>
                <w:szCs w:val="18"/>
              </w:rPr>
            </w:pPr>
            <w:r w:rsidRPr="00D760DF">
              <w:rPr>
                <w:rFonts w:eastAsia="Times New Roman" w:cstheme="majorBidi"/>
                <w:sz w:val="18"/>
                <w:szCs w:val="18"/>
              </w:rPr>
              <w:t>Opportunity to shape and contribute to high</w:t>
            </w:r>
            <w:r w:rsidR="007717A0" w:rsidRPr="00D760DF">
              <w:rPr>
                <w:rFonts w:eastAsia="Times New Roman" w:cstheme="majorBidi"/>
                <w:sz w:val="18"/>
                <w:szCs w:val="18"/>
              </w:rPr>
              <w:t>-</w:t>
            </w:r>
            <w:r w:rsidRPr="00D760DF">
              <w:rPr>
                <w:rFonts w:eastAsia="Times New Roman" w:cstheme="majorBidi"/>
                <w:sz w:val="18"/>
                <w:szCs w:val="18"/>
              </w:rPr>
              <w:t>level guidelines</w:t>
            </w:r>
            <w:r w:rsidR="00AB39D4">
              <w:rPr>
                <w:rFonts w:eastAsia="Times New Roman" w:cstheme="majorBidi"/>
                <w:sz w:val="18"/>
                <w:szCs w:val="18"/>
              </w:rPr>
              <w:t xml:space="preserve"> and</w:t>
            </w:r>
            <w:r w:rsidRPr="00D760DF">
              <w:rPr>
                <w:rFonts w:eastAsia="Times New Roman" w:cstheme="majorBidi"/>
                <w:sz w:val="18"/>
                <w:szCs w:val="18"/>
              </w:rPr>
              <w:t xml:space="preserve"> recommendations that are used globally.</w:t>
            </w:r>
          </w:p>
          <w:p w14:paraId="5BD10A99" w14:textId="3372A734" w:rsidR="0016755A" w:rsidRPr="00D760DF" w:rsidRDefault="0016755A" w:rsidP="00D256BC">
            <w:pPr>
              <w:spacing w:before="120" w:after="120"/>
              <w:jc w:val="left"/>
              <w:rPr>
                <w:rFonts w:eastAsia="Times New Roman" w:cstheme="majorBidi"/>
                <w:sz w:val="18"/>
                <w:szCs w:val="18"/>
              </w:rPr>
            </w:pPr>
            <w:r w:rsidRPr="00D760DF">
              <w:rPr>
                <w:rFonts w:eastAsia="Times New Roman" w:cstheme="majorBidi"/>
                <w:sz w:val="18"/>
                <w:szCs w:val="18"/>
              </w:rPr>
              <w:t>Gives flexibility to involve home institutions or not.</w:t>
            </w:r>
          </w:p>
          <w:p w14:paraId="11C5B760" w14:textId="31731CCE" w:rsidR="0016755A" w:rsidRPr="00D760DF" w:rsidRDefault="0016755A" w:rsidP="003412C9">
            <w:pPr>
              <w:spacing w:before="120" w:after="120"/>
              <w:jc w:val="left"/>
              <w:rPr>
                <w:rFonts w:eastAsia="Times New Roman" w:cstheme="majorBidi"/>
                <w:sz w:val="18"/>
                <w:szCs w:val="18"/>
              </w:rPr>
            </w:pPr>
            <w:r w:rsidRPr="00D760DF">
              <w:rPr>
                <w:rFonts w:eastAsia="Times New Roman" w:cstheme="majorBidi"/>
                <w:sz w:val="18"/>
                <w:szCs w:val="18"/>
              </w:rPr>
              <w:t xml:space="preserve">Representation: Participating members will be invited to annual </w:t>
            </w:r>
            <w:r w:rsidR="00D765FA" w:rsidRPr="00D760DF">
              <w:rPr>
                <w:rFonts w:eastAsia="Times New Roman" w:cstheme="majorBidi"/>
                <w:sz w:val="18"/>
                <w:szCs w:val="18"/>
              </w:rPr>
              <w:t>AG</w:t>
            </w:r>
            <w:r w:rsidRPr="00D760DF">
              <w:rPr>
                <w:rFonts w:eastAsia="Times New Roman" w:cstheme="majorBidi"/>
                <w:sz w:val="18"/>
                <w:szCs w:val="18"/>
              </w:rPr>
              <w:t xml:space="preserve"> meetings and have the opportunity to submit interest/</w:t>
            </w:r>
            <w:r w:rsidR="00CB7B5B">
              <w:rPr>
                <w:rFonts w:eastAsia="Times New Roman" w:cstheme="majorBidi"/>
                <w:sz w:val="18"/>
                <w:szCs w:val="18"/>
              </w:rPr>
              <w:t xml:space="preserve"> </w:t>
            </w:r>
            <w:r w:rsidRPr="00D760DF">
              <w:rPr>
                <w:rFonts w:eastAsia="Times New Roman" w:cstheme="majorBidi"/>
                <w:sz w:val="18"/>
                <w:szCs w:val="18"/>
              </w:rPr>
              <w:t xml:space="preserve">candidacy for governance bodies to represent contributing members, as well as join and participate in activities and other technical working groups. </w:t>
            </w:r>
          </w:p>
        </w:tc>
        <w:tc>
          <w:tcPr>
            <w:tcW w:w="780" w:type="pct"/>
          </w:tcPr>
          <w:p w14:paraId="6E285FE4" w14:textId="72CAB42D" w:rsidR="0016755A" w:rsidRPr="00D760DF" w:rsidRDefault="0016755A" w:rsidP="00D256BC">
            <w:pPr>
              <w:spacing w:before="120" w:after="120"/>
              <w:jc w:val="left"/>
              <w:rPr>
                <w:rFonts w:eastAsia="Times New Roman" w:cstheme="majorBidi"/>
                <w:sz w:val="18"/>
                <w:szCs w:val="18"/>
              </w:rPr>
            </w:pPr>
            <w:r w:rsidRPr="00D760DF">
              <w:rPr>
                <w:rFonts w:eastAsia="Times New Roman" w:cstheme="majorBidi"/>
                <w:sz w:val="18"/>
                <w:szCs w:val="18"/>
              </w:rPr>
              <w:t>Certain members of the Management Committee</w:t>
            </w:r>
            <w:r w:rsidR="00B853AE">
              <w:rPr>
                <w:rFonts w:eastAsia="Times New Roman" w:cstheme="majorBidi"/>
                <w:sz w:val="18"/>
                <w:szCs w:val="18"/>
              </w:rPr>
              <w:t>:</w:t>
            </w:r>
            <w:r w:rsidRPr="00D760DF">
              <w:rPr>
                <w:rFonts w:eastAsia="Times New Roman" w:cstheme="majorBidi"/>
                <w:sz w:val="18"/>
                <w:szCs w:val="18"/>
              </w:rPr>
              <w:t xml:space="preserve"> </w:t>
            </w:r>
          </w:p>
          <w:p w14:paraId="26F56B6A" w14:textId="0D63D038" w:rsidR="0016755A" w:rsidRPr="00D760DF" w:rsidRDefault="0016755A" w:rsidP="00D256BC">
            <w:pPr>
              <w:spacing w:before="120" w:after="120"/>
              <w:jc w:val="left"/>
              <w:rPr>
                <w:rFonts w:eastAsia="Times New Roman" w:cstheme="majorBidi"/>
                <w:sz w:val="18"/>
                <w:szCs w:val="18"/>
              </w:rPr>
            </w:pPr>
            <w:r w:rsidRPr="00D760DF">
              <w:rPr>
                <w:rFonts w:eastAsia="Times New Roman" w:cstheme="majorBidi"/>
                <w:sz w:val="18"/>
                <w:szCs w:val="18"/>
              </w:rPr>
              <w:t>May and may not bring institutional affiliation but participate as experts</w:t>
            </w:r>
          </w:p>
        </w:tc>
        <w:tc>
          <w:tcPr>
            <w:tcW w:w="862" w:type="pct"/>
          </w:tcPr>
          <w:p w14:paraId="4F964B61" w14:textId="7AAB5BBC" w:rsidR="0016755A" w:rsidRPr="00D760DF" w:rsidRDefault="0016755A" w:rsidP="00E5120E">
            <w:pPr>
              <w:spacing w:before="120" w:after="120"/>
              <w:jc w:val="left"/>
              <w:rPr>
                <w:rFonts w:eastAsia="Times New Roman" w:cstheme="majorHAnsi"/>
                <w:sz w:val="18"/>
                <w:szCs w:val="18"/>
              </w:rPr>
            </w:pPr>
            <w:r w:rsidRPr="00D760DF">
              <w:rPr>
                <w:rFonts w:eastAsia="Times New Roman" w:cstheme="majorHAnsi"/>
                <w:sz w:val="18"/>
                <w:szCs w:val="18"/>
              </w:rPr>
              <w:t>Recognized through participation records</w:t>
            </w:r>
          </w:p>
          <w:p w14:paraId="53D6B509" w14:textId="6F89798D" w:rsidR="0016755A" w:rsidRPr="00D760DF" w:rsidRDefault="0016755A" w:rsidP="00E5120E">
            <w:pPr>
              <w:spacing w:before="120" w:after="120"/>
              <w:jc w:val="left"/>
              <w:rPr>
                <w:rFonts w:eastAsia="Times New Roman" w:cstheme="majorHAnsi"/>
                <w:sz w:val="18"/>
                <w:szCs w:val="18"/>
              </w:rPr>
            </w:pPr>
            <w:r w:rsidRPr="00D760DF">
              <w:rPr>
                <w:rFonts w:eastAsia="Times New Roman" w:cstheme="majorHAnsi"/>
                <w:sz w:val="18"/>
                <w:szCs w:val="18"/>
              </w:rPr>
              <w:t>Submission of Expression</w:t>
            </w:r>
            <w:r w:rsidR="00B853AE">
              <w:rPr>
                <w:rFonts w:eastAsia="Times New Roman" w:cstheme="majorHAnsi"/>
                <w:sz w:val="18"/>
                <w:szCs w:val="18"/>
              </w:rPr>
              <w:t>s</w:t>
            </w:r>
            <w:r w:rsidRPr="00D760DF">
              <w:rPr>
                <w:rFonts w:eastAsia="Times New Roman" w:cstheme="majorHAnsi"/>
                <w:sz w:val="18"/>
                <w:szCs w:val="18"/>
              </w:rPr>
              <w:t xml:space="preserve"> of </w:t>
            </w:r>
            <w:r w:rsidR="00B853AE">
              <w:rPr>
                <w:rFonts w:eastAsia="Times New Roman" w:cstheme="majorHAnsi"/>
                <w:sz w:val="18"/>
                <w:szCs w:val="18"/>
              </w:rPr>
              <w:t>I</w:t>
            </w:r>
            <w:r w:rsidRPr="00D760DF">
              <w:rPr>
                <w:rFonts w:eastAsia="Times New Roman" w:cstheme="majorHAnsi"/>
                <w:sz w:val="18"/>
                <w:szCs w:val="18"/>
              </w:rPr>
              <w:t xml:space="preserve">nterest and contribution </w:t>
            </w:r>
          </w:p>
          <w:p w14:paraId="6EEBEA37" w14:textId="77777777" w:rsidR="0016755A" w:rsidRPr="00D760DF" w:rsidRDefault="0016755A" w:rsidP="00E5120E">
            <w:pPr>
              <w:spacing w:before="120" w:after="120"/>
              <w:jc w:val="left"/>
              <w:rPr>
                <w:rFonts w:eastAsia="Times New Roman" w:cstheme="majorBidi"/>
                <w:sz w:val="18"/>
                <w:szCs w:val="18"/>
              </w:rPr>
            </w:pPr>
            <w:r w:rsidRPr="00D760DF">
              <w:rPr>
                <w:rFonts w:eastAsia="Times New Roman" w:cstheme="majorBidi"/>
                <w:sz w:val="18"/>
                <w:szCs w:val="18"/>
              </w:rPr>
              <w:t>(Managed as an online form/register with 2-year time limit)</w:t>
            </w:r>
          </w:p>
        </w:tc>
      </w:tr>
      <w:tr w:rsidR="0016755A" w:rsidRPr="00D760DF" w14:paraId="34445B50" w14:textId="77777777" w:rsidTr="0012523C">
        <w:trPr>
          <w:trHeight w:val="557"/>
        </w:trPr>
        <w:tc>
          <w:tcPr>
            <w:tcW w:w="853" w:type="pct"/>
            <w:vMerge/>
          </w:tcPr>
          <w:p w14:paraId="70E54970" w14:textId="77777777" w:rsidR="0016755A" w:rsidRPr="00D760DF" w:rsidRDefault="0016755A" w:rsidP="00E26A1F">
            <w:pPr>
              <w:rPr>
                <w:rFonts w:eastAsia="Times New Roman" w:cstheme="majorHAnsi"/>
                <w:sz w:val="18"/>
                <w:szCs w:val="18"/>
              </w:rPr>
            </w:pPr>
          </w:p>
        </w:tc>
        <w:tc>
          <w:tcPr>
            <w:tcW w:w="1092" w:type="pct"/>
            <w:vMerge/>
          </w:tcPr>
          <w:p w14:paraId="273F4533" w14:textId="77777777" w:rsidR="0016755A" w:rsidRPr="00D760DF" w:rsidRDefault="0016755A" w:rsidP="00E26A1F">
            <w:pPr>
              <w:rPr>
                <w:rFonts w:eastAsia="Times New Roman" w:cstheme="majorHAnsi"/>
                <w:sz w:val="18"/>
                <w:szCs w:val="18"/>
              </w:rPr>
            </w:pPr>
          </w:p>
        </w:tc>
        <w:tc>
          <w:tcPr>
            <w:tcW w:w="1413" w:type="pct"/>
            <w:vMerge/>
          </w:tcPr>
          <w:p w14:paraId="414E8494" w14:textId="77777777" w:rsidR="0016755A" w:rsidRPr="00D760DF" w:rsidRDefault="0016755A" w:rsidP="00E26A1F">
            <w:pPr>
              <w:rPr>
                <w:rFonts w:eastAsiaTheme="minorEastAsia" w:cstheme="majorHAnsi"/>
                <w:sz w:val="18"/>
                <w:szCs w:val="18"/>
                <w:u w:val="single"/>
              </w:rPr>
            </w:pPr>
          </w:p>
        </w:tc>
        <w:tc>
          <w:tcPr>
            <w:tcW w:w="780" w:type="pct"/>
          </w:tcPr>
          <w:p w14:paraId="7C40ED71" w14:textId="77777777" w:rsidR="0016755A" w:rsidRPr="00D760DF" w:rsidRDefault="0016755A" w:rsidP="00E5120E">
            <w:pPr>
              <w:jc w:val="left"/>
              <w:rPr>
                <w:rFonts w:eastAsia="Times New Roman" w:cstheme="majorBidi"/>
                <w:sz w:val="18"/>
                <w:szCs w:val="18"/>
              </w:rPr>
            </w:pPr>
            <w:r w:rsidRPr="00D760DF">
              <w:rPr>
                <w:rFonts w:eastAsia="Times New Roman" w:cstheme="majorBidi"/>
                <w:sz w:val="18"/>
                <w:szCs w:val="18"/>
              </w:rPr>
              <w:t>Forum or webinar presenters</w:t>
            </w:r>
          </w:p>
        </w:tc>
        <w:tc>
          <w:tcPr>
            <w:tcW w:w="862" w:type="pct"/>
          </w:tcPr>
          <w:p w14:paraId="61E1F36C" w14:textId="77777777" w:rsidR="0016755A" w:rsidRPr="00D760DF" w:rsidRDefault="0016755A" w:rsidP="00E5120E">
            <w:pPr>
              <w:jc w:val="left"/>
              <w:rPr>
                <w:rFonts w:eastAsia="Times New Roman" w:cstheme="majorHAnsi"/>
                <w:sz w:val="18"/>
                <w:szCs w:val="18"/>
              </w:rPr>
            </w:pPr>
            <w:r w:rsidRPr="00D760DF">
              <w:rPr>
                <w:rFonts w:eastAsia="Times New Roman" w:cstheme="majorHAnsi"/>
                <w:sz w:val="18"/>
                <w:szCs w:val="18"/>
              </w:rPr>
              <w:t>Recognized through participation records</w:t>
            </w:r>
          </w:p>
        </w:tc>
      </w:tr>
      <w:tr w:rsidR="0016755A" w:rsidRPr="00D760DF" w14:paraId="2395E146" w14:textId="77777777" w:rsidTr="0012523C">
        <w:trPr>
          <w:trHeight w:val="944"/>
        </w:trPr>
        <w:tc>
          <w:tcPr>
            <w:tcW w:w="853" w:type="pct"/>
            <w:vMerge/>
          </w:tcPr>
          <w:p w14:paraId="3D6FE72D" w14:textId="77777777" w:rsidR="0016755A" w:rsidRPr="00D760DF" w:rsidRDefault="0016755A" w:rsidP="00E26A1F">
            <w:pPr>
              <w:rPr>
                <w:rFonts w:eastAsia="Times New Roman" w:cstheme="majorHAnsi"/>
                <w:sz w:val="18"/>
                <w:szCs w:val="18"/>
              </w:rPr>
            </w:pPr>
          </w:p>
        </w:tc>
        <w:tc>
          <w:tcPr>
            <w:tcW w:w="1092" w:type="pct"/>
          </w:tcPr>
          <w:p w14:paraId="09047E65" w14:textId="77777777" w:rsidR="0016755A" w:rsidRPr="00D760DF" w:rsidRDefault="0016755A" w:rsidP="003412C9">
            <w:pPr>
              <w:spacing w:before="120" w:after="120"/>
              <w:jc w:val="left"/>
              <w:rPr>
                <w:rFonts w:eastAsia="Times New Roman" w:cstheme="majorBidi"/>
                <w:i/>
                <w:iCs/>
                <w:sz w:val="18"/>
                <w:szCs w:val="18"/>
              </w:rPr>
            </w:pPr>
            <w:r w:rsidRPr="00D760DF">
              <w:rPr>
                <w:rFonts w:eastAsia="Times New Roman" w:cstheme="majorBidi"/>
                <w:sz w:val="18"/>
                <w:szCs w:val="18"/>
              </w:rPr>
              <w:t>Some may be less active members who observe Network events, subscribe to the digest and social media</w:t>
            </w:r>
            <w:r w:rsidRPr="00D760DF">
              <w:rPr>
                <w:rFonts w:eastAsia="Times New Roman" w:cstheme="majorBidi"/>
                <w:i/>
                <w:iCs/>
                <w:sz w:val="18"/>
                <w:szCs w:val="18"/>
              </w:rPr>
              <w:t xml:space="preserve"> </w:t>
            </w:r>
          </w:p>
        </w:tc>
        <w:tc>
          <w:tcPr>
            <w:tcW w:w="1413" w:type="pct"/>
          </w:tcPr>
          <w:p w14:paraId="0C71A264" w14:textId="77777777" w:rsidR="0016755A" w:rsidRPr="00D760DF" w:rsidRDefault="0016755A" w:rsidP="003412C9">
            <w:pPr>
              <w:spacing w:before="120" w:after="120"/>
              <w:jc w:val="left"/>
              <w:rPr>
                <w:rFonts w:eastAsia="Times New Roman" w:cstheme="majorHAnsi"/>
                <w:sz w:val="18"/>
                <w:szCs w:val="18"/>
              </w:rPr>
            </w:pPr>
            <w:r w:rsidRPr="00D760DF">
              <w:rPr>
                <w:rFonts w:eastAsia="Times New Roman" w:cstheme="majorHAnsi"/>
                <w:sz w:val="18"/>
                <w:szCs w:val="18"/>
              </w:rPr>
              <w:t>Silent “members” who have access to all information and opportunities to participate and learn</w:t>
            </w:r>
          </w:p>
        </w:tc>
        <w:tc>
          <w:tcPr>
            <w:tcW w:w="780" w:type="pct"/>
          </w:tcPr>
          <w:p w14:paraId="7E6F848E" w14:textId="77777777" w:rsidR="0016755A" w:rsidRPr="00D760DF" w:rsidRDefault="0016755A" w:rsidP="003412C9">
            <w:pPr>
              <w:spacing w:before="120" w:after="120"/>
              <w:jc w:val="left"/>
              <w:rPr>
                <w:rFonts w:eastAsia="Times New Roman" w:cstheme="majorHAnsi"/>
                <w:sz w:val="18"/>
                <w:szCs w:val="18"/>
              </w:rPr>
            </w:pPr>
            <w:r w:rsidRPr="00D760DF">
              <w:rPr>
                <w:rFonts w:eastAsia="Times New Roman" w:cstheme="majorHAnsi"/>
                <w:sz w:val="18"/>
                <w:szCs w:val="18"/>
              </w:rPr>
              <w:t xml:space="preserve">Mailing list subscribers </w:t>
            </w:r>
          </w:p>
        </w:tc>
        <w:tc>
          <w:tcPr>
            <w:tcW w:w="862" w:type="pct"/>
          </w:tcPr>
          <w:p w14:paraId="173D3E90" w14:textId="77777777" w:rsidR="0016755A" w:rsidRPr="00D760DF" w:rsidRDefault="0016755A" w:rsidP="003412C9">
            <w:pPr>
              <w:spacing w:before="120" w:after="120"/>
              <w:jc w:val="left"/>
              <w:rPr>
                <w:rFonts w:eastAsia="Times New Roman" w:cstheme="majorHAnsi"/>
                <w:sz w:val="18"/>
                <w:szCs w:val="18"/>
              </w:rPr>
            </w:pPr>
            <w:r w:rsidRPr="00D760DF">
              <w:rPr>
                <w:rFonts w:eastAsia="Times New Roman" w:cstheme="majorHAnsi"/>
                <w:sz w:val="18"/>
                <w:szCs w:val="18"/>
              </w:rPr>
              <w:t xml:space="preserve">Recognized through subscription base </w:t>
            </w:r>
          </w:p>
        </w:tc>
      </w:tr>
    </w:tbl>
    <w:p w14:paraId="68AE17EB" w14:textId="77777777" w:rsidR="00883BD6" w:rsidRDefault="00883BD6" w:rsidP="00D00EAF">
      <w:pPr>
        <w:pStyle w:val="Heading1"/>
        <w:rPr>
          <w:rFonts w:eastAsia="Times New Roman"/>
          <w:sz w:val="20"/>
          <w:szCs w:val="20"/>
        </w:rPr>
        <w:sectPr w:rsidR="00883BD6" w:rsidSect="00D97DD8">
          <w:pgSz w:w="16840" w:h="11907" w:orient="landscape" w:code="9"/>
          <w:pgMar w:top="1134" w:right="1134" w:bottom="1134" w:left="1134" w:header="720" w:footer="720" w:gutter="0"/>
          <w:cols w:space="720"/>
          <w:titlePg/>
          <w:docGrid w:linePitch="299"/>
        </w:sectPr>
      </w:pPr>
    </w:p>
    <w:p w14:paraId="3D08528D" w14:textId="3D470596" w:rsidR="0016755A" w:rsidRPr="00D00EAF" w:rsidRDefault="0016755A" w:rsidP="00D00EAF">
      <w:pPr>
        <w:pStyle w:val="Heading1"/>
        <w:rPr>
          <w:rFonts w:eastAsia="Times New Roman"/>
          <w:sz w:val="20"/>
          <w:szCs w:val="20"/>
        </w:rPr>
      </w:pPr>
      <w:bookmarkStart w:id="3" w:name="ANNEX_2"/>
      <w:r w:rsidRPr="00A11EAB">
        <w:rPr>
          <w:rFonts w:eastAsia="Times New Roman"/>
          <w:sz w:val="20"/>
          <w:szCs w:val="20"/>
        </w:rPr>
        <w:lastRenderedPageBreak/>
        <w:t>Annex</w:t>
      </w:r>
      <w:r w:rsidR="00D00EAF">
        <w:rPr>
          <w:rFonts w:eastAsia="Times New Roman"/>
          <w:sz w:val="20"/>
          <w:szCs w:val="20"/>
        </w:rPr>
        <w:t> </w:t>
      </w:r>
      <w:r w:rsidRPr="00A11EAB">
        <w:rPr>
          <w:rFonts w:eastAsia="Times New Roman"/>
          <w:sz w:val="20"/>
          <w:szCs w:val="20"/>
        </w:rPr>
        <w:t>2</w:t>
      </w:r>
      <w:bookmarkEnd w:id="3"/>
      <w:r w:rsidRPr="00A11EAB">
        <w:rPr>
          <w:rFonts w:eastAsia="Times New Roman"/>
          <w:sz w:val="20"/>
          <w:szCs w:val="20"/>
        </w:rPr>
        <w:t xml:space="preserve">: Integrated Heat Health Management Framework </w:t>
      </w:r>
    </w:p>
    <w:p w14:paraId="0353C4C4" w14:textId="77777777" w:rsidR="0016755A" w:rsidRPr="00A11EAB" w:rsidRDefault="0016755A" w:rsidP="00D00EAF">
      <w:pPr>
        <w:spacing w:before="360" w:after="240"/>
        <w:ind w:right="-170"/>
        <w:jc w:val="left"/>
      </w:pPr>
      <w:r w:rsidRPr="00A11EAB">
        <w:t xml:space="preserve">In 2018, the Network adopted an integrated systems approach to facilitate the co-design and co-production of information and tools across applications in varied disciplines. </w:t>
      </w:r>
    </w:p>
    <w:p w14:paraId="68ED6EE0" w14:textId="77777777" w:rsidR="0016755A" w:rsidRPr="00A11EAB" w:rsidRDefault="0016755A" w:rsidP="00716F19">
      <w:pPr>
        <w:spacing w:before="240" w:after="240"/>
        <w:ind w:right="-170"/>
        <w:jc w:val="left"/>
      </w:pPr>
      <w:r w:rsidRPr="00A11EAB">
        <w:t>The integrated heat management approach is comprised of five co-dependent workstreams:</w:t>
      </w:r>
    </w:p>
    <w:p w14:paraId="77C36B1A" w14:textId="77777777" w:rsidR="0016755A" w:rsidRPr="00A11EAB" w:rsidRDefault="0016755A" w:rsidP="002F18DE">
      <w:pPr>
        <w:pStyle w:val="ListParagraph"/>
        <w:numPr>
          <w:ilvl w:val="0"/>
          <w:numId w:val="12"/>
        </w:numPr>
        <w:spacing w:before="120" w:after="120" w:line="240" w:lineRule="auto"/>
        <w:ind w:left="1134" w:right="-170" w:hanging="567"/>
        <w:contextualSpacing w:val="0"/>
        <w:rPr>
          <w:rFonts w:ascii="Verdana" w:hAnsi="Verdana"/>
          <w:sz w:val="20"/>
          <w:szCs w:val="20"/>
          <w:lang w:val="en-GB"/>
        </w:rPr>
      </w:pPr>
      <w:r w:rsidRPr="00A11EAB">
        <w:rPr>
          <w:rFonts w:ascii="Verdana" w:hAnsi="Verdana"/>
          <w:sz w:val="20"/>
          <w:szCs w:val="20"/>
          <w:lang w:val="en-GB"/>
        </w:rPr>
        <w:t xml:space="preserve">Partnerships and capacity building; </w:t>
      </w:r>
    </w:p>
    <w:p w14:paraId="1EF0BB95" w14:textId="77777777" w:rsidR="0016755A" w:rsidRPr="00A11EAB" w:rsidRDefault="0016755A" w:rsidP="00D00EAF">
      <w:pPr>
        <w:pStyle w:val="ListParagraph"/>
        <w:numPr>
          <w:ilvl w:val="0"/>
          <w:numId w:val="12"/>
        </w:numPr>
        <w:spacing w:before="120" w:after="120" w:line="240" w:lineRule="auto"/>
        <w:ind w:left="1134" w:right="-170" w:hanging="567"/>
        <w:contextualSpacing w:val="0"/>
        <w:rPr>
          <w:rFonts w:ascii="Verdana" w:hAnsi="Verdana"/>
          <w:sz w:val="20"/>
          <w:szCs w:val="20"/>
          <w:lang w:val="en-GB"/>
        </w:rPr>
      </w:pPr>
      <w:r w:rsidRPr="00A11EAB">
        <w:rPr>
          <w:rFonts w:ascii="Verdana" w:hAnsi="Verdana"/>
          <w:sz w:val="20"/>
          <w:szCs w:val="20"/>
          <w:lang w:val="en-GB"/>
        </w:rPr>
        <w:t xml:space="preserve">Data, science, and research for understanding health risks of heat; </w:t>
      </w:r>
    </w:p>
    <w:p w14:paraId="145915C7" w14:textId="77777777" w:rsidR="0016755A" w:rsidRPr="00A11EAB" w:rsidRDefault="0016755A" w:rsidP="00D00EAF">
      <w:pPr>
        <w:pStyle w:val="ListParagraph"/>
        <w:numPr>
          <w:ilvl w:val="0"/>
          <w:numId w:val="12"/>
        </w:numPr>
        <w:spacing w:before="120" w:after="120" w:line="240" w:lineRule="auto"/>
        <w:ind w:left="1134" w:right="-170" w:hanging="567"/>
        <w:contextualSpacing w:val="0"/>
        <w:rPr>
          <w:rFonts w:ascii="Verdana" w:hAnsi="Verdana"/>
          <w:sz w:val="20"/>
          <w:szCs w:val="20"/>
          <w:lang w:val="en-GB"/>
        </w:rPr>
      </w:pPr>
      <w:r w:rsidRPr="00A11EAB">
        <w:rPr>
          <w:rFonts w:ascii="Verdana" w:hAnsi="Verdana"/>
          <w:sz w:val="20"/>
          <w:szCs w:val="20"/>
          <w:lang w:val="en-GB"/>
        </w:rPr>
        <w:t xml:space="preserve">Climate and weather information for decision-making and action; </w:t>
      </w:r>
    </w:p>
    <w:p w14:paraId="38A5342F" w14:textId="77777777" w:rsidR="0016755A" w:rsidRPr="00A11EAB" w:rsidRDefault="0016755A" w:rsidP="00D00EAF">
      <w:pPr>
        <w:pStyle w:val="ListParagraph"/>
        <w:numPr>
          <w:ilvl w:val="0"/>
          <w:numId w:val="12"/>
        </w:numPr>
        <w:spacing w:before="120" w:after="120" w:line="240" w:lineRule="auto"/>
        <w:ind w:left="1134" w:right="-170" w:hanging="567"/>
        <w:contextualSpacing w:val="0"/>
        <w:rPr>
          <w:rFonts w:ascii="Verdana" w:hAnsi="Verdana"/>
          <w:sz w:val="20"/>
          <w:szCs w:val="20"/>
          <w:lang w:val="en-GB"/>
        </w:rPr>
      </w:pPr>
      <w:r w:rsidRPr="00A11EAB">
        <w:rPr>
          <w:rFonts w:ascii="Verdana" w:hAnsi="Verdana"/>
          <w:sz w:val="20"/>
          <w:szCs w:val="20"/>
          <w:lang w:val="en-GB"/>
        </w:rPr>
        <w:t xml:space="preserve">Effective interventions to prevent heat exposure and negative health outcomes; </w:t>
      </w:r>
    </w:p>
    <w:p w14:paraId="34CFAE17" w14:textId="77777777" w:rsidR="0016755A" w:rsidRPr="00A11EAB" w:rsidRDefault="0016755A" w:rsidP="00344A44">
      <w:pPr>
        <w:pStyle w:val="ListParagraph"/>
        <w:numPr>
          <w:ilvl w:val="0"/>
          <w:numId w:val="12"/>
        </w:numPr>
        <w:spacing w:before="120" w:after="480" w:line="240" w:lineRule="auto"/>
        <w:ind w:left="1134" w:right="-170" w:hanging="567"/>
        <w:contextualSpacing w:val="0"/>
        <w:rPr>
          <w:rFonts w:ascii="Verdana" w:hAnsi="Verdana"/>
          <w:sz w:val="20"/>
          <w:szCs w:val="20"/>
          <w:lang w:val="en-GB"/>
        </w:rPr>
      </w:pPr>
      <w:r w:rsidRPr="00A11EAB">
        <w:rPr>
          <w:rFonts w:ascii="Verdana" w:hAnsi="Verdana"/>
          <w:sz w:val="20"/>
          <w:szCs w:val="20"/>
          <w:lang w:val="en-GB"/>
        </w:rPr>
        <w:t>Communications and outreach.</w:t>
      </w:r>
    </w:p>
    <w:p w14:paraId="1E5678FB" w14:textId="13218395" w:rsidR="0016755A" w:rsidRPr="00A11EAB" w:rsidRDefault="002F18DE" w:rsidP="00F746F7">
      <w:pPr>
        <w:tabs>
          <w:tab w:val="clear" w:pos="1134"/>
        </w:tabs>
        <w:jc w:val="center"/>
        <w:rPr>
          <w:rFonts w:eastAsia="Times New Roman" w:cstheme="majorBidi"/>
          <w:b/>
          <w:bCs/>
          <w:u w:val="single"/>
        </w:rPr>
      </w:pPr>
      <w:r w:rsidRPr="00A11EAB">
        <w:rPr>
          <w:caps/>
          <w:noProof/>
          <w:color w:val="4F81BD" w:themeColor="accent1"/>
        </w:rPr>
        <w:drawing>
          <wp:anchor distT="0" distB="0" distL="114300" distR="114300" simplePos="0" relativeHeight="251661312" behindDoc="0" locked="0" layoutInCell="1" allowOverlap="1" wp14:anchorId="5BF3A70E" wp14:editId="6DF0B9E1">
            <wp:simplePos x="0" y="0"/>
            <wp:positionH relativeFrom="column">
              <wp:posOffset>568960</wp:posOffset>
            </wp:positionH>
            <wp:positionV relativeFrom="paragraph">
              <wp:posOffset>151765</wp:posOffset>
            </wp:positionV>
            <wp:extent cx="5286375" cy="2222500"/>
            <wp:effectExtent l="0" t="0" r="9525" b="6350"/>
            <wp:wrapSquare wrapText="bothSides"/>
            <wp:docPr id="37" name="Picture 36">
              <a:extLst xmlns:a="http://schemas.openxmlformats.org/drawingml/2006/main">
                <a:ext uri="{FF2B5EF4-FFF2-40B4-BE49-F238E27FC236}">
                  <a16:creationId xmlns:a16="http://schemas.microsoft.com/office/drawing/2014/main" id="{87E806CC-25DE-496C-9B7A-BC2AFF128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87E806CC-25DE-496C-9B7A-BC2AFF1289E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333" t="18519" r="6917" b="20000"/>
                    <a:stretch/>
                  </pic:blipFill>
                  <pic:spPr>
                    <a:xfrm>
                      <a:off x="0" y="0"/>
                      <a:ext cx="5286375" cy="2222500"/>
                    </a:xfrm>
                    <a:prstGeom prst="rect">
                      <a:avLst/>
                    </a:prstGeom>
                  </pic:spPr>
                </pic:pic>
              </a:graphicData>
            </a:graphic>
            <wp14:sizeRelV relativeFrom="margin">
              <wp14:pctHeight>0</wp14:pctHeight>
            </wp14:sizeRelV>
          </wp:anchor>
        </w:drawing>
      </w:r>
    </w:p>
    <w:p w14:paraId="2758CF95" w14:textId="3E565707" w:rsidR="008B63C4" w:rsidRPr="00A11EAB" w:rsidRDefault="008B63C4" w:rsidP="0016755A"/>
    <w:p w14:paraId="15204DCA" w14:textId="77777777" w:rsidR="008B63C4" w:rsidRPr="00A11EAB" w:rsidRDefault="008B63C4" w:rsidP="008B63C4">
      <w:pPr>
        <w:pStyle w:val="WMOBodyText"/>
      </w:pPr>
      <w:r w:rsidRPr="00A11EAB">
        <w:br w:type="page"/>
      </w:r>
    </w:p>
    <w:p w14:paraId="1354FCE0" w14:textId="3A14169F" w:rsidR="0016755A" w:rsidRPr="00A11EAB" w:rsidRDefault="008B63C4" w:rsidP="00E70BBB">
      <w:pPr>
        <w:pStyle w:val="Heading1"/>
        <w:rPr>
          <w:sz w:val="20"/>
          <w:szCs w:val="20"/>
        </w:rPr>
      </w:pPr>
      <w:bookmarkStart w:id="4" w:name="ANNEX_3"/>
      <w:r w:rsidRPr="00A11EAB">
        <w:rPr>
          <w:sz w:val="20"/>
          <w:szCs w:val="20"/>
        </w:rPr>
        <w:lastRenderedPageBreak/>
        <w:t>ANNEX</w:t>
      </w:r>
      <w:r w:rsidR="00A11EAB">
        <w:rPr>
          <w:sz w:val="20"/>
          <w:szCs w:val="20"/>
        </w:rPr>
        <w:t> </w:t>
      </w:r>
      <w:r w:rsidRPr="00A11EAB">
        <w:rPr>
          <w:sz w:val="20"/>
          <w:szCs w:val="20"/>
        </w:rPr>
        <w:t>3</w:t>
      </w:r>
      <w:bookmarkEnd w:id="4"/>
      <w:r w:rsidRPr="00A11EAB">
        <w:rPr>
          <w:sz w:val="20"/>
          <w:szCs w:val="20"/>
        </w:rPr>
        <w:t>: PRINCIPLES OF PARTNERSHIP AND GOOD PRACTICE</w:t>
      </w:r>
    </w:p>
    <w:p w14:paraId="4BA8AC89" w14:textId="77777777" w:rsidR="0016755A" w:rsidRPr="00A11EAB" w:rsidRDefault="0016755A" w:rsidP="00716F19">
      <w:pPr>
        <w:spacing w:before="240" w:after="240"/>
        <w:ind w:right="-170"/>
        <w:jc w:val="left"/>
        <w:rPr>
          <w:rFonts w:eastAsia="Times New Roman" w:cstheme="majorBidi"/>
        </w:rPr>
      </w:pPr>
      <w:r w:rsidRPr="00A11EAB">
        <w:rPr>
          <w:rFonts w:eastAsia="Times New Roman" w:cstheme="majorBidi"/>
        </w:rPr>
        <w:t xml:space="preserve">As part of GHHIN’s commitment to quality science and services, the Principles of Partnership and Good Practice serve to not only guide the work of the Network, but serve to motivate members to improve the quality and effectiveness of their own work by employing these principles. </w:t>
      </w:r>
    </w:p>
    <w:p w14:paraId="20EFE2B5" w14:textId="77777777" w:rsidR="0016755A" w:rsidRPr="00A11EAB" w:rsidRDefault="0016755A" w:rsidP="009C5178">
      <w:pPr>
        <w:spacing w:before="240" w:after="240"/>
        <w:ind w:right="-170"/>
        <w:jc w:val="left"/>
        <w:rPr>
          <w:rFonts w:eastAsia="Times New Roman" w:cstheme="majorBidi"/>
        </w:rPr>
      </w:pPr>
      <w:r w:rsidRPr="00A11EAB">
        <w:rPr>
          <w:rFonts w:eastAsia="Times New Roman" w:cstheme="majorBidi"/>
        </w:rPr>
        <w:t xml:space="preserve">The Network expects its Partners and Members to voluntarily share these principles, and to guide their interactions within the network: </w:t>
      </w:r>
    </w:p>
    <w:p w14:paraId="76DDD8EC" w14:textId="1DE65A27" w:rsidR="0016755A" w:rsidRPr="004319BE" w:rsidRDefault="0016755A" w:rsidP="009D39DA">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Strategic and results oriented</w:t>
      </w:r>
      <w:r w:rsidRPr="00A11EAB">
        <w:rPr>
          <w:rFonts w:ascii="Verdana" w:eastAsia="Times New Roman" w:hAnsi="Verdana" w:cstheme="majorBidi"/>
          <w:sz w:val="20"/>
          <w:szCs w:val="20"/>
          <w:lang w:val="en-GB"/>
        </w:rPr>
        <w:t xml:space="preserve"> partners have a shared vision for heat health action, be guided by evidence-based frameworks for the priorities and directions of </w:t>
      </w:r>
      <w:r w:rsidR="009D39DA" w:rsidRPr="00A11EAB">
        <w:rPr>
          <w:rFonts w:ascii="Verdana" w:eastAsia="Times New Roman" w:hAnsi="Verdana" w:cstheme="majorBidi"/>
          <w:sz w:val="20"/>
          <w:szCs w:val="20"/>
          <w:lang w:val="en-GB"/>
        </w:rPr>
        <w:t>interventions and</w:t>
      </w:r>
      <w:r w:rsidRPr="00A11EAB">
        <w:rPr>
          <w:rFonts w:ascii="Verdana" w:eastAsia="Times New Roman" w:hAnsi="Verdana" w:cstheme="majorBidi"/>
          <w:sz w:val="20"/>
          <w:szCs w:val="20"/>
          <w:lang w:val="en-GB"/>
        </w:rPr>
        <w:t xml:space="preserve"> employ results-based approaches to long</w:t>
      </w:r>
      <w:r w:rsidR="00650717">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term aims and measurable plans for achieving objectives.</w:t>
      </w:r>
    </w:p>
    <w:p w14:paraId="6A8B3426" w14:textId="79EA8CAC" w:rsidR="0016755A" w:rsidRPr="004319BE" w:rsidRDefault="0016755A" w:rsidP="009D39DA">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 xml:space="preserve">Harmonized and </w:t>
      </w:r>
      <w:r w:rsidR="00EB2C30">
        <w:rPr>
          <w:rFonts w:ascii="Verdana" w:eastAsia="Times New Roman" w:hAnsi="Verdana" w:cstheme="majorBidi"/>
          <w:b/>
          <w:bCs/>
          <w:sz w:val="20"/>
          <w:szCs w:val="20"/>
          <w:lang w:val="en-GB"/>
        </w:rPr>
        <w:t>a</w:t>
      </w:r>
      <w:r w:rsidRPr="00A11EAB">
        <w:rPr>
          <w:rFonts w:ascii="Verdana" w:eastAsia="Times New Roman" w:hAnsi="Verdana" w:cstheme="majorBidi"/>
          <w:b/>
          <w:bCs/>
          <w:sz w:val="20"/>
          <w:szCs w:val="20"/>
          <w:lang w:val="en-GB"/>
        </w:rPr>
        <w:t>ligned</w:t>
      </w:r>
      <w:r w:rsidRPr="00A11EAB">
        <w:rPr>
          <w:rFonts w:ascii="Verdana" w:eastAsia="Times New Roman" w:hAnsi="Verdana" w:cstheme="majorBidi"/>
          <w:sz w:val="20"/>
          <w:szCs w:val="20"/>
          <w:lang w:val="en-GB"/>
        </w:rPr>
        <w:t xml:space="preserve"> partners work is consistent with local and national plans and complements the activities of other development partners. Seek to complement and integrate with existing international partnerships, frameworks, and mechanisms.</w:t>
      </w:r>
    </w:p>
    <w:p w14:paraId="6ADD76FB" w14:textId="21C11034" w:rsidR="0016755A" w:rsidRPr="004319BE" w:rsidRDefault="0016755A" w:rsidP="009D39DA">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 xml:space="preserve">Open </w:t>
      </w:r>
      <w:r w:rsidR="00EB2C30">
        <w:rPr>
          <w:rFonts w:ascii="Verdana" w:eastAsia="Times New Roman" w:hAnsi="Verdana" w:cstheme="majorBidi"/>
          <w:b/>
          <w:bCs/>
          <w:sz w:val="20"/>
          <w:szCs w:val="20"/>
          <w:lang w:val="en-GB"/>
        </w:rPr>
        <w:t>a</w:t>
      </w:r>
      <w:r w:rsidRPr="00A11EAB">
        <w:rPr>
          <w:rFonts w:ascii="Verdana" w:eastAsia="Times New Roman" w:hAnsi="Verdana" w:cstheme="majorBidi"/>
          <w:b/>
          <w:bCs/>
          <w:sz w:val="20"/>
          <w:szCs w:val="20"/>
          <w:lang w:val="en-GB"/>
        </w:rPr>
        <w:t xml:space="preserve">ccess and </w:t>
      </w:r>
      <w:r w:rsidR="00EB2C30">
        <w:rPr>
          <w:rFonts w:ascii="Verdana" w:eastAsia="Times New Roman" w:hAnsi="Verdana" w:cstheme="majorBidi"/>
          <w:b/>
          <w:bCs/>
          <w:sz w:val="20"/>
          <w:szCs w:val="20"/>
          <w:lang w:val="en-GB"/>
        </w:rPr>
        <w:t>t</w:t>
      </w:r>
      <w:r w:rsidRPr="00A11EAB">
        <w:rPr>
          <w:rFonts w:ascii="Verdana" w:eastAsia="Times New Roman" w:hAnsi="Verdana" w:cstheme="majorBidi"/>
          <w:b/>
          <w:bCs/>
          <w:sz w:val="20"/>
          <w:szCs w:val="20"/>
          <w:lang w:val="en-GB"/>
        </w:rPr>
        <w:t>ransparent</w:t>
      </w:r>
      <w:r w:rsidRPr="00A11EAB">
        <w:rPr>
          <w:rFonts w:ascii="Verdana" w:eastAsia="Times New Roman" w:hAnsi="Verdana" w:cstheme="majorBidi"/>
          <w:sz w:val="20"/>
          <w:szCs w:val="20"/>
          <w:lang w:val="en-GB"/>
        </w:rPr>
        <w:t xml:space="preserve"> partners promote open access to data and information for all partners on an equal basis.</w:t>
      </w:r>
    </w:p>
    <w:p w14:paraId="6FCCADBB" w14:textId="12FDBB74" w:rsidR="0016755A" w:rsidRPr="004319BE" w:rsidRDefault="0016755A" w:rsidP="009D39DA">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Responsible and evidence-based</w:t>
      </w:r>
      <w:r w:rsidRPr="00A11EAB">
        <w:rPr>
          <w:rFonts w:ascii="Verdana" w:eastAsia="Times New Roman" w:hAnsi="Verdana" w:cstheme="majorBidi"/>
          <w:sz w:val="20"/>
          <w:szCs w:val="20"/>
          <w:lang w:val="en-GB"/>
        </w:rPr>
        <w:t xml:space="preserve"> partners conduct activities with integrity, pursue evidence</w:t>
      </w:r>
      <w:r w:rsidR="00707B17" w:rsidRPr="00A11EAB">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based approaches and cultivate trust in their interactions with stakeholders.</w:t>
      </w:r>
    </w:p>
    <w:p w14:paraId="0236A256" w14:textId="67DE2778" w:rsidR="0016755A" w:rsidRPr="004319BE" w:rsidRDefault="0016755A" w:rsidP="009D39DA">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Effective and sustainable</w:t>
      </w:r>
      <w:r w:rsidRPr="00A11EAB">
        <w:rPr>
          <w:rFonts w:ascii="Verdana" w:eastAsia="Times New Roman" w:hAnsi="Verdana" w:cstheme="majorBidi"/>
          <w:sz w:val="20"/>
          <w:szCs w:val="20"/>
          <w:lang w:val="en-GB"/>
        </w:rPr>
        <w:t xml:space="preserve"> partners operate in ways that deliver high-quality projects that meet targets and seek to achieve long</w:t>
      </w:r>
      <w:r w:rsidR="00F00E0B">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term results.</w:t>
      </w:r>
    </w:p>
    <w:p w14:paraId="301D35AF" w14:textId="1227AF48" w:rsidR="0016755A" w:rsidRPr="004319BE" w:rsidRDefault="0016755A" w:rsidP="004319BE">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 xml:space="preserve">Respectful and </w:t>
      </w:r>
      <w:r w:rsidR="00EB2C30">
        <w:rPr>
          <w:rFonts w:ascii="Verdana" w:eastAsia="Times New Roman" w:hAnsi="Verdana" w:cstheme="majorBidi"/>
          <w:b/>
          <w:bCs/>
          <w:sz w:val="20"/>
          <w:szCs w:val="20"/>
          <w:lang w:val="en-GB"/>
        </w:rPr>
        <w:t>r</w:t>
      </w:r>
      <w:r w:rsidRPr="00A11EAB">
        <w:rPr>
          <w:rFonts w:ascii="Verdana" w:eastAsia="Times New Roman" w:hAnsi="Verdana" w:cstheme="majorBidi"/>
          <w:b/>
          <w:bCs/>
          <w:sz w:val="20"/>
          <w:szCs w:val="20"/>
          <w:lang w:val="en-GB"/>
        </w:rPr>
        <w:t>eciproca</w:t>
      </w:r>
      <w:r w:rsidRPr="00A11EAB">
        <w:rPr>
          <w:rFonts w:ascii="Verdana" w:eastAsia="Times New Roman" w:hAnsi="Verdana" w:cstheme="majorBidi"/>
          <w:sz w:val="20"/>
          <w:szCs w:val="20"/>
          <w:lang w:val="en-GB"/>
        </w:rPr>
        <w:t>l partners respect the autonomy of local authorities and decision</w:t>
      </w:r>
      <w:r w:rsidR="00F346C9">
        <w:rPr>
          <w:rFonts w:ascii="Verdana" w:eastAsia="Times New Roman" w:hAnsi="Verdana" w:cstheme="majorBidi"/>
          <w:sz w:val="20"/>
          <w:szCs w:val="20"/>
          <w:lang w:val="en-GB"/>
        </w:rPr>
        <w:t>-</w:t>
      </w:r>
      <w:r w:rsidRPr="00A11EAB">
        <w:rPr>
          <w:rFonts w:ascii="Verdana" w:eastAsia="Times New Roman" w:hAnsi="Verdana" w:cstheme="majorBidi"/>
          <w:sz w:val="20"/>
          <w:szCs w:val="20"/>
          <w:lang w:val="en-GB"/>
        </w:rPr>
        <w:t>makers, and listen to one another and plan, implement and learn together. Recognize vulnerability to extreme heat is complex and locally determined, with differential effects.</w:t>
      </w:r>
    </w:p>
    <w:p w14:paraId="24A079B2" w14:textId="298FB2C2" w:rsidR="0016755A" w:rsidRPr="004319BE" w:rsidRDefault="0016755A" w:rsidP="004319BE">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 xml:space="preserve">Diverse, equitable, and inclusive </w:t>
      </w:r>
      <w:r w:rsidRPr="00A11EAB">
        <w:rPr>
          <w:rFonts w:ascii="Verdana" w:eastAsia="Times New Roman" w:hAnsi="Verdana" w:cstheme="majorBidi"/>
          <w:sz w:val="20"/>
          <w:szCs w:val="20"/>
          <w:lang w:val="en-GB"/>
        </w:rPr>
        <w:t xml:space="preserve">partners make efforts to include a broad range of partners, stakeholders and perspectives appropriately representing ethnicities, races, ages, religions, disabilities and genders in the implementation of their work, to better address inequities of all vulnerable populations. </w:t>
      </w:r>
    </w:p>
    <w:p w14:paraId="5310D675" w14:textId="7EC9D695" w:rsidR="0016755A" w:rsidRPr="004319BE" w:rsidRDefault="0016755A" w:rsidP="004319BE">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Accountable</w:t>
      </w:r>
      <w:r w:rsidRPr="00A11EAB">
        <w:rPr>
          <w:rFonts w:ascii="Verdana" w:eastAsia="Times New Roman" w:hAnsi="Verdana" w:cstheme="majorBidi"/>
          <w:sz w:val="20"/>
          <w:szCs w:val="20"/>
          <w:lang w:val="en-GB"/>
        </w:rPr>
        <w:t xml:space="preserve"> partners have clear and transparent decision-making processes and see out commitments to the network.</w:t>
      </w:r>
    </w:p>
    <w:p w14:paraId="47672755" w14:textId="527688F3" w:rsidR="0016755A" w:rsidRPr="004319BE" w:rsidRDefault="0016755A" w:rsidP="004319BE">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 xml:space="preserve">Flexible, </w:t>
      </w:r>
      <w:r w:rsidR="00F346C9">
        <w:rPr>
          <w:rFonts w:ascii="Verdana" w:eastAsia="Times New Roman" w:hAnsi="Verdana" w:cstheme="majorBidi"/>
          <w:b/>
          <w:bCs/>
          <w:sz w:val="20"/>
          <w:szCs w:val="20"/>
          <w:lang w:val="en-GB"/>
        </w:rPr>
        <w:t>r</w:t>
      </w:r>
      <w:r w:rsidRPr="00A11EAB">
        <w:rPr>
          <w:rFonts w:ascii="Verdana" w:eastAsia="Times New Roman" w:hAnsi="Verdana" w:cstheme="majorBidi"/>
          <w:b/>
          <w:bCs/>
          <w:sz w:val="20"/>
          <w:szCs w:val="20"/>
          <w:lang w:val="en-GB"/>
        </w:rPr>
        <w:t xml:space="preserve">esourceful, and </w:t>
      </w:r>
      <w:r w:rsidR="00F346C9">
        <w:rPr>
          <w:rFonts w:ascii="Verdana" w:eastAsia="Times New Roman" w:hAnsi="Verdana" w:cstheme="majorBidi"/>
          <w:b/>
          <w:bCs/>
          <w:sz w:val="20"/>
          <w:szCs w:val="20"/>
          <w:lang w:val="en-GB"/>
        </w:rPr>
        <w:t>i</w:t>
      </w:r>
      <w:r w:rsidRPr="00A11EAB">
        <w:rPr>
          <w:rFonts w:ascii="Verdana" w:eastAsia="Times New Roman" w:hAnsi="Verdana" w:cstheme="majorBidi"/>
          <w:b/>
          <w:bCs/>
          <w:sz w:val="20"/>
          <w:szCs w:val="20"/>
          <w:lang w:val="en-GB"/>
        </w:rPr>
        <w:t>nnovative</w:t>
      </w:r>
      <w:r w:rsidRPr="00A11EAB">
        <w:rPr>
          <w:rFonts w:ascii="Verdana" w:eastAsia="Times New Roman" w:hAnsi="Verdana" w:cstheme="majorBidi"/>
          <w:sz w:val="20"/>
          <w:szCs w:val="20"/>
          <w:lang w:val="en-GB"/>
        </w:rPr>
        <w:t xml:space="preserve"> partners proactively adapt and respond to altered circumstances and embrace change.</w:t>
      </w:r>
    </w:p>
    <w:p w14:paraId="0EDCD467" w14:textId="35D8C08C" w:rsidR="0016755A" w:rsidRPr="004319BE" w:rsidRDefault="0016755A" w:rsidP="004319BE">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Committed to joint learning</w:t>
      </w:r>
      <w:r w:rsidRPr="00A11EAB">
        <w:rPr>
          <w:rFonts w:ascii="Verdana" w:eastAsia="Times New Roman" w:hAnsi="Verdana" w:cstheme="majorBidi"/>
          <w:sz w:val="20"/>
          <w:szCs w:val="20"/>
          <w:lang w:val="en-GB"/>
        </w:rPr>
        <w:t xml:space="preserve"> partners monitor, evaluate and reflect on their activities and results, articulate lessons learned and share knowledge with others.</w:t>
      </w:r>
    </w:p>
    <w:p w14:paraId="48CD1A4E" w14:textId="77777777" w:rsidR="0016755A" w:rsidRPr="00A11EAB" w:rsidRDefault="0016755A" w:rsidP="00286429">
      <w:pPr>
        <w:pStyle w:val="ListParagraph"/>
        <w:numPr>
          <w:ilvl w:val="0"/>
          <w:numId w:val="8"/>
        </w:numPr>
        <w:spacing w:before="120" w:after="120" w:line="240" w:lineRule="auto"/>
        <w:ind w:left="1134" w:right="-170" w:hanging="567"/>
        <w:contextualSpacing w:val="0"/>
        <w:rPr>
          <w:rFonts w:ascii="Verdana" w:eastAsia="Times New Roman" w:hAnsi="Verdana" w:cstheme="majorBidi"/>
          <w:sz w:val="20"/>
          <w:szCs w:val="20"/>
          <w:lang w:val="en-GB"/>
        </w:rPr>
      </w:pPr>
      <w:r w:rsidRPr="00A11EAB">
        <w:rPr>
          <w:rFonts w:ascii="Verdana" w:eastAsia="Times New Roman" w:hAnsi="Verdana" w:cstheme="majorBidi"/>
          <w:b/>
          <w:bCs/>
          <w:sz w:val="20"/>
          <w:szCs w:val="20"/>
          <w:lang w:val="en-GB"/>
        </w:rPr>
        <w:t>Promoting GHHIN</w:t>
      </w:r>
      <w:r w:rsidRPr="00A11EAB">
        <w:rPr>
          <w:rFonts w:ascii="Verdana" w:eastAsia="Times New Roman" w:hAnsi="Verdana" w:cstheme="majorBidi"/>
          <w:sz w:val="20"/>
          <w:szCs w:val="20"/>
          <w:lang w:val="en-GB"/>
        </w:rPr>
        <w:t xml:space="preserve"> partners agree to co-brand their contributing heat efforts with the GHHIN logo and to fairly and accurately represent and cite the work of other partners. In turn, information and relationships presented as part of GHHIN will clearly indicate partner country contributions and give proper credit.</w:t>
      </w:r>
    </w:p>
    <w:p w14:paraId="7F770696" w14:textId="32C732C0" w:rsidR="009B1F93" w:rsidRPr="00A11EAB" w:rsidRDefault="00716F19" w:rsidP="00716F19">
      <w:pPr>
        <w:pStyle w:val="WMOBodyText"/>
        <w:jc w:val="center"/>
        <w:rPr>
          <w:lang w:eastAsia="en-US"/>
        </w:rPr>
      </w:pPr>
      <w:r w:rsidRPr="00A11EAB">
        <w:rPr>
          <w:lang w:eastAsia="en-US"/>
        </w:rPr>
        <w:t>_______________</w:t>
      </w:r>
    </w:p>
    <w:sectPr w:rsidR="009B1F93" w:rsidRPr="00A11EAB" w:rsidSect="00883BD6">
      <w:pgSz w:w="11907" w:h="16840"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141A" w14:textId="77777777" w:rsidR="00A620D1" w:rsidRDefault="00A620D1">
      <w:r>
        <w:separator/>
      </w:r>
    </w:p>
    <w:p w14:paraId="0B4B3198" w14:textId="77777777" w:rsidR="00A620D1" w:rsidRDefault="00A620D1"/>
    <w:p w14:paraId="5EBA4957" w14:textId="77777777" w:rsidR="00A620D1" w:rsidRDefault="00A620D1"/>
  </w:endnote>
  <w:endnote w:type="continuationSeparator" w:id="0">
    <w:p w14:paraId="2EE05B3A" w14:textId="77777777" w:rsidR="00A620D1" w:rsidRDefault="00A620D1">
      <w:r>
        <w:continuationSeparator/>
      </w:r>
    </w:p>
    <w:p w14:paraId="70189689" w14:textId="77777777" w:rsidR="00A620D1" w:rsidRDefault="00A620D1"/>
    <w:p w14:paraId="7A53F722" w14:textId="77777777" w:rsidR="00A620D1" w:rsidRDefault="00A620D1"/>
  </w:endnote>
  <w:endnote w:type="continuationNotice" w:id="1">
    <w:p w14:paraId="718A0BF8" w14:textId="77777777" w:rsidR="00A620D1" w:rsidRDefault="00A6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D6A1" w14:textId="77777777" w:rsidR="00A620D1" w:rsidRDefault="00A620D1">
      <w:r>
        <w:separator/>
      </w:r>
    </w:p>
  </w:footnote>
  <w:footnote w:type="continuationSeparator" w:id="0">
    <w:p w14:paraId="24DB0930" w14:textId="77777777" w:rsidR="00A620D1" w:rsidRDefault="00A620D1">
      <w:r>
        <w:continuationSeparator/>
      </w:r>
    </w:p>
    <w:p w14:paraId="01FC2B7E" w14:textId="77777777" w:rsidR="00A620D1" w:rsidRDefault="00A620D1"/>
    <w:p w14:paraId="421D24F7" w14:textId="77777777" w:rsidR="00A620D1" w:rsidRDefault="00A620D1"/>
  </w:footnote>
  <w:footnote w:type="continuationNotice" w:id="1">
    <w:p w14:paraId="29F9886F" w14:textId="77777777" w:rsidR="00A620D1" w:rsidRDefault="00A620D1"/>
  </w:footnote>
  <w:footnote w:id="2">
    <w:p w14:paraId="32591A2F" w14:textId="77777777" w:rsidR="0016755A" w:rsidRPr="00EA5E8F" w:rsidRDefault="0016755A" w:rsidP="0068259F">
      <w:pPr>
        <w:pStyle w:val="Heading1"/>
        <w:jc w:val="left"/>
        <w:rPr>
          <w:b w:val="0"/>
          <w:bCs w:val="0"/>
          <w:sz w:val="16"/>
          <w:szCs w:val="16"/>
        </w:rPr>
      </w:pPr>
      <w:r w:rsidRPr="00C7593B">
        <w:rPr>
          <w:rStyle w:val="FootnoteReference"/>
          <w:b w:val="0"/>
          <w:bCs w:val="0"/>
          <w:sz w:val="16"/>
          <w:szCs w:val="16"/>
        </w:rPr>
        <w:footnoteRef/>
      </w:r>
      <w:r w:rsidRPr="00C7593B">
        <w:rPr>
          <w:b w:val="0"/>
          <w:bCs w:val="0"/>
          <w:sz w:val="16"/>
          <w:szCs w:val="16"/>
        </w:rPr>
        <w:t xml:space="preserve"> </w:t>
      </w:r>
      <w:r w:rsidR="00C7593B" w:rsidRPr="00C7593B">
        <w:rPr>
          <w:b w:val="0"/>
          <w:bCs w:val="0"/>
          <w:caps w:val="0"/>
          <w:color w:val="25282A"/>
          <w:sz w:val="16"/>
          <w:szCs w:val="16"/>
        </w:rPr>
        <w:t xml:space="preserve">Workshop on the development of climate information systems for heat health early warning: assessing knowledge, needs, and the path forward. Chicago, 2015 convened by </w:t>
      </w:r>
      <w:r w:rsidR="00E63C1E" w:rsidRPr="00C7593B">
        <w:rPr>
          <w:b w:val="0"/>
          <w:bCs w:val="0"/>
          <w:caps w:val="0"/>
          <w:color w:val="25282A"/>
          <w:sz w:val="16"/>
          <w:szCs w:val="16"/>
        </w:rPr>
        <w:t>NOAA, CDC, DWD, WMO, GFCS</w:t>
      </w:r>
    </w:p>
  </w:footnote>
  <w:footnote w:id="3">
    <w:p w14:paraId="1C073992" w14:textId="1D85206A" w:rsidR="0016755A" w:rsidRPr="00604FBE" w:rsidRDefault="0016755A" w:rsidP="00604FBE">
      <w:pPr>
        <w:pStyle w:val="Footer"/>
        <w:rPr>
          <w:sz w:val="16"/>
          <w:szCs w:val="16"/>
        </w:rPr>
      </w:pPr>
      <w:r w:rsidRPr="00957550">
        <w:rPr>
          <w:rStyle w:val="FootnoteReference"/>
          <w:sz w:val="16"/>
          <w:szCs w:val="16"/>
        </w:rPr>
        <w:footnoteRef/>
      </w:r>
      <w:r w:rsidRPr="00957550">
        <w:rPr>
          <w:sz w:val="16"/>
          <w:szCs w:val="16"/>
        </w:rPr>
        <w:t xml:space="preserve"> </w:t>
      </w:r>
      <w:r w:rsidRPr="6CC72164">
        <w:rPr>
          <w:rFonts w:eastAsia="Times New Roman"/>
          <w:sz w:val="16"/>
          <w:szCs w:val="16"/>
        </w:rPr>
        <w:t xml:space="preserve">Founding Partners: U.S. National Oceanic and Atmospheric Administration (NOAA), Germany's Deutscher Wetterdienst (DWD), the World Meteorological Organization (WMO), the Global Framework for Climate Services (GFCS), UK Met Office, UK Public Health England, Columbia University, University of Washington, Imperial College London, Indian Meteorological Department (IMD), Hong Kong Observatory (HKO), Boston University, Durham University, National Resources </w:t>
      </w:r>
      <w:r w:rsidR="00E63C1E" w:rsidRPr="6CC72164">
        <w:rPr>
          <w:rFonts w:eastAsia="Times New Roman"/>
          <w:sz w:val="16"/>
          <w:szCs w:val="16"/>
        </w:rPr>
        <w:t>Defence</w:t>
      </w:r>
      <w:r w:rsidRPr="6CC72164">
        <w:rPr>
          <w:rFonts w:eastAsia="Times New Roman"/>
          <w:sz w:val="16"/>
          <w:szCs w:val="16"/>
        </w:rPr>
        <w:t xml:space="preserve"> Council (NRDC), University of Hong Kong.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69EF" w14:textId="77777777" w:rsidR="00C77AD9" w:rsidRDefault="00840111">
    <w:pPr>
      <w:pStyle w:val="Header"/>
    </w:pPr>
    <w:r>
      <w:rPr>
        <w:noProof/>
      </w:rPr>
      <w:pict w14:anchorId="3725E602">
        <v:shapetype id="_x0000_m2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3F5B876">
        <v:shape id="_x0000_s2049" type="#_x0000_m206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B42C3E6" w14:textId="77777777" w:rsidR="008A3E94" w:rsidRDefault="008A3E94"/>
  <w:p w14:paraId="7B6232BB" w14:textId="77777777" w:rsidR="00C77AD9" w:rsidRDefault="00840111">
    <w:pPr>
      <w:pStyle w:val="Header"/>
    </w:pPr>
    <w:r>
      <w:rPr>
        <w:noProof/>
      </w:rPr>
      <w:pict w14:anchorId="44B2699F">
        <v:shapetype id="_x0000_m2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B8AE20A">
        <v:shape id="_x0000_s2051" type="#_x0000_m2067"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1412A98" w14:textId="77777777" w:rsidR="008A3E94" w:rsidRDefault="008A3E94"/>
  <w:p w14:paraId="3C0BCA08" w14:textId="77777777" w:rsidR="00C77AD9" w:rsidRDefault="00840111">
    <w:pPr>
      <w:pStyle w:val="Header"/>
    </w:pPr>
    <w:r>
      <w:rPr>
        <w:noProof/>
      </w:rPr>
      <w:pict w14:anchorId="6A0E54F9">
        <v:shapetype id="_x0000_m2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2DECF44">
        <v:shape id="_x0000_s2053" type="#_x0000_m2066"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CAA3" w14:textId="4DCC81FE" w:rsidR="00A432CD" w:rsidRDefault="009B1F93" w:rsidP="00B72444">
    <w:pPr>
      <w:pStyle w:val="Header"/>
    </w:pPr>
    <w:r>
      <w:t>SERCOM-2/INF. 5.10</w:t>
    </w:r>
    <w:r w:rsidR="00BF6BB7">
      <w:rPr>
        <w:lang w:val="en-CH"/>
      </w:rPr>
      <w:t>(</w:t>
    </w:r>
    <w:r>
      <w:t>1</w:t>
    </w:r>
    <w:r w:rsidR="00BF6BB7">
      <w:rPr>
        <w:lang w:val="en-CH"/>
      </w:rPr>
      <w:t>b)</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840111">
      <w:pict w14:anchorId="78C2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50pt;height:50pt;z-index:251656192;visibility:hidden;mso-position-horizontal-relative:text;mso-position-vertical-relative:text">
          <v:path gradientshapeok="f"/>
          <o:lock v:ext="edit" selection="t"/>
        </v:shape>
      </w:pict>
    </w:r>
    <w:r w:rsidR="00840111">
      <w:pict w14:anchorId="007FDC62">
        <v:shape id="_x0000_s2064"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02FA" w14:textId="0261CDEC" w:rsidR="00C77AD9" w:rsidRDefault="00840111" w:rsidP="00840111">
    <w:pPr>
      <w:pStyle w:val="Header"/>
      <w:spacing w:after="120"/>
      <w:jc w:val="left"/>
    </w:pPr>
    <w:r>
      <w:pict w14:anchorId="6F348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0pt;height:50pt;z-index:251658240;visibility:hidden;mso-position-horizontal-relative:text;mso-position-vertical-relative:text">
          <v:path gradientshapeok="f"/>
          <o:lock v:ext="edit" selection="t"/>
        </v:shape>
      </w:pict>
    </w:r>
    <w:r>
      <w:pict w14:anchorId="6B47C776">
        <v:shape id="_x0000_s2062" type="#_x0000_t75" style="position:absolute;margin-left:0;margin-top:0;width:50pt;height:50pt;z-index:251659264;visibility:hidden;mso-position-horizontal-relative:text;mso-position-vertical-relative:text">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D2E"/>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B51F0D"/>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2C0B9B"/>
    <w:multiLevelType w:val="hybridMultilevel"/>
    <w:tmpl w:val="1EAE43E8"/>
    <w:lvl w:ilvl="0" w:tplc="2DC8C23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0901F5"/>
    <w:multiLevelType w:val="hybridMultilevel"/>
    <w:tmpl w:val="1372551A"/>
    <w:lvl w:ilvl="0" w:tplc="6F101FB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30A74141"/>
    <w:multiLevelType w:val="hybridMultilevel"/>
    <w:tmpl w:val="094AC552"/>
    <w:lvl w:ilvl="0" w:tplc="67E089FE">
      <w:start w:val="1"/>
      <w:numFmt w:val="decimal"/>
      <w:lvlText w:val="(%1)"/>
      <w:lvlJc w:val="left"/>
      <w:pPr>
        <w:ind w:left="720" w:hanging="720"/>
      </w:pPr>
      <w:rPr>
        <w:rFonts w:ascii="Verdana" w:hAnsi="Verdana" w:cstheme="majorBidi"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193C77"/>
    <w:multiLevelType w:val="hybridMultilevel"/>
    <w:tmpl w:val="DE343008"/>
    <w:lvl w:ilvl="0" w:tplc="D9C88F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A613CB"/>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BB261D6"/>
    <w:multiLevelType w:val="hybridMultilevel"/>
    <w:tmpl w:val="7208F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B103CF"/>
    <w:multiLevelType w:val="hybridMultilevel"/>
    <w:tmpl w:val="DE343008"/>
    <w:lvl w:ilvl="0" w:tplc="D9C88F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3F42278"/>
    <w:multiLevelType w:val="hybridMultilevel"/>
    <w:tmpl w:val="AA1EC4D2"/>
    <w:lvl w:ilvl="0" w:tplc="6F101FBA">
      <w:start w:val="1"/>
      <w:numFmt w:val="decimal"/>
      <w:lvlText w:val="(%1)"/>
      <w:lvlJc w:val="left"/>
      <w:pPr>
        <w:tabs>
          <w:tab w:val="num" w:pos="720"/>
        </w:tabs>
        <w:ind w:left="720" w:hanging="360"/>
      </w:pPr>
      <w:rPr>
        <w:rFonts w:hint="default"/>
      </w:rPr>
    </w:lvl>
    <w:lvl w:ilvl="1" w:tplc="A62E9FC0" w:tentative="1">
      <w:start w:val="1"/>
      <w:numFmt w:val="decimal"/>
      <w:lvlText w:val="%2."/>
      <w:lvlJc w:val="left"/>
      <w:pPr>
        <w:tabs>
          <w:tab w:val="num" w:pos="1440"/>
        </w:tabs>
        <w:ind w:left="1440" w:hanging="360"/>
      </w:pPr>
    </w:lvl>
    <w:lvl w:ilvl="2" w:tplc="0DB8963E" w:tentative="1">
      <w:start w:val="1"/>
      <w:numFmt w:val="decimal"/>
      <w:lvlText w:val="%3."/>
      <w:lvlJc w:val="left"/>
      <w:pPr>
        <w:tabs>
          <w:tab w:val="num" w:pos="2160"/>
        </w:tabs>
        <w:ind w:left="2160" w:hanging="360"/>
      </w:pPr>
    </w:lvl>
    <w:lvl w:ilvl="3" w:tplc="4A12233C" w:tentative="1">
      <w:start w:val="1"/>
      <w:numFmt w:val="decimal"/>
      <w:lvlText w:val="%4."/>
      <w:lvlJc w:val="left"/>
      <w:pPr>
        <w:tabs>
          <w:tab w:val="num" w:pos="2880"/>
        </w:tabs>
        <w:ind w:left="2880" w:hanging="360"/>
      </w:pPr>
    </w:lvl>
    <w:lvl w:ilvl="4" w:tplc="F8F0C2B8" w:tentative="1">
      <w:start w:val="1"/>
      <w:numFmt w:val="decimal"/>
      <w:lvlText w:val="%5."/>
      <w:lvlJc w:val="left"/>
      <w:pPr>
        <w:tabs>
          <w:tab w:val="num" w:pos="3600"/>
        </w:tabs>
        <w:ind w:left="3600" w:hanging="360"/>
      </w:pPr>
    </w:lvl>
    <w:lvl w:ilvl="5" w:tplc="B0762EAE" w:tentative="1">
      <w:start w:val="1"/>
      <w:numFmt w:val="decimal"/>
      <w:lvlText w:val="%6."/>
      <w:lvlJc w:val="left"/>
      <w:pPr>
        <w:tabs>
          <w:tab w:val="num" w:pos="4320"/>
        </w:tabs>
        <w:ind w:left="4320" w:hanging="360"/>
      </w:pPr>
    </w:lvl>
    <w:lvl w:ilvl="6" w:tplc="2CC27378" w:tentative="1">
      <w:start w:val="1"/>
      <w:numFmt w:val="decimal"/>
      <w:lvlText w:val="%7."/>
      <w:lvlJc w:val="left"/>
      <w:pPr>
        <w:tabs>
          <w:tab w:val="num" w:pos="5040"/>
        </w:tabs>
        <w:ind w:left="5040" w:hanging="360"/>
      </w:pPr>
    </w:lvl>
    <w:lvl w:ilvl="7" w:tplc="543CDE9C" w:tentative="1">
      <w:start w:val="1"/>
      <w:numFmt w:val="decimal"/>
      <w:lvlText w:val="%8."/>
      <w:lvlJc w:val="left"/>
      <w:pPr>
        <w:tabs>
          <w:tab w:val="num" w:pos="5760"/>
        </w:tabs>
        <w:ind w:left="5760" w:hanging="360"/>
      </w:pPr>
    </w:lvl>
    <w:lvl w:ilvl="8" w:tplc="C364750A" w:tentative="1">
      <w:start w:val="1"/>
      <w:numFmt w:val="decimal"/>
      <w:lvlText w:val="%9."/>
      <w:lvlJc w:val="left"/>
      <w:pPr>
        <w:tabs>
          <w:tab w:val="num" w:pos="6480"/>
        </w:tabs>
        <w:ind w:left="6480" w:hanging="360"/>
      </w:pPr>
    </w:lvl>
  </w:abstractNum>
  <w:abstractNum w:abstractNumId="10" w15:restartNumberingAfterBreak="0">
    <w:nsid w:val="44E554E4"/>
    <w:multiLevelType w:val="hybridMultilevel"/>
    <w:tmpl w:val="0D3E444A"/>
    <w:lvl w:ilvl="0" w:tplc="13B41FD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58B1611"/>
    <w:multiLevelType w:val="hybridMultilevel"/>
    <w:tmpl w:val="8112F666"/>
    <w:lvl w:ilvl="0" w:tplc="6F101FB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FF46003"/>
    <w:multiLevelType w:val="hybridMultilevel"/>
    <w:tmpl w:val="C67CF712"/>
    <w:lvl w:ilvl="0" w:tplc="3A149CE2">
      <w:start w:val="1"/>
      <w:numFmt w:val="upperLetter"/>
      <w:lvlText w:val="%1."/>
      <w:lvlJc w:val="left"/>
      <w:pPr>
        <w:ind w:left="720" w:hanging="360"/>
      </w:pPr>
      <w:rPr>
        <w:rFonts w:ascii="Verdana" w:hAnsi="Verdana" w:cs="Verdana"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10982"/>
    <w:multiLevelType w:val="hybridMultilevel"/>
    <w:tmpl w:val="D1DEEF58"/>
    <w:lvl w:ilvl="0" w:tplc="16A650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5082CAA"/>
    <w:multiLevelType w:val="hybridMultilevel"/>
    <w:tmpl w:val="BD5CF33E"/>
    <w:lvl w:ilvl="0" w:tplc="D1B0CDD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BFE2C07"/>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9C4E87"/>
    <w:multiLevelType w:val="hybridMultilevel"/>
    <w:tmpl w:val="C4B004FC"/>
    <w:lvl w:ilvl="0" w:tplc="20000001">
      <w:start w:val="1"/>
      <w:numFmt w:val="bullet"/>
      <w:lvlText w:val=""/>
      <w:lvlJc w:val="left"/>
      <w:pPr>
        <w:ind w:left="1080" w:hanging="72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8"/>
  </w:num>
  <w:num w:numId="5">
    <w:abstractNumId w:val="6"/>
  </w:num>
  <w:num w:numId="6">
    <w:abstractNumId w:val="15"/>
  </w:num>
  <w:num w:numId="7">
    <w:abstractNumId w:val="2"/>
  </w:num>
  <w:num w:numId="8">
    <w:abstractNumId w:val="7"/>
  </w:num>
  <w:num w:numId="9">
    <w:abstractNumId w:val="9"/>
  </w:num>
  <w:num w:numId="10">
    <w:abstractNumId w:val="11"/>
  </w:num>
  <w:num w:numId="11">
    <w:abstractNumId w:val="16"/>
  </w:num>
  <w:num w:numId="12">
    <w:abstractNumId w:val="3"/>
  </w:num>
  <w:num w:numId="13">
    <w:abstractNumId w:val="5"/>
  </w:num>
  <w:num w:numId="14">
    <w:abstractNumId w:val="0"/>
  </w:num>
  <w:num w:numId="15">
    <w:abstractNumId w:val="1"/>
  </w:num>
  <w:num w:numId="16">
    <w:abstractNumId w:val="4"/>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93"/>
    <w:rsid w:val="00005301"/>
    <w:rsid w:val="000133EE"/>
    <w:rsid w:val="000206A8"/>
    <w:rsid w:val="00027205"/>
    <w:rsid w:val="0003137A"/>
    <w:rsid w:val="00041171"/>
    <w:rsid w:val="00041727"/>
    <w:rsid w:val="0004226F"/>
    <w:rsid w:val="00050F8E"/>
    <w:rsid w:val="000518BB"/>
    <w:rsid w:val="00055287"/>
    <w:rsid w:val="00056FD4"/>
    <w:rsid w:val="000573AD"/>
    <w:rsid w:val="0006123B"/>
    <w:rsid w:val="000628F6"/>
    <w:rsid w:val="00064F6B"/>
    <w:rsid w:val="00072F17"/>
    <w:rsid w:val="000731AA"/>
    <w:rsid w:val="000806D8"/>
    <w:rsid w:val="00082C80"/>
    <w:rsid w:val="00083847"/>
    <w:rsid w:val="00083C36"/>
    <w:rsid w:val="00084D58"/>
    <w:rsid w:val="00092CAE"/>
    <w:rsid w:val="000933F2"/>
    <w:rsid w:val="00095392"/>
    <w:rsid w:val="00095E48"/>
    <w:rsid w:val="000A4F1C"/>
    <w:rsid w:val="000A69BF"/>
    <w:rsid w:val="000B2898"/>
    <w:rsid w:val="000B7D21"/>
    <w:rsid w:val="000C225A"/>
    <w:rsid w:val="000C6781"/>
    <w:rsid w:val="000D0753"/>
    <w:rsid w:val="000D2A78"/>
    <w:rsid w:val="000F5E49"/>
    <w:rsid w:val="000F7A87"/>
    <w:rsid w:val="001006A3"/>
    <w:rsid w:val="00102EAE"/>
    <w:rsid w:val="001047DC"/>
    <w:rsid w:val="00105D2E"/>
    <w:rsid w:val="00107019"/>
    <w:rsid w:val="00111BFD"/>
    <w:rsid w:val="0011498B"/>
    <w:rsid w:val="00120147"/>
    <w:rsid w:val="00121AE7"/>
    <w:rsid w:val="00123140"/>
    <w:rsid w:val="00123D94"/>
    <w:rsid w:val="0012523C"/>
    <w:rsid w:val="00130BBC"/>
    <w:rsid w:val="00133D13"/>
    <w:rsid w:val="00150DBD"/>
    <w:rsid w:val="001514DD"/>
    <w:rsid w:val="00155C4F"/>
    <w:rsid w:val="00156F9B"/>
    <w:rsid w:val="00163BA3"/>
    <w:rsid w:val="00166B31"/>
    <w:rsid w:val="0016755A"/>
    <w:rsid w:val="00167D54"/>
    <w:rsid w:val="00172095"/>
    <w:rsid w:val="00176AB5"/>
    <w:rsid w:val="00180771"/>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2E35"/>
    <w:rsid w:val="001E740C"/>
    <w:rsid w:val="001E7DD0"/>
    <w:rsid w:val="001F1BDA"/>
    <w:rsid w:val="001F56C0"/>
    <w:rsid w:val="0020095E"/>
    <w:rsid w:val="00210BFE"/>
    <w:rsid w:val="00210D30"/>
    <w:rsid w:val="00211C3A"/>
    <w:rsid w:val="002204FD"/>
    <w:rsid w:val="00221020"/>
    <w:rsid w:val="00227029"/>
    <w:rsid w:val="002308B5"/>
    <w:rsid w:val="00233C0B"/>
    <w:rsid w:val="00234A34"/>
    <w:rsid w:val="0025255D"/>
    <w:rsid w:val="00255EE3"/>
    <w:rsid w:val="00256B3D"/>
    <w:rsid w:val="002628B4"/>
    <w:rsid w:val="0026743C"/>
    <w:rsid w:val="00270480"/>
    <w:rsid w:val="002779AF"/>
    <w:rsid w:val="00277B40"/>
    <w:rsid w:val="002823D8"/>
    <w:rsid w:val="0028531A"/>
    <w:rsid w:val="00285446"/>
    <w:rsid w:val="00286429"/>
    <w:rsid w:val="00290082"/>
    <w:rsid w:val="00295593"/>
    <w:rsid w:val="0029633E"/>
    <w:rsid w:val="002978D2"/>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18DE"/>
    <w:rsid w:val="002F47FD"/>
    <w:rsid w:val="002F6DAC"/>
    <w:rsid w:val="002F7754"/>
    <w:rsid w:val="00301E8C"/>
    <w:rsid w:val="00307DDD"/>
    <w:rsid w:val="003143C9"/>
    <w:rsid w:val="003146E9"/>
    <w:rsid w:val="00314D5D"/>
    <w:rsid w:val="00320009"/>
    <w:rsid w:val="0032424A"/>
    <w:rsid w:val="003245D3"/>
    <w:rsid w:val="00330AA3"/>
    <w:rsid w:val="00331584"/>
    <w:rsid w:val="00331964"/>
    <w:rsid w:val="00334987"/>
    <w:rsid w:val="00340C69"/>
    <w:rsid w:val="003412C9"/>
    <w:rsid w:val="00342E34"/>
    <w:rsid w:val="00344A44"/>
    <w:rsid w:val="00371CF1"/>
    <w:rsid w:val="0037222D"/>
    <w:rsid w:val="00373128"/>
    <w:rsid w:val="003750C1"/>
    <w:rsid w:val="0038051E"/>
    <w:rsid w:val="00380AF7"/>
    <w:rsid w:val="00394A05"/>
    <w:rsid w:val="00397770"/>
    <w:rsid w:val="00397880"/>
    <w:rsid w:val="003A263F"/>
    <w:rsid w:val="003A7016"/>
    <w:rsid w:val="003B0C08"/>
    <w:rsid w:val="003C12F1"/>
    <w:rsid w:val="003C17A5"/>
    <w:rsid w:val="003C1843"/>
    <w:rsid w:val="003D1552"/>
    <w:rsid w:val="003D7887"/>
    <w:rsid w:val="003E312E"/>
    <w:rsid w:val="003E381F"/>
    <w:rsid w:val="003E4046"/>
    <w:rsid w:val="003F003A"/>
    <w:rsid w:val="003F125B"/>
    <w:rsid w:val="003F3FD8"/>
    <w:rsid w:val="003F7B3F"/>
    <w:rsid w:val="004058AD"/>
    <w:rsid w:val="0041078D"/>
    <w:rsid w:val="00416F97"/>
    <w:rsid w:val="00425173"/>
    <w:rsid w:val="0043039B"/>
    <w:rsid w:val="004319BE"/>
    <w:rsid w:val="00436197"/>
    <w:rsid w:val="004423FE"/>
    <w:rsid w:val="00445C35"/>
    <w:rsid w:val="00454B41"/>
    <w:rsid w:val="0045663A"/>
    <w:rsid w:val="0046344E"/>
    <w:rsid w:val="004667E7"/>
    <w:rsid w:val="00467187"/>
    <w:rsid w:val="004672CF"/>
    <w:rsid w:val="004674CC"/>
    <w:rsid w:val="00470DEF"/>
    <w:rsid w:val="00475797"/>
    <w:rsid w:val="00476D0A"/>
    <w:rsid w:val="00491024"/>
    <w:rsid w:val="0049253B"/>
    <w:rsid w:val="004A140B"/>
    <w:rsid w:val="004A4B47"/>
    <w:rsid w:val="004B0EC9"/>
    <w:rsid w:val="004B7BAA"/>
    <w:rsid w:val="004C2DF7"/>
    <w:rsid w:val="004C4E0B"/>
    <w:rsid w:val="004C6E8D"/>
    <w:rsid w:val="004D497E"/>
    <w:rsid w:val="004E13D2"/>
    <w:rsid w:val="004E4809"/>
    <w:rsid w:val="004E4CC3"/>
    <w:rsid w:val="004E5985"/>
    <w:rsid w:val="004E6352"/>
    <w:rsid w:val="004E6460"/>
    <w:rsid w:val="004F6B46"/>
    <w:rsid w:val="0050425E"/>
    <w:rsid w:val="00511999"/>
    <w:rsid w:val="005145D6"/>
    <w:rsid w:val="00517825"/>
    <w:rsid w:val="00521EA5"/>
    <w:rsid w:val="00525B80"/>
    <w:rsid w:val="0053098F"/>
    <w:rsid w:val="005319EA"/>
    <w:rsid w:val="005324F6"/>
    <w:rsid w:val="00536B2E"/>
    <w:rsid w:val="00541B4F"/>
    <w:rsid w:val="00546D8E"/>
    <w:rsid w:val="005473E7"/>
    <w:rsid w:val="00547813"/>
    <w:rsid w:val="00550B75"/>
    <w:rsid w:val="00553738"/>
    <w:rsid w:val="00553F7E"/>
    <w:rsid w:val="00554A6C"/>
    <w:rsid w:val="00557698"/>
    <w:rsid w:val="0056646F"/>
    <w:rsid w:val="00571AE1"/>
    <w:rsid w:val="00581B28"/>
    <w:rsid w:val="005859C2"/>
    <w:rsid w:val="00592267"/>
    <w:rsid w:val="0059421F"/>
    <w:rsid w:val="005A136D"/>
    <w:rsid w:val="005B0AE2"/>
    <w:rsid w:val="005B1F2C"/>
    <w:rsid w:val="005B5F3C"/>
    <w:rsid w:val="005C1165"/>
    <w:rsid w:val="005C41F2"/>
    <w:rsid w:val="005C6AF1"/>
    <w:rsid w:val="005C7AF1"/>
    <w:rsid w:val="005D03D9"/>
    <w:rsid w:val="005D1EE8"/>
    <w:rsid w:val="005D56AE"/>
    <w:rsid w:val="005D666D"/>
    <w:rsid w:val="005E3A59"/>
    <w:rsid w:val="005E71AB"/>
    <w:rsid w:val="005F7618"/>
    <w:rsid w:val="00604802"/>
    <w:rsid w:val="00604FBE"/>
    <w:rsid w:val="00615AB0"/>
    <w:rsid w:val="00616247"/>
    <w:rsid w:val="0061778C"/>
    <w:rsid w:val="00631855"/>
    <w:rsid w:val="00636B90"/>
    <w:rsid w:val="00644473"/>
    <w:rsid w:val="006450DF"/>
    <w:rsid w:val="0064738B"/>
    <w:rsid w:val="00650717"/>
    <w:rsid w:val="006508EA"/>
    <w:rsid w:val="00667E86"/>
    <w:rsid w:val="0068259F"/>
    <w:rsid w:val="0068392D"/>
    <w:rsid w:val="00697DB5"/>
    <w:rsid w:val="006A1B33"/>
    <w:rsid w:val="006A3939"/>
    <w:rsid w:val="006A492A"/>
    <w:rsid w:val="006B5C72"/>
    <w:rsid w:val="006B7C5A"/>
    <w:rsid w:val="006C289D"/>
    <w:rsid w:val="006C6E9C"/>
    <w:rsid w:val="006D0310"/>
    <w:rsid w:val="006D2009"/>
    <w:rsid w:val="006D5576"/>
    <w:rsid w:val="006E29CF"/>
    <w:rsid w:val="006E766D"/>
    <w:rsid w:val="006F182E"/>
    <w:rsid w:val="006F4B29"/>
    <w:rsid w:val="006F6CE9"/>
    <w:rsid w:val="0070517C"/>
    <w:rsid w:val="00705C9F"/>
    <w:rsid w:val="00707B17"/>
    <w:rsid w:val="00716951"/>
    <w:rsid w:val="00716F19"/>
    <w:rsid w:val="00720F6B"/>
    <w:rsid w:val="00730ADA"/>
    <w:rsid w:val="00732C37"/>
    <w:rsid w:val="00735D9E"/>
    <w:rsid w:val="007365CB"/>
    <w:rsid w:val="0073714A"/>
    <w:rsid w:val="00745A09"/>
    <w:rsid w:val="00745F07"/>
    <w:rsid w:val="00751EAF"/>
    <w:rsid w:val="00754CF7"/>
    <w:rsid w:val="00757B0D"/>
    <w:rsid w:val="007604FF"/>
    <w:rsid w:val="00761320"/>
    <w:rsid w:val="007651B1"/>
    <w:rsid w:val="00766481"/>
    <w:rsid w:val="00767CE1"/>
    <w:rsid w:val="007717A0"/>
    <w:rsid w:val="00771A68"/>
    <w:rsid w:val="0077447C"/>
    <w:rsid w:val="007744D2"/>
    <w:rsid w:val="00786136"/>
    <w:rsid w:val="007B05CF"/>
    <w:rsid w:val="007C212A"/>
    <w:rsid w:val="007D5B3C"/>
    <w:rsid w:val="007E7D21"/>
    <w:rsid w:val="007E7DBD"/>
    <w:rsid w:val="007F482F"/>
    <w:rsid w:val="007F6C9F"/>
    <w:rsid w:val="007F7C94"/>
    <w:rsid w:val="00802FAC"/>
    <w:rsid w:val="0080398D"/>
    <w:rsid w:val="00805174"/>
    <w:rsid w:val="00806385"/>
    <w:rsid w:val="00807CC5"/>
    <w:rsid w:val="00807ED7"/>
    <w:rsid w:val="00810AEA"/>
    <w:rsid w:val="00814CC6"/>
    <w:rsid w:val="00823CC4"/>
    <w:rsid w:val="00826D53"/>
    <w:rsid w:val="008273AA"/>
    <w:rsid w:val="00831751"/>
    <w:rsid w:val="00833369"/>
    <w:rsid w:val="00835B42"/>
    <w:rsid w:val="008375C3"/>
    <w:rsid w:val="00840111"/>
    <w:rsid w:val="00841B37"/>
    <w:rsid w:val="008425E7"/>
    <w:rsid w:val="00842A4E"/>
    <w:rsid w:val="00847D99"/>
    <w:rsid w:val="0085038E"/>
    <w:rsid w:val="0085230A"/>
    <w:rsid w:val="00855757"/>
    <w:rsid w:val="00860B9A"/>
    <w:rsid w:val="0086271D"/>
    <w:rsid w:val="0086420B"/>
    <w:rsid w:val="00864DBF"/>
    <w:rsid w:val="00865AE2"/>
    <w:rsid w:val="008663C8"/>
    <w:rsid w:val="0088163A"/>
    <w:rsid w:val="00883BD6"/>
    <w:rsid w:val="00893376"/>
    <w:rsid w:val="0089601F"/>
    <w:rsid w:val="008970B8"/>
    <w:rsid w:val="008A140B"/>
    <w:rsid w:val="008A3E94"/>
    <w:rsid w:val="008A7313"/>
    <w:rsid w:val="008A7D91"/>
    <w:rsid w:val="008B63C4"/>
    <w:rsid w:val="008B7FC7"/>
    <w:rsid w:val="008C4337"/>
    <w:rsid w:val="008C4F06"/>
    <w:rsid w:val="008D0C90"/>
    <w:rsid w:val="008E1E4A"/>
    <w:rsid w:val="008F0615"/>
    <w:rsid w:val="008F103E"/>
    <w:rsid w:val="008F1FDB"/>
    <w:rsid w:val="008F36FB"/>
    <w:rsid w:val="00901BDF"/>
    <w:rsid w:val="00902EA9"/>
    <w:rsid w:val="0090427F"/>
    <w:rsid w:val="0091482A"/>
    <w:rsid w:val="00920506"/>
    <w:rsid w:val="00931DEB"/>
    <w:rsid w:val="00933957"/>
    <w:rsid w:val="009356FA"/>
    <w:rsid w:val="0094603B"/>
    <w:rsid w:val="009504A1"/>
    <w:rsid w:val="00950605"/>
    <w:rsid w:val="00952233"/>
    <w:rsid w:val="00954199"/>
    <w:rsid w:val="00954D66"/>
    <w:rsid w:val="00960370"/>
    <w:rsid w:val="00963F8F"/>
    <w:rsid w:val="00973C62"/>
    <w:rsid w:val="00975D76"/>
    <w:rsid w:val="00982E51"/>
    <w:rsid w:val="00984BF2"/>
    <w:rsid w:val="009874B9"/>
    <w:rsid w:val="00993581"/>
    <w:rsid w:val="00993D17"/>
    <w:rsid w:val="009A288C"/>
    <w:rsid w:val="009A64C1"/>
    <w:rsid w:val="009B1F93"/>
    <w:rsid w:val="009B6697"/>
    <w:rsid w:val="009C0574"/>
    <w:rsid w:val="009C2B43"/>
    <w:rsid w:val="009C2EA4"/>
    <w:rsid w:val="009C4C04"/>
    <w:rsid w:val="009C5178"/>
    <w:rsid w:val="009D39DA"/>
    <w:rsid w:val="009D5213"/>
    <w:rsid w:val="009E1C95"/>
    <w:rsid w:val="009F196A"/>
    <w:rsid w:val="009F669B"/>
    <w:rsid w:val="009F7566"/>
    <w:rsid w:val="009F7F18"/>
    <w:rsid w:val="00A02A72"/>
    <w:rsid w:val="00A06BFE"/>
    <w:rsid w:val="00A10952"/>
    <w:rsid w:val="00A10F5D"/>
    <w:rsid w:val="00A1199A"/>
    <w:rsid w:val="00A11EAB"/>
    <w:rsid w:val="00A1243C"/>
    <w:rsid w:val="00A135AE"/>
    <w:rsid w:val="00A14AF1"/>
    <w:rsid w:val="00A16891"/>
    <w:rsid w:val="00A2489A"/>
    <w:rsid w:val="00A268CE"/>
    <w:rsid w:val="00A332E8"/>
    <w:rsid w:val="00A35AF5"/>
    <w:rsid w:val="00A35DDF"/>
    <w:rsid w:val="00A36CBA"/>
    <w:rsid w:val="00A412E9"/>
    <w:rsid w:val="00A432CD"/>
    <w:rsid w:val="00A45741"/>
    <w:rsid w:val="00A46F86"/>
    <w:rsid w:val="00A47EF6"/>
    <w:rsid w:val="00A50291"/>
    <w:rsid w:val="00A51998"/>
    <w:rsid w:val="00A530E4"/>
    <w:rsid w:val="00A604CD"/>
    <w:rsid w:val="00A60FE6"/>
    <w:rsid w:val="00A620D1"/>
    <w:rsid w:val="00A622F5"/>
    <w:rsid w:val="00A654BE"/>
    <w:rsid w:val="00A66DD6"/>
    <w:rsid w:val="00A75018"/>
    <w:rsid w:val="00A75B02"/>
    <w:rsid w:val="00A771FD"/>
    <w:rsid w:val="00A80767"/>
    <w:rsid w:val="00A80F1D"/>
    <w:rsid w:val="00A81C90"/>
    <w:rsid w:val="00A874EF"/>
    <w:rsid w:val="00A95415"/>
    <w:rsid w:val="00AA3C89"/>
    <w:rsid w:val="00AB32BD"/>
    <w:rsid w:val="00AB39D4"/>
    <w:rsid w:val="00AB4723"/>
    <w:rsid w:val="00AC4CDB"/>
    <w:rsid w:val="00AC70FE"/>
    <w:rsid w:val="00AD3AA3"/>
    <w:rsid w:val="00AD4358"/>
    <w:rsid w:val="00AD6F41"/>
    <w:rsid w:val="00AE551C"/>
    <w:rsid w:val="00AF61E1"/>
    <w:rsid w:val="00AF638A"/>
    <w:rsid w:val="00B00141"/>
    <w:rsid w:val="00B009AA"/>
    <w:rsid w:val="00B00ECE"/>
    <w:rsid w:val="00B02A6B"/>
    <w:rsid w:val="00B030C8"/>
    <w:rsid w:val="00B039C0"/>
    <w:rsid w:val="00B03A09"/>
    <w:rsid w:val="00B056E7"/>
    <w:rsid w:val="00B05B71"/>
    <w:rsid w:val="00B10035"/>
    <w:rsid w:val="00B10915"/>
    <w:rsid w:val="00B15C76"/>
    <w:rsid w:val="00B165E6"/>
    <w:rsid w:val="00B235DB"/>
    <w:rsid w:val="00B424D9"/>
    <w:rsid w:val="00B4416A"/>
    <w:rsid w:val="00B447C0"/>
    <w:rsid w:val="00B52510"/>
    <w:rsid w:val="00B53E53"/>
    <w:rsid w:val="00B548A2"/>
    <w:rsid w:val="00B56934"/>
    <w:rsid w:val="00B62F03"/>
    <w:rsid w:val="00B6745D"/>
    <w:rsid w:val="00B72444"/>
    <w:rsid w:val="00B853AE"/>
    <w:rsid w:val="00B85965"/>
    <w:rsid w:val="00B93B62"/>
    <w:rsid w:val="00B953D1"/>
    <w:rsid w:val="00B96D93"/>
    <w:rsid w:val="00BA30D0"/>
    <w:rsid w:val="00BB0D32"/>
    <w:rsid w:val="00BC76B5"/>
    <w:rsid w:val="00BD5420"/>
    <w:rsid w:val="00BE66B4"/>
    <w:rsid w:val="00BF157E"/>
    <w:rsid w:val="00BF5191"/>
    <w:rsid w:val="00BF6BB7"/>
    <w:rsid w:val="00C04BD2"/>
    <w:rsid w:val="00C05D94"/>
    <w:rsid w:val="00C13EEC"/>
    <w:rsid w:val="00C14689"/>
    <w:rsid w:val="00C156A4"/>
    <w:rsid w:val="00C16C5E"/>
    <w:rsid w:val="00C20FAA"/>
    <w:rsid w:val="00C23509"/>
    <w:rsid w:val="00C2459D"/>
    <w:rsid w:val="00C2536E"/>
    <w:rsid w:val="00C2755A"/>
    <w:rsid w:val="00C316F1"/>
    <w:rsid w:val="00C364AA"/>
    <w:rsid w:val="00C37BC9"/>
    <w:rsid w:val="00C42C95"/>
    <w:rsid w:val="00C44362"/>
    <w:rsid w:val="00C4470F"/>
    <w:rsid w:val="00C50727"/>
    <w:rsid w:val="00C55E5B"/>
    <w:rsid w:val="00C57138"/>
    <w:rsid w:val="00C62739"/>
    <w:rsid w:val="00C720A4"/>
    <w:rsid w:val="00C73F75"/>
    <w:rsid w:val="00C74F59"/>
    <w:rsid w:val="00C75088"/>
    <w:rsid w:val="00C7593B"/>
    <w:rsid w:val="00C7611C"/>
    <w:rsid w:val="00C77AD9"/>
    <w:rsid w:val="00C8103D"/>
    <w:rsid w:val="00C93DD3"/>
    <w:rsid w:val="00C94097"/>
    <w:rsid w:val="00C948C5"/>
    <w:rsid w:val="00CA36A2"/>
    <w:rsid w:val="00CA4269"/>
    <w:rsid w:val="00CA48CA"/>
    <w:rsid w:val="00CA7330"/>
    <w:rsid w:val="00CB1C84"/>
    <w:rsid w:val="00CB5363"/>
    <w:rsid w:val="00CB64F0"/>
    <w:rsid w:val="00CB7B5B"/>
    <w:rsid w:val="00CC2909"/>
    <w:rsid w:val="00CD0549"/>
    <w:rsid w:val="00CD2F1A"/>
    <w:rsid w:val="00CD50B7"/>
    <w:rsid w:val="00CE6B3C"/>
    <w:rsid w:val="00D00EAF"/>
    <w:rsid w:val="00D05E6F"/>
    <w:rsid w:val="00D20296"/>
    <w:rsid w:val="00D2231A"/>
    <w:rsid w:val="00D2361A"/>
    <w:rsid w:val="00D2425B"/>
    <w:rsid w:val="00D256BC"/>
    <w:rsid w:val="00D276BD"/>
    <w:rsid w:val="00D27929"/>
    <w:rsid w:val="00D33442"/>
    <w:rsid w:val="00D419C6"/>
    <w:rsid w:val="00D43B35"/>
    <w:rsid w:val="00D44BAD"/>
    <w:rsid w:val="00D45B55"/>
    <w:rsid w:val="00D4785A"/>
    <w:rsid w:val="00D52E43"/>
    <w:rsid w:val="00D664D7"/>
    <w:rsid w:val="00D67E1E"/>
    <w:rsid w:val="00D7097B"/>
    <w:rsid w:val="00D7197D"/>
    <w:rsid w:val="00D72BC4"/>
    <w:rsid w:val="00D760DF"/>
    <w:rsid w:val="00D765FA"/>
    <w:rsid w:val="00D815FC"/>
    <w:rsid w:val="00D8517B"/>
    <w:rsid w:val="00D91DFA"/>
    <w:rsid w:val="00D97DD8"/>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076E1"/>
    <w:rsid w:val="00E1258A"/>
    <w:rsid w:val="00E1464C"/>
    <w:rsid w:val="00E14ADB"/>
    <w:rsid w:val="00E22F78"/>
    <w:rsid w:val="00E2425D"/>
    <w:rsid w:val="00E24F87"/>
    <w:rsid w:val="00E2617A"/>
    <w:rsid w:val="00E273FB"/>
    <w:rsid w:val="00E31CD4"/>
    <w:rsid w:val="00E344E4"/>
    <w:rsid w:val="00E5120E"/>
    <w:rsid w:val="00E538E6"/>
    <w:rsid w:val="00E53BA3"/>
    <w:rsid w:val="00E56696"/>
    <w:rsid w:val="00E63C1E"/>
    <w:rsid w:val="00E70BBB"/>
    <w:rsid w:val="00E74332"/>
    <w:rsid w:val="00E768A9"/>
    <w:rsid w:val="00E802A2"/>
    <w:rsid w:val="00E8410F"/>
    <w:rsid w:val="00E85C0B"/>
    <w:rsid w:val="00E93736"/>
    <w:rsid w:val="00EA5E8F"/>
    <w:rsid w:val="00EA7089"/>
    <w:rsid w:val="00EB13D7"/>
    <w:rsid w:val="00EB1E83"/>
    <w:rsid w:val="00EB2C30"/>
    <w:rsid w:val="00ED22CB"/>
    <w:rsid w:val="00ED4BB1"/>
    <w:rsid w:val="00ED67AF"/>
    <w:rsid w:val="00EE11F0"/>
    <w:rsid w:val="00EE128C"/>
    <w:rsid w:val="00EE4C48"/>
    <w:rsid w:val="00EE5D2E"/>
    <w:rsid w:val="00EE7E6F"/>
    <w:rsid w:val="00EF41B8"/>
    <w:rsid w:val="00EF66D9"/>
    <w:rsid w:val="00EF68E3"/>
    <w:rsid w:val="00EF6BA5"/>
    <w:rsid w:val="00EF780D"/>
    <w:rsid w:val="00EF7A98"/>
    <w:rsid w:val="00F00E0B"/>
    <w:rsid w:val="00F0267E"/>
    <w:rsid w:val="00F06D01"/>
    <w:rsid w:val="00F071B2"/>
    <w:rsid w:val="00F11B47"/>
    <w:rsid w:val="00F2412D"/>
    <w:rsid w:val="00F25D8D"/>
    <w:rsid w:val="00F27AAE"/>
    <w:rsid w:val="00F3069C"/>
    <w:rsid w:val="00F346C9"/>
    <w:rsid w:val="00F3603E"/>
    <w:rsid w:val="00F44CCB"/>
    <w:rsid w:val="00F474C9"/>
    <w:rsid w:val="00F5126B"/>
    <w:rsid w:val="00F54EA3"/>
    <w:rsid w:val="00F61675"/>
    <w:rsid w:val="00F6686B"/>
    <w:rsid w:val="00F67F74"/>
    <w:rsid w:val="00F712B3"/>
    <w:rsid w:val="00F71E9F"/>
    <w:rsid w:val="00F73DE3"/>
    <w:rsid w:val="00F744BF"/>
    <w:rsid w:val="00F746F7"/>
    <w:rsid w:val="00F75307"/>
    <w:rsid w:val="00F7632C"/>
    <w:rsid w:val="00F77219"/>
    <w:rsid w:val="00F84DD2"/>
    <w:rsid w:val="00F95439"/>
    <w:rsid w:val="00FB0872"/>
    <w:rsid w:val="00FB54CC"/>
    <w:rsid w:val="00FC0631"/>
    <w:rsid w:val="00FC2B81"/>
    <w:rsid w:val="00FD1A37"/>
    <w:rsid w:val="00FD4E5B"/>
    <w:rsid w:val="00FD69D2"/>
    <w:rsid w:val="00FE4EE0"/>
    <w:rsid w:val="00FF0F9A"/>
    <w:rsid w:val="00FF34BA"/>
    <w:rsid w:val="00FF582E"/>
    <w:rsid w:val="00FF596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630FAF08"/>
  <w15:docId w15:val="{598CF26E-8C4C-424D-8A98-A6C3C27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16755A"/>
    <w:pPr>
      <w:tabs>
        <w:tab w:val="clear" w:pos="1134"/>
      </w:tabs>
      <w:spacing w:after="160" w:line="259" w:lineRule="auto"/>
      <w:ind w:left="720"/>
      <w:contextualSpacing/>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6755A"/>
    <w:rPr>
      <w:rFonts w:ascii="Verdana" w:eastAsia="Arial" w:hAnsi="Verdana" w:cs="Arial"/>
      <w:lang w:val="en-GB" w:eastAsia="en-US"/>
    </w:rPr>
  </w:style>
  <w:style w:type="paragraph" w:styleId="NoSpacing">
    <w:name w:val="No Spacing"/>
    <w:uiPriority w:val="1"/>
    <w:qFormat/>
    <w:rsid w:val="0016755A"/>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uiPriority w:val="10"/>
    <w:rsid w:val="0016755A"/>
    <w:rPr>
      <w:rFonts w:ascii="Verdana" w:eastAsia="Arial" w:hAnsi="Verdana" w:cs="Arial"/>
      <w:b/>
      <w:bCs/>
      <w:kern w:val="28"/>
      <w:sz w:val="32"/>
      <w:szCs w:val="32"/>
      <w:lang w:val="en-GB" w:eastAsia="en-US"/>
    </w:rPr>
  </w:style>
  <w:style w:type="paragraph" w:styleId="Caption">
    <w:name w:val="caption"/>
    <w:basedOn w:val="Normal"/>
    <w:next w:val="Normal"/>
    <w:uiPriority w:val="35"/>
    <w:unhideWhenUsed/>
    <w:qFormat/>
    <w:rsid w:val="0016755A"/>
    <w:pPr>
      <w:tabs>
        <w:tab w:val="clear" w:pos="1134"/>
      </w:tabs>
      <w:spacing w:after="200"/>
      <w:jc w:val="left"/>
    </w:pPr>
    <w:rPr>
      <w:rFonts w:asciiTheme="minorHAnsi" w:eastAsiaTheme="minorHAnsi" w:hAnsi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ghhin.org/resources/call-to-action-from-the-first-global-forum-on-heat-and-health/" TargetMode="External"/><Relationship Id="rId17" Type="http://schemas.openxmlformats.org/officeDocument/2006/relationships/hyperlink" Target="https://ghhin.org/legal/" TargetMode="External"/><Relationship Id="rId2" Type="http://schemas.openxmlformats.org/officeDocument/2006/relationships/customXml" Target="../customXml/item2.xml"/><Relationship Id="rId16" Type="http://schemas.openxmlformats.org/officeDocument/2006/relationships/hyperlink" Target="https://ghhin.org/lega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hhin.org/abou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A419CBCA-A785-4D14-B6C7-F2C70CD85E5F}"/>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CE4C997-AFE9-4FD5-8B67-4DD00902483D}">
  <ds:schemaRefs>
    <ds:schemaRef ds:uri="8ec0b821-9e03-4938-aec6-1dcf2ecf3e10"/>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5e341866-7c71-43e7-8f34-3402d2b4f50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096A3CD-6D84-4AA7-ACAF-14FB0B37D75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29312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Catherine OSTINELLI-KELLY</cp:lastModifiedBy>
  <cp:revision>4</cp:revision>
  <cp:lastPrinted>2013-03-12T09:27:00Z</cp:lastPrinted>
  <dcterms:created xsi:type="dcterms:W3CDTF">2022-10-04T10:21:00Z</dcterms:created>
  <dcterms:modified xsi:type="dcterms:W3CDTF">2022-10-04T10:25:00Z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