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497CFD" w:rsidRPr="00571594" w14:paraId="3188E66E" w14:textId="77777777" w:rsidTr="00020983">
        <w:trPr>
          <w:trHeight w:val="282"/>
        </w:trPr>
        <w:tc>
          <w:tcPr>
            <w:tcW w:w="500" w:type="dxa"/>
            <w:vMerge w:val="restart"/>
            <w:tcBorders>
              <w:top w:val="nil"/>
              <w:left w:val="nil"/>
              <w:bottom w:val="nil"/>
              <w:right w:val="nil"/>
            </w:tcBorders>
            <w:textDirection w:val="btLr"/>
            <w:hideMark/>
          </w:tcPr>
          <w:p w14:paraId="15AE3B86" w14:textId="77777777" w:rsidR="00497CFD" w:rsidRPr="00571594" w:rsidRDefault="00497CFD" w:rsidP="00020983">
            <w:pPr>
              <w:tabs>
                <w:tab w:val="left" w:pos="6946"/>
              </w:tabs>
              <w:suppressAutoHyphens/>
              <w:spacing w:after="120" w:line="252" w:lineRule="auto"/>
              <w:ind w:left="175" w:right="113"/>
              <w:jc w:val="right"/>
              <w:rPr>
                <w:color w:val="365F91" w:themeColor="accent1" w:themeShade="BF"/>
                <w:sz w:val="12"/>
                <w:szCs w:val="12"/>
                <w:lang w:eastAsia="zh-CN"/>
              </w:rPr>
            </w:pPr>
            <w:r w:rsidRPr="00571594">
              <w:rPr>
                <w:color w:val="365F91" w:themeColor="accent1" w:themeShade="BF"/>
                <w:sz w:val="10"/>
                <w:szCs w:val="10"/>
                <w:lang w:eastAsia="zh-CN"/>
              </w:rPr>
              <w:t>TEMPS CLIMAT EAU</w:t>
            </w:r>
          </w:p>
        </w:tc>
        <w:tc>
          <w:tcPr>
            <w:tcW w:w="6852" w:type="dxa"/>
            <w:vMerge w:val="restart"/>
            <w:tcBorders>
              <w:top w:val="nil"/>
              <w:left w:val="nil"/>
              <w:bottom w:val="single" w:sz="4" w:space="0" w:color="auto"/>
              <w:right w:val="nil"/>
            </w:tcBorders>
            <w:hideMark/>
          </w:tcPr>
          <w:p w14:paraId="582E37E7" w14:textId="77777777" w:rsidR="00497CFD" w:rsidRPr="00497CFD" w:rsidRDefault="00497CFD" w:rsidP="00EA0436">
            <w:pPr>
              <w:tabs>
                <w:tab w:val="left" w:pos="6946"/>
              </w:tabs>
              <w:suppressAutoHyphens/>
              <w:spacing w:after="120" w:line="252" w:lineRule="auto"/>
              <w:ind w:left="1134"/>
              <w:jc w:val="left"/>
              <w:rPr>
                <w:rFonts w:cs="Tahoma"/>
                <w:b/>
                <w:bCs/>
                <w:color w:val="365F91" w:themeColor="accent1" w:themeShade="BF"/>
                <w:lang w:val="fr-CH"/>
              </w:rPr>
            </w:pPr>
            <w:r w:rsidRPr="00497CFD">
              <w:rPr>
                <w:rFonts w:cs="Tahoma"/>
                <w:b/>
                <w:bCs/>
                <w:color w:val="365F91" w:themeColor="accent1" w:themeShade="BF"/>
                <w:lang w:val="fr-CH"/>
              </w:rPr>
              <w:t>Organisation météorologique mondiale</w:t>
            </w:r>
            <w:r w:rsidRPr="00497CFD">
              <w:rPr>
                <w:noProof/>
                <w:color w:val="365F91" w:themeColor="accent1" w:themeShade="BF"/>
                <w:lang w:val="fr-CH" w:eastAsia="zh-CN"/>
              </w:rPr>
              <w:t xml:space="preserve"> </w:t>
            </w:r>
            <w:r w:rsidRPr="006C4A2A">
              <w:rPr>
                <w:noProof/>
              </w:rPr>
              <w:drawing>
                <wp:anchor distT="0" distB="0" distL="114300" distR="114300" simplePos="0" relativeHeight="251661312" behindDoc="1" locked="1" layoutInCell="1" allowOverlap="1" wp14:anchorId="05A879EA" wp14:editId="2B59B284">
                  <wp:simplePos x="0" y="0"/>
                  <wp:positionH relativeFrom="page">
                    <wp:posOffset>8255</wp:posOffset>
                  </wp:positionH>
                  <wp:positionV relativeFrom="page">
                    <wp:posOffset>-13970</wp:posOffset>
                  </wp:positionV>
                  <wp:extent cx="613410" cy="673100"/>
                  <wp:effectExtent l="0" t="0" r="0" b="0"/>
                  <wp:wrapNone/>
                  <wp:docPr id="808654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8314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10" cy="673100"/>
                          </a:xfrm>
                          <a:prstGeom prst="rect">
                            <a:avLst/>
                          </a:prstGeom>
                          <a:noFill/>
                        </pic:spPr>
                      </pic:pic>
                    </a:graphicData>
                  </a:graphic>
                  <wp14:sizeRelH relativeFrom="page">
                    <wp14:pctWidth>0</wp14:pctWidth>
                  </wp14:sizeRelH>
                  <wp14:sizeRelV relativeFrom="page">
                    <wp14:pctHeight>0</wp14:pctHeight>
                  </wp14:sizeRelV>
                </wp:anchor>
              </w:drawing>
            </w:r>
          </w:p>
          <w:p w14:paraId="193A1C37" w14:textId="77777777" w:rsidR="007A5CE5" w:rsidRPr="007A5CE5" w:rsidRDefault="007A5CE5" w:rsidP="00EA0436">
            <w:pPr>
              <w:tabs>
                <w:tab w:val="left" w:pos="6946"/>
              </w:tabs>
              <w:suppressAutoHyphens/>
              <w:spacing w:after="120" w:line="252" w:lineRule="auto"/>
              <w:ind w:left="1134"/>
              <w:jc w:val="left"/>
              <w:rPr>
                <w:rFonts w:cs="Tahoma"/>
                <w:b/>
                <w:color w:val="365F91" w:themeColor="accent1" w:themeShade="BF"/>
                <w:spacing w:val="-2"/>
                <w:lang w:val="fr-CH"/>
              </w:rPr>
            </w:pPr>
            <w:r w:rsidRPr="007A5CE5">
              <w:rPr>
                <w:rFonts w:cs="Tahoma"/>
                <w:b/>
                <w:color w:val="365F91" w:themeColor="accent1" w:themeShade="BF"/>
                <w:spacing w:val="-2"/>
                <w:lang w:val="fr-CH"/>
              </w:rPr>
              <w:t>CONSEIL RÉGIONAL VI</w:t>
            </w:r>
            <w:r w:rsidRPr="007A5CE5">
              <w:rPr>
                <w:rFonts w:cs="Tahoma"/>
                <w:b/>
                <w:color w:val="365F91" w:themeColor="accent1" w:themeShade="BF"/>
                <w:spacing w:val="-2"/>
                <w:lang w:val="fr-CH"/>
              </w:rPr>
              <w:br/>
              <w:t>(EUROPE)</w:t>
            </w:r>
          </w:p>
          <w:p w14:paraId="6E6E862F" w14:textId="77777777" w:rsidR="00497CFD" w:rsidRPr="00497CFD" w:rsidRDefault="00497CFD" w:rsidP="00EA0436">
            <w:pPr>
              <w:tabs>
                <w:tab w:val="left" w:pos="6946"/>
              </w:tabs>
              <w:suppressAutoHyphens/>
              <w:spacing w:after="120" w:line="252" w:lineRule="auto"/>
              <w:ind w:left="1134"/>
              <w:jc w:val="left"/>
              <w:rPr>
                <w:rFonts w:cs="Tahoma"/>
                <w:b/>
                <w:bCs/>
                <w:color w:val="365F91" w:themeColor="accent1" w:themeShade="BF"/>
                <w:lang w:val="fr-CH"/>
              </w:rPr>
            </w:pPr>
            <w:r w:rsidRPr="00497CFD">
              <w:rPr>
                <w:b/>
                <w:snapToGrid w:val="0"/>
                <w:color w:val="365F91" w:themeColor="accent1" w:themeShade="BF"/>
                <w:lang w:val="fr-CH"/>
              </w:rPr>
              <w:t>Dix-neuvième session (phase I)</w:t>
            </w:r>
            <w:r w:rsidRPr="00497CFD">
              <w:rPr>
                <w:b/>
                <w:snapToGrid w:val="0"/>
                <w:color w:val="365F91" w:themeColor="accent1" w:themeShade="BF"/>
                <w:lang w:val="fr-CH"/>
              </w:rPr>
              <w:br/>
            </w:r>
            <w:r w:rsidRPr="00497CFD">
              <w:rPr>
                <w:snapToGrid w:val="0"/>
                <w:color w:val="365F91" w:themeColor="accent1" w:themeShade="BF"/>
                <w:lang w:val="fr-CH"/>
              </w:rPr>
              <w:t>15 et 16 octobre 2024, Visioconférence</w:t>
            </w:r>
          </w:p>
        </w:tc>
        <w:tc>
          <w:tcPr>
            <w:tcW w:w="2962" w:type="dxa"/>
            <w:tcBorders>
              <w:top w:val="nil"/>
              <w:left w:val="nil"/>
              <w:bottom w:val="nil"/>
              <w:right w:val="nil"/>
            </w:tcBorders>
            <w:hideMark/>
          </w:tcPr>
          <w:p w14:paraId="211EB16A" w14:textId="1F68C429" w:rsidR="00497CFD" w:rsidRPr="006C4A2A" w:rsidRDefault="00497CFD" w:rsidP="00020983">
            <w:pPr>
              <w:tabs>
                <w:tab w:val="left" w:pos="720"/>
              </w:tabs>
              <w:spacing w:after="60"/>
              <w:ind w:right="-108"/>
              <w:jc w:val="right"/>
              <w:rPr>
                <w:rFonts w:cs="Tahoma"/>
                <w:b/>
                <w:bCs/>
                <w:color w:val="365F91" w:themeColor="accent1" w:themeShade="BF"/>
                <w:lang w:val="en-CH"/>
              </w:rPr>
            </w:pPr>
            <w:r w:rsidRPr="006C4A2A">
              <w:rPr>
                <w:rFonts w:cs="Tahoma"/>
                <w:b/>
                <w:bCs/>
                <w:color w:val="365F91" w:themeColor="accent1" w:themeShade="BF"/>
                <w:lang w:val="en-US"/>
              </w:rPr>
              <w:t>RA VI-19(I)/INF</w:t>
            </w:r>
            <w:r w:rsidRPr="00497CFD">
              <w:rPr>
                <w:rFonts w:cs="Tahoma"/>
                <w:b/>
                <w:bCs/>
                <w:color w:val="365F91" w:themeColor="accent1" w:themeShade="BF"/>
                <w:lang w:val="en-US"/>
              </w:rPr>
              <w:t>. 3.4(3)</w:t>
            </w:r>
          </w:p>
        </w:tc>
      </w:tr>
      <w:tr w:rsidR="00497CFD" w:rsidRPr="00497CFD" w14:paraId="73B597E3" w14:textId="77777777" w:rsidTr="00020983">
        <w:trPr>
          <w:trHeight w:val="730"/>
        </w:trPr>
        <w:tc>
          <w:tcPr>
            <w:tcW w:w="500" w:type="dxa"/>
            <w:vMerge/>
            <w:tcBorders>
              <w:top w:val="nil"/>
              <w:left w:val="nil"/>
              <w:bottom w:val="nil"/>
              <w:right w:val="nil"/>
            </w:tcBorders>
            <w:vAlign w:val="center"/>
            <w:hideMark/>
          </w:tcPr>
          <w:p w14:paraId="6BFCE944" w14:textId="77777777" w:rsidR="00497CFD" w:rsidRPr="00571594" w:rsidRDefault="00497CFD" w:rsidP="00020983">
            <w:pPr>
              <w:rPr>
                <w:color w:val="365F91" w:themeColor="accent1" w:themeShade="BF"/>
                <w:sz w:val="12"/>
                <w:szCs w:val="12"/>
                <w:lang w:eastAsia="zh-CN"/>
              </w:rPr>
            </w:pPr>
          </w:p>
        </w:tc>
        <w:tc>
          <w:tcPr>
            <w:tcW w:w="6852" w:type="dxa"/>
            <w:vMerge/>
            <w:tcBorders>
              <w:top w:val="nil"/>
              <w:left w:val="nil"/>
              <w:bottom w:val="single" w:sz="4" w:space="0" w:color="auto"/>
              <w:right w:val="nil"/>
            </w:tcBorders>
            <w:vAlign w:val="center"/>
            <w:hideMark/>
          </w:tcPr>
          <w:p w14:paraId="608DD7B4" w14:textId="77777777" w:rsidR="00497CFD" w:rsidRPr="006C4A2A" w:rsidRDefault="00497CFD" w:rsidP="00020983">
            <w:pPr>
              <w:rPr>
                <w:rFonts w:cs="Tahoma"/>
                <w:b/>
                <w:bCs/>
                <w:color w:val="365F91" w:themeColor="accent1" w:themeShade="BF"/>
                <w:lang w:val="en-US"/>
              </w:rPr>
            </w:pPr>
          </w:p>
        </w:tc>
        <w:tc>
          <w:tcPr>
            <w:tcW w:w="2962" w:type="dxa"/>
            <w:tcBorders>
              <w:top w:val="nil"/>
              <w:left w:val="nil"/>
              <w:bottom w:val="single" w:sz="4" w:space="0" w:color="auto"/>
              <w:right w:val="nil"/>
            </w:tcBorders>
            <w:hideMark/>
          </w:tcPr>
          <w:p w14:paraId="3C98F3ED" w14:textId="77777777" w:rsidR="00497CFD" w:rsidRPr="00497CFD" w:rsidRDefault="00497CFD" w:rsidP="00020983">
            <w:pPr>
              <w:tabs>
                <w:tab w:val="left" w:pos="720"/>
              </w:tabs>
              <w:spacing w:before="120" w:after="60"/>
              <w:ind w:right="-108"/>
              <w:jc w:val="right"/>
              <w:rPr>
                <w:rFonts w:cs="Tahoma"/>
                <w:color w:val="365F91" w:themeColor="accent1" w:themeShade="BF"/>
                <w:lang w:val="fr-CH"/>
              </w:rPr>
            </w:pPr>
            <w:r w:rsidRPr="00497CFD">
              <w:rPr>
                <w:rFonts w:cs="Tahoma"/>
                <w:color w:val="365F91" w:themeColor="accent1" w:themeShade="BF"/>
                <w:lang w:val="fr-CH"/>
              </w:rPr>
              <w:t>Présenté par:</w:t>
            </w:r>
            <w:r w:rsidRPr="00497CFD">
              <w:rPr>
                <w:rFonts w:cs="Tahoma"/>
                <w:color w:val="365F91" w:themeColor="accent1" w:themeShade="BF"/>
                <w:lang w:val="fr-CH"/>
              </w:rPr>
              <w:br/>
              <w:t>Secrétaire générale</w:t>
            </w:r>
          </w:p>
          <w:p w14:paraId="52D29547" w14:textId="19FAADD9" w:rsidR="00497CFD" w:rsidRPr="00497CFD" w:rsidRDefault="00996706" w:rsidP="00020983">
            <w:pPr>
              <w:tabs>
                <w:tab w:val="left" w:pos="720"/>
              </w:tabs>
              <w:spacing w:before="360"/>
              <w:ind w:right="-108"/>
              <w:jc w:val="right"/>
              <w:rPr>
                <w:rFonts w:cs="Tahoma"/>
                <w:b/>
                <w:bCs/>
                <w:color w:val="365F91" w:themeColor="accent1" w:themeShade="BF"/>
                <w:lang w:val="fr-CH"/>
              </w:rPr>
            </w:pPr>
            <w:r>
              <w:rPr>
                <w:rFonts w:cs="Tahoma"/>
                <w:color w:val="365F91" w:themeColor="accent1" w:themeShade="BF"/>
                <w:lang w:val="fr-CH"/>
              </w:rPr>
              <w:t>20</w:t>
            </w:r>
            <w:r w:rsidR="00497CFD" w:rsidRPr="00497CFD">
              <w:rPr>
                <w:rFonts w:cs="Tahoma"/>
                <w:color w:val="365F91" w:themeColor="accent1" w:themeShade="BF"/>
                <w:lang w:val="fr-CH"/>
              </w:rPr>
              <w:t>.</w:t>
            </w:r>
            <w:r>
              <w:rPr>
                <w:rFonts w:cs="Tahoma"/>
                <w:color w:val="365F91" w:themeColor="accent1" w:themeShade="BF"/>
                <w:lang w:val="fr-CH"/>
              </w:rPr>
              <w:t>I</w:t>
            </w:r>
            <w:r w:rsidR="00497CFD" w:rsidRPr="00497CFD">
              <w:rPr>
                <w:rFonts w:cs="Tahoma"/>
                <w:color w:val="365F91" w:themeColor="accent1" w:themeShade="BF"/>
                <w:lang w:val="fr-CH"/>
              </w:rPr>
              <w:t>X.2024</w:t>
            </w:r>
          </w:p>
        </w:tc>
      </w:tr>
    </w:tbl>
    <w:p w14:paraId="34ED2B46" w14:textId="59664F72" w:rsidR="00207A2D" w:rsidRPr="00207A2D" w:rsidRDefault="00207A2D" w:rsidP="00AF49FF">
      <w:pPr>
        <w:spacing w:before="120" w:after="120"/>
        <w:jc w:val="left"/>
        <w:rPr>
          <w:rFonts w:cs="Calibri"/>
          <w:i/>
          <w:iCs/>
          <w:color w:val="FF0000"/>
          <w:lang w:val="fr-CH"/>
        </w:rPr>
      </w:pPr>
      <w:r w:rsidRPr="00207A2D">
        <w:rPr>
          <w:rFonts w:eastAsia="Calibri" w:cs="Calibri"/>
          <w:i/>
          <w:iCs/>
          <w:color w:val="FF0000"/>
          <w:lang w:val="fr-CH"/>
        </w:rPr>
        <w:t>[Ce docum</w:t>
      </w:r>
      <w:r w:rsidR="00957CAC">
        <w:rPr>
          <w:rFonts w:eastAsia="Calibri" w:cs="Calibri"/>
          <w:i/>
          <w:iCs/>
          <w:color w:val="FF0000"/>
          <w:lang w:val="fr-CH"/>
        </w:rPr>
        <w:t>e</w:t>
      </w:r>
      <w:r w:rsidRPr="00207A2D">
        <w:rPr>
          <w:rFonts w:eastAsia="Calibri" w:cs="Calibri"/>
          <w:i/>
          <w:iCs/>
          <w:color w:val="FF0000"/>
          <w:lang w:val="fr-CH"/>
        </w:rPr>
        <w:t>nt, produit à titre indicatif, est le résultat d’une traduction automatique sans post</w:t>
      </w:r>
      <w:r w:rsidRPr="00207A2D">
        <w:rPr>
          <w:rFonts w:eastAsia="Calibri" w:cs="Calibri"/>
          <w:i/>
          <w:iCs/>
          <w:color w:val="FF0000"/>
          <w:lang w:val="fr-CH"/>
        </w:rPr>
        <w:noBreakHyphen/>
        <w:t xml:space="preserve">édition. Aucune garantie, expresse ou implicite, n’est donnée quant à son exactitude, sa fiabilité ou sa précision. Les divergences ou différences ayant pu résulter de la traduction vers le français du contenu du document original ne créent aucune obligation et n'ont aucun effet juridique en termes de conformité, d'exécution ou à toute autre fin. Il se peut que certains contenus (tels que les images) n'aient pu être traduits en raison des limites techniques du système. En cas de doute sur l'exactitude des informations contenues dans la traduction, </w:t>
      </w:r>
      <w:proofErr w:type="spellStart"/>
      <w:r w:rsidRPr="00207A2D">
        <w:rPr>
          <w:rFonts w:eastAsia="Calibri" w:cs="Calibri"/>
          <w:i/>
          <w:iCs/>
          <w:color w:val="FF0000"/>
          <w:lang w:val="fr-CH"/>
        </w:rPr>
        <w:t>veuillez vous</w:t>
      </w:r>
      <w:proofErr w:type="spellEnd"/>
      <w:r w:rsidRPr="00207A2D">
        <w:rPr>
          <w:rFonts w:eastAsia="Calibri" w:cs="Calibri"/>
          <w:i/>
          <w:iCs/>
          <w:color w:val="FF0000"/>
          <w:lang w:val="fr-CH"/>
        </w:rPr>
        <w:t xml:space="preserve"> reporter à l'original anglais qui constitue la version officielle du document.]</w:t>
      </w:r>
    </w:p>
    <w:p w14:paraId="68A1F4E1" w14:textId="12CFD533" w:rsidR="00030714" w:rsidRPr="00497CFD" w:rsidRDefault="00030714" w:rsidP="00030714">
      <w:pPr>
        <w:pStyle w:val="Heading2"/>
        <w:rPr>
          <w:lang w:val="fr-CH"/>
        </w:rPr>
      </w:pPr>
      <w:r>
        <w:rPr>
          <w:lang w:val="fr-FR"/>
        </w:rPr>
        <w:t>ASPECTS DE L'ÉDUCATION ET DE LA FORMATION DANS LE RA VI</w:t>
      </w:r>
    </w:p>
    <w:p w14:paraId="283C490F" w14:textId="77777777" w:rsidR="00030714" w:rsidRPr="00A718FE" w:rsidRDefault="00030714" w:rsidP="00A718FE">
      <w:pPr>
        <w:pStyle w:val="Heading3"/>
        <w:numPr>
          <w:ilvl w:val="0"/>
          <w:numId w:val="8"/>
        </w:numPr>
        <w:ind w:left="567" w:hanging="567"/>
      </w:pPr>
      <w:r>
        <w:rPr>
          <w:lang w:val="fr-FR"/>
        </w:rPr>
        <w:t>Introduction</w:t>
      </w:r>
    </w:p>
    <w:p w14:paraId="2BCB9ED0" w14:textId="77777777" w:rsidR="00030714" w:rsidRPr="00497CFD" w:rsidRDefault="00030714" w:rsidP="00030714">
      <w:pPr>
        <w:pStyle w:val="WMOBodyText"/>
        <w:rPr>
          <w:lang w:val="fr-CH"/>
        </w:rPr>
      </w:pPr>
      <w:r>
        <w:rPr>
          <w:lang w:val="fr-FR"/>
        </w:rPr>
        <w:t>Le système d'alerte précoce pour tous est l'une des initiatives les plus difficiles à mettre en œuvre, et sans ressources humaines correctement éduquées et formées, il n'atteindra pas ses objectifs. Il faut comprendre que l'association régionale VI de l'OMM est une association dans laquelle les besoins en matière d'éducation et de formation augmentent d'ouest en est. Dans le cadre du développement des ressources humaines des membres de la région, les aspects suivants doivent être pris en compte:</w:t>
      </w:r>
    </w:p>
    <w:p w14:paraId="3D986DA6" w14:textId="77777777" w:rsidR="00030714" w:rsidRPr="00497CFD" w:rsidRDefault="00030714" w:rsidP="00A718FE">
      <w:pPr>
        <w:pStyle w:val="WMOBodyText"/>
        <w:numPr>
          <w:ilvl w:val="0"/>
          <w:numId w:val="7"/>
        </w:numPr>
        <w:ind w:left="567" w:hanging="567"/>
        <w:rPr>
          <w:lang w:val="fr-CH"/>
        </w:rPr>
      </w:pPr>
      <w:r>
        <w:rPr>
          <w:lang w:val="fr-FR"/>
        </w:rPr>
        <w:t>Une meilleure réponse aux enquêtes que l'OMM mène régulièrement sur le statut des ressources humaines dans les services météorologiques et hydrologiques nationaux : Personnel, compétences et qualifications</w:t>
      </w:r>
      <w:bookmarkStart w:id="0" w:name="_Hlk177323962"/>
      <w:bookmarkEnd w:id="0"/>
    </w:p>
    <w:p w14:paraId="1BB35C36" w14:textId="34693649" w:rsidR="00030714" w:rsidRPr="00497CFD" w:rsidRDefault="00030714" w:rsidP="00A718FE">
      <w:pPr>
        <w:pStyle w:val="WMOBodyText"/>
        <w:numPr>
          <w:ilvl w:val="0"/>
          <w:numId w:val="7"/>
        </w:numPr>
        <w:ind w:left="567" w:hanging="567"/>
        <w:rPr>
          <w:lang w:val="fr-CH"/>
        </w:rPr>
      </w:pPr>
      <w:r>
        <w:rPr>
          <w:lang w:val="fr-FR"/>
        </w:rPr>
        <w:t>Mise en œuvre du BIP-M et du BIP-MT conformément à la réglementation technique de l'OMM - Documents de base n° 2, Volume I - Normes météorologiques générales et pratiques recommandées (OMM-N° 49) et au Guide pour la mise en œuvre des normes d'éducation et de formation en météorologie et en hydrologie (OMM-N° 1083).</w:t>
      </w:r>
    </w:p>
    <w:p w14:paraId="4AE55477" w14:textId="48764DF6" w:rsidR="00030714" w:rsidRPr="00497CFD" w:rsidRDefault="00030714" w:rsidP="00A718FE">
      <w:pPr>
        <w:pStyle w:val="WMOBodyText"/>
        <w:numPr>
          <w:ilvl w:val="0"/>
          <w:numId w:val="7"/>
        </w:numPr>
        <w:ind w:left="567" w:hanging="567"/>
        <w:rPr>
          <w:lang w:val="fr-CH"/>
        </w:rPr>
      </w:pPr>
      <w:r>
        <w:rPr>
          <w:lang w:val="fr-FR"/>
        </w:rPr>
        <w:t>Développement des capacités et amélioration de la qualité et de la variété des services fournis grâce à une formation axée sur les compétences, avec le soutien des centres régionaux de formation de l'OMM et d'autres organisations régionales de formation, conformément à la nouvelle description du programme d'éducation et de formation de l'OMM (ETRP).</w:t>
      </w:r>
    </w:p>
    <w:p w14:paraId="5AE632B2" w14:textId="00143C8C" w:rsidR="00030714" w:rsidRPr="00497CFD" w:rsidRDefault="00030714" w:rsidP="00A718FE">
      <w:pPr>
        <w:pStyle w:val="WMOBodyText"/>
        <w:numPr>
          <w:ilvl w:val="0"/>
          <w:numId w:val="7"/>
        </w:numPr>
        <w:ind w:left="567" w:hanging="567"/>
        <w:rPr>
          <w:lang w:val="fr-CH"/>
        </w:rPr>
      </w:pPr>
      <w:r>
        <w:rPr>
          <w:lang w:val="fr-FR"/>
        </w:rPr>
        <w:t>La mise en œuvre de l'approche par les compétences est basée sur les recommandations de l'OMM telles que le Compendium des cadres de compétences de l'OMM (OMM-N° 1209), le Guide des compétences (OMM-N° 1205) et les Directives pour l'évaluation des compétences en matière de fourniture de services climatologiques (OMM-N° 1285).</w:t>
      </w:r>
    </w:p>
    <w:p w14:paraId="4C33ABDB" w14:textId="77777777" w:rsidR="00030714" w:rsidRPr="00497CFD" w:rsidRDefault="00030714" w:rsidP="00A718FE">
      <w:pPr>
        <w:pStyle w:val="WMOBodyText"/>
        <w:numPr>
          <w:ilvl w:val="0"/>
          <w:numId w:val="7"/>
        </w:numPr>
        <w:ind w:left="567" w:hanging="567"/>
        <w:rPr>
          <w:lang w:val="fr-CH"/>
        </w:rPr>
      </w:pPr>
      <w:r>
        <w:rPr>
          <w:lang w:val="fr-FR"/>
        </w:rPr>
        <w:t>Le cadre de développement des capacités de l'OMM</w:t>
      </w:r>
    </w:p>
    <w:p w14:paraId="7554DE8D" w14:textId="77777777" w:rsidR="00030714" w:rsidRPr="00497CFD" w:rsidRDefault="00030714" w:rsidP="00FE68E0">
      <w:pPr>
        <w:pStyle w:val="Heading3"/>
        <w:numPr>
          <w:ilvl w:val="0"/>
          <w:numId w:val="8"/>
        </w:numPr>
        <w:ind w:left="567" w:hanging="567"/>
        <w:rPr>
          <w:lang w:val="fr-CH"/>
        </w:rPr>
      </w:pPr>
      <w:r>
        <w:rPr>
          <w:lang w:val="fr-FR"/>
        </w:rPr>
        <w:t xml:space="preserve">Enquête sur le statut des ressources humaines </w:t>
      </w:r>
    </w:p>
    <w:p w14:paraId="53EAB9F0" w14:textId="354BE5B4" w:rsidR="00030714" w:rsidRPr="00497CFD" w:rsidRDefault="00030714" w:rsidP="00030714">
      <w:pPr>
        <w:pStyle w:val="WMOBodyText"/>
        <w:rPr>
          <w:lang w:val="fr-CH"/>
        </w:rPr>
      </w:pPr>
      <w:r>
        <w:rPr>
          <w:lang w:val="fr-FR"/>
        </w:rPr>
        <w:t>La dernière enquête sur l'état des ressources humaines dans les services météorologiques et hydrologiques nationaux : Personnel, compétences et qualifications (OMM-N° 1305), réalisée en 2021 et publiée en 2023, a révélé ce qui suit:</w:t>
      </w:r>
    </w:p>
    <w:p w14:paraId="6EEC099F" w14:textId="77777777" w:rsidR="00030714" w:rsidRDefault="00030714" w:rsidP="00030714">
      <w:pPr>
        <w:pStyle w:val="WMOBodyText"/>
        <w:jc w:val="center"/>
      </w:pPr>
      <w:r>
        <w:rPr>
          <w:noProof/>
        </w:rPr>
        <w:lastRenderedPageBreak/>
        <w:drawing>
          <wp:inline distT="0" distB="0" distL="0" distR="0" wp14:anchorId="52C22211" wp14:editId="7CA1D07F">
            <wp:extent cx="3810000" cy="2118247"/>
            <wp:effectExtent l="0" t="0" r="0" b="0"/>
            <wp:docPr id="993600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7028" cy="2127714"/>
                    </a:xfrm>
                    <a:prstGeom prst="rect">
                      <a:avLst/>
                    </a:prstGeom>
                    <a:noFill/>
                    <a:ln>
                      <a:noFill/>
                    </a:ln>
                  </pic:spPr>
                </pic:pic>
              </a:graphicData>
            </a:graphic>
          </wp:inline>
        </w:drawing>
      </w:r>
    </w:p>
    <w:p w14:paraId="703A0601" w14:textId="77777777" w:rsidR="00030714" w:rsidRPr="00497CFD" w:rsidRDefault="00030714" w:rsidP="00030714">
      <w:pPr>
        <w:pStyle w:val="WMOBodyText"/>
        <w:rPr>
          <w:lang w:val="fr-CH"/>
        </w:rPr>
      </w:pPr>
      <w:r>
        <w:rPr>
          <w:lang w:val="fr-FR"/>
        </w:rPr>
        <w:t>Seuls 55% des membres de l'association régionale VI ont répondu à l'enquête. Ce faible taux de réponse ne donne pas une image très claire des besoins de la région en matière d'éducation et de formation, ce qui a des effets significatifs sur l'identification du soutien nécessaire dans la région.</w:t>
      </w:r>
    </w:p>
    <w:p w14:paraId="7D054E45" w14:textId="77777777" w:rsidR="00030714" w:rsidRPr="00497CFD" w:rsidRDefault="00030714" w:rsidP="00030714">
      <w:pPr>
        <w:pStyle w:val="WMOBodyText"/>
        <w:rPr>
          <w:lang w:val="fr-CH"/>
        </w:rPr>
      </w:pPr>
      <w:r>
        <w:rPr>
          <w:lang w:val="fr-FR"/>
        </w:rPr>
        <w:t xml:space="preserve">Malgré ce taux de réponse, les informations suivantes étaient </w:t>
      </w:r>
      <w:proofErr w:type="gramStart"/>
      <w:r>
        <w:rPr>
          <w:lang w:val="fr-FR"/>
        </w:rPr>
        <w:t>pertinentes:</w:t>
      </w:r>
      <w:proofErr w:type="gramEnd"/>
    </w:p>
    <w:p w14:paraId="4F989B49" w14:textId="77777777" w:rsidR="00030714" w:rsidRPr="0052577F"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Pr>
          <w:b/>
          <w:bCs/>
          <w:i/>
          <w:iCs/>
          <w:lang w:val="fr-FR"/>
        </w:rPr>
        <w:t>Répartition hommes/femmes</w:t>
      </w:r>
      <w:r>
        <w:rPr>
          <w:lang w:val="fr-FR"/>
        </w:rPr>
        <w:t xml:space="preserve"> </w:t>
      </w:r>
    </w:p>
    <w:p w14:paraId="2C8A20DA" w14:textId="77777777" w:rsidR="00030714" w:rsidRDefault="00030714" w:rsidP="00030714">
      <w:pPr>
        <w:tabs>
          <w:tab w:val="clear" w:pos="1134"/>
        </w:tabs>
        <w:autoSpaceDE w:val="0"/>
        <w:autoSpaceDN w:val="0"/>
        <w:adjustRightInd w:val="0"/>
        <w:jc w:val="center"/>
      </w:pPr>
      <w:r>
        <w:rPr>
          <w:noProof/>
        </w:rPr>
        <w:drawing>
          <wp:inline distT="0" distB="0" distL="0" distR="0" wp14:anchorId="66C88EAC" wp14:editId="3716441C">
            <wp:extent cx="4133850" cy="1292928"/>
            <wp:effectExtent l="0" t="0" r="0" b="2540"/>
            <wp:docPr id="9149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12801" name=""/>
                    <pic:cNvPicPr/>
                  </pic:nvPicPr>
                  <pic:blipFill>
                    <a:blip r:embed="rId13"/>
                    <a:stretch>
                      <a:fillRect/>
                    </a:stretch>
                  </pic:blipFill>
                  <pic:spPr>
                    <a:xfrm>
                      <a:off x="0" y="0"/>
                      <a:ext cx="4147407" cy="1297168"/>
                    </a:xfrm>
                    <a:prstGeom prst="rect">
                      <a:avLst/>
                    </a:prstGeom>
                  </pic:spPr>
                </pic:pic>
              </a:graphicData>
            </a:graphic>
          </wp:inline>
        </w:drawing>
      </w:r>
    </w:p>
    <w:p w14:paraId="4A1B2329" w14:textId="13ECDEB0" w:rsidR="00030714" w:rsidRPr="00497CFD"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Les femmes sont nettement sous-représentées (&lt;20% du personnel) dans à peu près le même pourcentage de services météorologiques et hydrologiques nationaux (SMHN) en 2021 qu'en 2017 (7%-8% pour les deux années).</w:t>
      </w:r>
    </w:p>
    <w:p w14:paraId="0E20BF2E" w14:textId="6BE9EA36" w:rsidR="00030714" w:rsidRPr="00497CFD"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Les femmes sont modérément sous-représentées (20 % à 39 % du personnel) dans un plus grand nombre de SMHN en 2021 (52 %) qu'en 2017 (46 %).</w:t>
      </w:r>
    </w:p>
    <w:p w14:paraId="1952EEAD" w14:textId="14CA34AA" w:rsidR="00030714" w:rsidRPr="00497CFD"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Si l'on additionne les catégories de sous-représentation importante et modérée du personnel féminin, on constate qu'un pourcentage plus élevé de SSNM présentait des schémas de dotation sous-représentant les femmes en 2021 (59 %) qu'en 2017 (54 %).</w:t>
      </w:r>
    </w:p>
    <w:p w14:paraId="1D9B27B6" w14:textId="0CC879F1" w:rsidR="00030714" w:rsidRPr="00497CFD"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Le même pourcentage de NMHS avait une dotation en personnel équilibrée entre les sexes (40 à 59 % de femmes et 40 à 59 % d'hommes) en 2017 qu'en 2021 (26 % pour les deux années).</w:t>
      </w:r>
    </w:p>
    <w:p w14:paraId="644F21D2" w14:textId="0E4F17EA" w:rsidR="00030714" w:rsidRPr="00497CFD" w:rsidRDefault="00030714" w:rsidP="00537D18">
      <w:pPr>
        <w:pStyle w:val="ListParagraph"/>
        <w:numPr>
          <w:ilvl w:val="0"/>
          <w:numId w:val="1"/>
        </w:numPr>
        <w:tabs>
          <w:tab w:val="clear" w:pos="1134"/>
        </w:tabs>
        <w:autoSpaceDE w:val="0"/>
        <w:autoSpaceDN w:val="0"/>
        <w:adjustRightInd w:val="0"/>
        <w:spacing w:before="120"/>
        <w:ind w:left="567" w:hanging="567"/>
        <w:contextualSpacing w:val="0"/>
        <w:jc w:val="left"/>
        <w:rPr>
          <w:lang w:val="fr-CH"/>
        </w:rPr>
      </w:pPr>
      <w:r>
        <w:rPr>
          <w:lang w:val="fr-FR"/>
        </w:rPr>
        <w:t>Le nombre de SSNM dont le personnel est composé à 60 % ou plus de femmes et à 40 % ou moins d'hommes est moins élevé en 2021 (15 %) qu'en 2017 (21 %).</w:t>
      </w:r>
    </w:p>
    <w:p w14:paraId="4AD151AD" w14:textId="77777777" w:rsidR="00030714" w:rsidRPr="00497CFD" w:rsidRDefault="00030714" w:rsidP="00030714">
      <w:pPr>
        <w:tabs>
          <w:tab w:val="clear" w:pos="1134"/>
        </w:tabs>
        <w:autoSpaceDE w:val="0"/>
        <w:autoSpaceDN w:val="0"/>
        <w:adjustRightInd w:val="0"/>
        <w:spacing w:before="120"/>
        <w:jc w:val="center"/>
        <w:rPr>
          <w:lang w:val="fr-CH"/>
        </w:rPr>
      </w:pPr>
      <w:r w:rsidRPr="00B768C3">
        <w:rPr>
          <w:noProof/>
        </w:rPr>
        <w:lastRenderedPageBreak/>
        <w:drawing>
          <wp:inline distT="0" distB="0" distL="0" distR="0" wp14:anchorId="6C3FC807" wp14:editId="65E996EC">
            <wp:extent cx="2832100" cy="1660197"/>
            <wp:effectExtent l="0" t="0" r="6350" b="0"/>
            <wp:docPr id="2072492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4153" cy="1667262"/>
                    </a:xfrm>
                    <a:prstGeom prst="rect">
                      <a:avLst/>
                    </a:prstGeom>
                    <a:noFill/>
                    <a:ln>
                      <a:noFill/>
                    </a:ln>
                  </pic:spPr>
                </pic:pic>
              </a:graphicData>
            </a:graphic>
          </wp:inline>
        </w:drawing>
      </w:r>
      <w:r w:rsidRPr="00497CFD">
        <w:rPr>
          <w:lang w:val="fr-CH"/>
        </w:rPr>
        <w:t xml:space="preserve"> </w:t>
      </w:r>
      <w:r w:rsidRPr="00B768C3">
        <w:rPr>
          <w:noProof/>
        </w:rPr>
        <w:drawing>
          <wp:inline distT="0" distB="0" distL="0" distR="0" wp14:anchorId="4D4FC89B" wp14:editId="08CFB93B">
            <wp:extent cx="2806700" cy="1673406"/>
            <wp:effectExtent l="0" t="0" r="0" b="3175"/>
            <wp:docPr id="33205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039" cy="1688514"/>
                    </a:xfrm>
                    <a:prstGeom prst="rect">
                      <a:avLst/>
                    </a:prstGeom>
                    <a:noFill/>
                    <a:ln>
                      <a:noFill/>
                    </a:ln>
                  </pic:spPr>
                </pic:pic>
              </a:graphicData>
            </a:graphic>
          </wp:inline>
        </w:drawing>
      </w:r>
    </w:p>
    <w:p w14:paraId="5B373243"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Pour la plupart des catégories professionnelles, de 13 % à 53 % du personnel des SSNM des répondants sont des hommes et des femmes. La catégorie professionnelle des chercheurs en sciences sociales fait exception à la règle; Cependant, seuls deux répondants avaient des membres du personnel des NMHS dans cette catégorie.</w:t>
      </w:r>
    </w:p>
    <w:p w14:paraId="6F901B10"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La plupart des répondants (53%) disposent d'un personnel équilibré en termes de genre dans la catégorie professionnelle des hydrologues.</w:t>
      </w:r>
    </w:p>
    <w:p w14:paraId="066B3625"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Pour quatre catégories professionnelles (technicien en météorologie, gestionnaire, technicien en hydrologie et chercheur), la majorité des SMHN ayant répondu à l'enquête avaient un personnel où les femmes étaient sous-représentées, que ce soit de façon modérée ou substantielle.</w:t>
      </w:r>
    </w:p>
    <w:p w14:paraId="5A08CA55" w14:textId="77777777" w:rsidR="00030714" w:rsidRPr="0052577F"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rPr>
      </w:pPr>
      <w:r>
        <w:rPr>
          <w:b/>
          <w:bCs/>
          <w:i/>
          <w:iCs/>
          <w:lang w:val="fr-FR"/>
        </w:rPr>
        <w:t>Personnel titulaire d'un diplôme universitaire</w:t>
      </w:r>
    </w:p>
    <w:p w14:paraId="2801EB81" w14:textId="77777777" w:rsidR="00030714" w:rsidRDefault="00030714" w:rsidP="00030714">
      <w:pPr>
        <w:tabs>
          <w:tab w:val="clear" w:pos="1134"/>
        </w:tabs>
        <w:autoSpaceDE w:val="0"/>
        <w:autoSpaceDN w:val="0"/>
        <w:adjustRightInd w:val="0"/>
        <w:jc w:val="center"/>
      </w:pPr>
      <w:r>
        <w:rPr>
          <w:noProof/>
        </w:rPr>
        <w:drawing>
          <wp:inline distT="0" distB="0" distL="0" distR="0" wp14:anchorId="2401B486" wp14:editId="707732F9">
            <wp:extent cx="3994150" cy="1857153"/>
            <wp:effectExtent l="0" t="0" r="6350" b="0"/>
            <wp:docPr id="406328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969" cy="1863113"/>
                    </a:xfrm>
                    <a:prstGeom prst="rect">
                      <a:avLst/>
                    </a:prstGeom>
                    <a:noFill/>
                    <a:ln>
                      <a:noFill/>
                    </a:ln>
                  </pic:spPr>
                </pic:pic>
              </a:graphicData>
            </a:graphic>
          </wp:inline>
        </w:drawing>
      </w:r>
      <w:r w:rsidRPr="003C1564">
        <w:t xml:space="preserve"> </w:t>
      </w:r>
      <w:r w:rsidRPr="003C1564">
        <w:rPr>
          <w:noProof/>
        </w:rPr>
        <w:drawing>
          <wp:inline distT="0" distB="0" distL="0" distR="0" wp14:anchorId="27EB6070" wp14:editId="0BDF6469">
            <wp:extent cx="3575050" cy="2369643"/>
            <wp:effectExtent l="0" t="0" r="6350" b="0"/>
            <wp:docPr id="37535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2485" cy="2374571"/>
                    </a:xfrm>
                    <a:prstGeom prst="rect">
                      <a:avLst/>
                    </a:prstGeom>
                    <a:noFill/>
                    <a:ln>
                      <a:noFill/>
                    </a:ln>
                  </pic:spPr>
                </pic:pic>
              </a:graphicData>
            </a:graphic>
          </wp:inline>
        </w:drawing>
      </w:r>
    </w:p>
    <w:p w14:paraId="6CB471E7" w14:textId="77777777" w:rsidR="00030714" w:rsidRPr="00497CFD" w:rsidRDefault="00030714" w:rsidP="00211F03">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lang w:val="fr-CH"/>
        </w:rPr>
      </w:pPr>
      <w:r>
        <w:rPr>
          <w:b/>
          <w:bCs/>
          <w:i/>
          <w:iCs/>
          <w:lang w:val="fr-FR"/>
        </w:rPr>
        <w:t>Nombre de membres du personnel ayant besoin d'une formation, par catégorie professionnelle:</w:t>
      </w:r>
      <w:r>
        <w:rPr>
          <w:lang w:val="fr-FR"/>
        </w:rPr>
        <w:t xml:space="preserve"> </w:t>
      </w:r>
    </w:p>
    <w:p w14:paraId="6182940A"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 xml:space="preserve">Dans la région VI, les groupes les plus importants du personnel des SMHN ayant besoin d'une formation étaient répartis de manière équilibrée entre les techniciens en météorologie et les </w:t>
      </w:r>
      <w:r>
        <w:rPr>
          <w:lang w:val="fr-FR"/>
        </w:rPr>
        <w:lastRenderedPageBreak/>
        <w:t>météorologues, les deux représentant environ 30 % des personnes ayant besoin d'une formation. La région VI a mis l'accent sur la formation des chercheurs, qui représentaient 10 % des membres du personnel du NMHS ayant besoin d'une formation dans la région.</w:t>
      </w:r>
    </w:p>
    <w:p w14:paraId="69763DD7" w14:textId="77777777" w:rsidR="00030714" w:rsidRPr="00497CFD" w:rsidRDefault="00030714" w:rsidP="00030714">
      <w:pPr>
        <w:tabs>
          <w:tab w:val="clear" w:pos="1134"/>
        </w:tabs>
        <w:autoSpaceDE w:val="0"/>
        <w:autoSpaceDN w:val="0"/>
        <w:adjustRightInd w:val="0"/>
        <w:spacing w:before="120"/>
        <w:jc w:val="left"/>
        <w:rPr>
          <w:rFonts w:eastAsia="MS Mincho" w:cs="StoneSansITC-Medium"/>
          <w:i/>
          <w:iCs/>
          <w:lang w:val="fr-CH"/>
        </w:rPr>
      </w:pPr>
      <w:r>
        <w:rPr>
          <w:lang w:val="fr-FR"/>
        </w:rPr>
        <w:t xml:space="preserve">Les répondants de la région VI prévoient que 1 116 experts recevront une formation en 2021, ce qui est nettement inférieur aux 4 429 experts que les répondants de la région VI prévoyaient de recevoir une formation en 2017. </w:t>
      </w:r>
      <w:r>
        <w:rPr>
          <w:i/>
          <w:iCs/>
          <w:lang w:val="fr-FR"/>
        </w:rPr>
        <w:t>La différence entre ces chiffres est due au fait que certains membres de la région VI ont répondu à l'enquête de 2017 mais pas à celle de 2021, et que certains membres de la région VI ont déclaré des nombres plus faibles en 2021 qu'en 2017.</w:t>
      </w:r>
    </w:p>
    <w:p w14:paraId="486DB6A5"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Le soutien de l'OMM à l'octroi de bourses pour des cours de courte durée est une priorité pour 41 % des personnes interrogées dans la région VI. Le soutien de l'OMM aux bourses pour les programmes de licence, de maîtrise et de doctorat n'est une priorité que pour 4 à 7 % des personnes interrogées dans la région VI.</w:t>
      </w:r>
    </w:p>
    <w:p w14:paraId="3404AEA2" w14:textId="77777777" w:rsidR="00030714" w:rsidRPr="00497CFD" w:rsidRDefault="00030714" w:rsidP="00030714">
      <w:pPr>
        <w:tabs>
          <w:tab w:val="clear" w:pos="1134"/>
        </w:tabs>
        <w:autoSpaceDE w:val="0"/>
        <w:autoSpaceDN w:val="0"/>
        <w:adjustRightInd w:val="0"/>
        <w:spacing w:before="120"/>
        <w:jc w:val="left"/>
        <w:rPr>
          <w:rFonts w:eastAsia="MS Mincho" w:cs="StoneSansITC-MediumItalic"/>
          <w:i/>
          <w:iCs/>
          <w:lang w:val="fr-CH"/>
        </w:rPr>
      </w:pPr>
      <w:r>
        <w:rPr>
          <w:i/>
          <w:iCs/>
          <w:lang w:val="fr-FR"/>
        </w:rPr>
        <w:t>Cours de courte durée</w:t>
      </w:r>
    </w:p>
    <w:p w14:paraId="32AC5CC3"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 xml:space="preserve">Le soutien de l'OMM à l'octroi de bourses pour des cours de courte durée a été un élément important de la stratégie de l'OMM en matière d'éducation. </w:t>
      </w:r>
    </w:p>
    <w:p w14:paraId="196F6B80" w14:textId="77777777" w:rsidR="00030714" w:rsidRPr="00497CFD" w:rsidRDefault="000D689A"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Priorité élevée pour 41 % des répondants de la région VI et priorité moyenne pour 15 % d'entre eux.</w:t>
      </w:r>
    </w:p>
    <w:p w14:paraId="627BCBFD" w14:textId="77777777" w:rsidR="00030714" w:rsidRPr="00497CFD" w:rsidRDefault="000D689A"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Faible priorité pour 26% des répondants de la région VI</w:t>
      </w:r>
    </w:p>
    <w:p w14:paraId="424D957B" w14:textId="77777777" w:rsidR="00030714" w:rsidRPr="00497CFD" w:rsidRDefault="00030714" w:rsidP="00537D18">
      <w:pPr>
        <w:pStyle w:val="ListParagraph"/>
        <w:numPr>
          <w:ilvl w:val="0"/>
          <w:numId w:val="4"/>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 xml:space="preserve">Pas de niveau de priorité pour 19% d'entre eux </w:t>
      </w:r>
    </w:p>
    <w:p w14:paraId="356C7117" w14:textId="77777777" w:rsidR="00030714" w:rsidRPr="00497CFD" w:rsidRDefault="00030714" w:rsidP="00030714">
      <w:pPr>
        <w:tabs>
          <w:tab w:val="clear" w:pos="1134"/>
        </w:tabs>
        <w:autoSpaceDE w:val="0"/>
        <w:autoSpaceDN w:val="0"/>
        <w:adjustRightInd w:val="0"/>
        <w:spacing w:before="120"/>
        <w:jc w:val="left"/>
        <w:rPr>
          <w:rFonts w:eastAsia="MS Mincho" w:cs="StoneSansITC-MediumItalic"/>
          <w:i/>
          <w:iCs/>
          <w:lang w:val="fr-CH"/>
        </w:rPr>
      </w:pPr>
      <w:r>
        <w:rPr>
          <w:i/>
          <w:iCs/>
          <w:lang w:val="fr-FR"/>
        </w:rPr>
        <w:t>Programmes de licence</w:t>
      </w:r>
    </w:p>
    <w:p w14:paraId="1C3B5E4B"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 xml:space="preserve">L'OMM a soutenu l'octroi de bourses pour les programmes de licence: </w:t>
      </w:r>
    </w:p>
    <w:p w14:paraId="2C9D1C0B" w14:textId="77777777" w:rsidR="00030714" w:rsidRPr="00497CFD"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Priorité élevée pour 4 % des répondants de la région VI et priorité moyenne pour 11 % d'entre eux. Ainsi, 15 % des répondants de la région VI considèrent que le soutien de l'OMM aux bourses pour les programmes de licence est une priorité élevée ou moyenne.</w:t>
      </w:r>
    </w:p>
    <w:p w14:paraId="22499FB3" w14:textId="77777777" w:rsidR="00030714" w:rsidRPr="00497CFD"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Faible priorité pour 56 % des répondants de la région VI</w:t>
      </w:r>
    </w:p>
    <w:p w14:paraId="7D80575D" w14:textId="77777777" w:rsidR="00030714" w:rsidRPr="00497CFD" w:rsidRDefault="00030714"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Pas de niveau de priorité pour 30%</w:t>
      </w:r>
    </w:p>
    <w:p w14:paraId="3FA4739C" w14:textId="77777777" w:rsidR="00030714" w:rsidRPr="00497CFD" w:rsidRDefault="00030714" w:rsidP="00030714">
      <w:pPr>
        <w:tabs>
          <w:tab w:val="clear" w:pos="1134"/>
        </w:tabs>
        <w:autoSpaceDE w:val="0"/>
        <w:autoSpaceDN w:val="0"/>
        <w:adjustRightInd w:val="0"/>
        <w:spacing w:before="120"/>
        <w:jc w:val="left"/>
        <w:rPr>
          <w:rFonts w:eastAsia="MS Mincho" w:cs="StoneSansITC-MediumItalic"/>
          <w:i/>
          <w:iCs/>
          <w:lang w:val="fr-CH"/>
        </w:rPr>
      </w:pPr>
      <w:r>
        <w:rPr>
          <w:i/>
          <w:iCs/>
          <w:lang w:val="fr-FR"/>
        </w:rPr>
        <w:t xml:space="preserve">Programmes de </w:t>
      </w:r>
      <w:proofErr w:type="spellStart"/>
      <w:r>
        <w:rPr>
          <w:i/>
          <w:iCs/>
          <w:lang w:val="fr-FR"/>
        </w:rPr>
        <w:t>MSc</w:t>
      </w:r>
      <w:proofErr w:type="spellEnd"/>
    </w:p>
    <w:p w14:paraId="22F40602"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Le soutien de l'OMM aux bourses d'études pour les programmes de maîtrise a été un succès:</w:t>
      </w:r>
    </w:p>
    <w:p w14:paraId="06974882" w14:textId="77777777" w:rsidR="00030714" w:rsidRPr="00497CFD" w:rsidRDefault="00E3562C"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 xml:space="preserve">Une priorité élevée pour 7 % et une priorité moyenne pour 11 % des personnes interrogées dans la région VI. Ainsi, 19 % des répondants de la région VI considèrent les bourses pour les programmes de maîtrise comme une priorité élevée ou moyenne. </w:t>
      </w:r>
    </w:p>
    <w:p w14:paraId="74C5452B" w14:textId="77777777" w:rsidR="00030714" w:rsidRPr="00497CFD" w:rsidRDefault="000D689A"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Faible priorité pour 52% des répondants de la région VI</w:t>
      </w:r>
    </w:p>
    <w:p w14:paraId="4EFB6753" w14:textId="77777777" w:rsidR="00030714" w:rsidRPr="00497CFD" w:rsidRDefault="00030714" w:rsidP="00537D18">
      <w:pPr>
        <w:pStyle w:val="ListParagraph"/>
        <w:numPr>
          <w:ilvl w:val="0"/>
          <w:numId w:val="2"/>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Pas de niveau de priorité pour 30%</w:t>
      </w:r>
    </w:p>
    <w:p w14:paraId="1DB7B9CA" w14:textId="77777777" w:rsidR="00030714" w:rsidRPr="00497CFD" w:rsidRDefault="00030714" w:rsidP="00030714">
      <w:pPr>
        <w:tabs>
          <w:tab w:val="clear" w:pos="1134"/>
        </w:tabs>
        <w:autoSpaceDE w:val="0"/>
        <w:autoSpaceDN w:val="0"/>
        <w:adjustRightInd w:val="0"/>
        <w:spacing w:before="120"/>
        <w:jc w:val="left"/>
        <w:rPr>
          <w:rFonts w:eastAsia="MS Mincho" w:cs="StoneSansITC-Medium"/>
          <w:i/>
          <w:iCs/>
          <w:lang w:val="fr-CH"/>
        </w:rPr>
      </w:pPr>
      <w:r>
        <w:rPr>
          <w:i/>
          <w:iCs/>
          <w:lang w:val="fr-FR"/>
        </w:rPr>
        <w:t>Programmes de doctorat</w:t>
      </w:r>
    </w:p>
    <w:p w14:paraId="2C5F3DAC"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 xml:space="preserve">Le soutien de l'OMM aux bourses pour les programmes de doctorat a été un élément important de la stratégie de l'OMM. </w:t>
      </w:r>
    </w:p>
    <w:p w14:paraId="5CCDA74E" w14:textId="77777777" w:rsidR="00030714" w:rsidRPr="00497CFD" w:rsidRDefault="000D689A" w:rsidP="00537D18">
      <w:pPr>
        <w:pStyle w:val="ListParagraph"/>
        <w:numPr>
          <w:ilvl w:val="0"/>
          <w:numId w:val="3"/>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Priorité élevée pour 7 % des répondants de la région VI et priorité moyenne pour 11 % d'entre eux.</w:t>
      </w:r>
    </w:p>
    <w:p w14:paraId="58984189" w14:textId="77777777" w:rsidR="00030714" w:rsidRPr="00497CFD" w:rsidRDefault="000D689A" w:rsidP="00537D18">
      <w:pPr>
        <w:pStyle w:val="ListParagraph"/>
        <w:numPr>
          <w:ilvl w:val="0"/>
          <w:numId w:val="3"/>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Faible priorité pour 52% des répondants de la région VI</w:t>
      </w:r>
    </w:p>
    <w:p w14:paraId="64171BAE" w14:textId="4A32AE7B" w:rsidR="00957CAC" w:rsidRDefault="00030714" w:rsidP="00537D18">
      <w:pPr>
        <w:pStyle w:val="ListParagraph"/>
        <w:numPr>
          <w:ilvl w:val="0"/>
          <w:numId w:val="3"/>
        </w:numPr>
        <w:tabs>
          <w:tab w:val="clear" w:pos="1134"/>
        </w:tabs>
        <w:autoSpaceDE w:val="0"/>
        <w:autoSpaceDN w:val="0"/>
        <w:adjustRightInd w:val="0"/>
        <w:spacing w:before="120"/>
        <w:ind w:left="567" w:hanging="567"/>
        <w:contextualSpacing w:val="0"/>
        <w:jc w:val="left"/>
        <w:rPr>
          <w:lang w:val="fr-FR"/>
        </w:rPr>
      </w:pPr>
      <w:r>
        <w:rPr>
          <w:lang w:val="fr-FR"/>
        </w:rPr>
        <w:t>Pas de niveau de priorité pour 30%</w:t>
      </w:r>
    </w:p>
    <w:p w14:paraId="155C7310" w14:textId="77777777" w:rsidR="00957CAC" w:rsidRDefault="00957CAC">
      <w:pPr>
        <w:tabs>
          <w:tab w:val="clear" w:pos="1134"/>
        </w:tabs>
        <w:jc w:val="left"/>
        <w:rPr>
          <w:lang w:val="fr-FR"/>
        </w:rPr>
      </w:pPr>
      <w:r>
        <w:rPr>
          <w:lang w:val="fr-FR"/>
        </w:rPr>
        <w:br w:type="page"/>
      </w:r>
    </w:p>
    <w:p w14:paraId="658DC62A" w14:textId="77777777" w:rsidR="00030714" w:rsidRPr="00497CFD" w:rsidRDefault="00030714" w:rsidP="0052577F">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lang w:val="fr-CH"/>
        </w:rPr>
      </w:pPr>
      <w:r>
        <w:rPr>
          <w:b/>
          <w:bCs/>
          <w:i/>
          <w:iCs/>
          <w:lang w:val="fr-FR"/>
        </w:rPr>
        <w:lastRenderedPageBreak/>
        <w:t>Mise en œuvre du BIP-M et du BIP-</w:t>
      </w:r>
      <w:proofErr w:type="gramStart"/>
      <w:r>
        <w:rPr>
          <w:b/>
          <w:bCs/>
          <w:i/>
          <w:iCs/>
          <w:lang w:val="fr-FR"/>
        </w:rPr>
        <w:t>MT:</w:t>
      </w:r>
      <w:proofErr w:type="gramEnd"/>
      <w:r>
        <w:rPr>
          <w:lang w:val="fr-FR"/>
        </w:rPr>
        <w:t xml:space="preserve"> </w:t>
      </w:r>
    </w:p>
    <w:p w14:paraId="0AF81EF0" w14:textId="77777777" w:rsidR="00030714" w:rsidRPr="00497CFD" w:rsidRDefault="00030714" w:rsidP="00FC385B">
      <w:pPr>
        <w:tabs>
          <w:tab w:val="clear" w:pos="1134"/>
        </w:tabs>
        <w:autoSpaceDE w:val="0"/>
        <w:autoSpaceDN w:val="0"/>
        <w:adjustRightInd w:val="0"/>
        <w:spacing w:before="120"/>
        <w:jc w:val="left"/>
        <w:rPr>
          <w:rFonts w:eastAsia="MS Mincho" w:cs="StoneSansITC-Medium"/>
          <w:lang w:val="fr-CH"/>
        </w:rPr>
      </w:pPr>
      <w:r>
        <w:rPr>
          <w:lang w:val="fr-FR"/>
        </w:rPr>
        <w:t xml:space="preserve">Au moment de l'enquête de 2021, la région VI était en tête en ce qui concerne le fait que tous les membres du personnel concernés des SMHN de cette région avaient suivi le BIP-M, le Basic Instruction Package for Hydrologists (BIP-H) et le Basic Instruction Package for </w:t>
      </w:r>
      <w:proofErr w:type="spellStart"/>
      <w:r>
        <w:rPr>
          <w:lang w:val="fr-FR"/>
        </w:rPr>
        <w:t>Hydrological</w:t>
      </w:r>
      <w:proofErr w:type="spellEnd"/>
      <w:r>
        <w:rPr>
          <w:lang w:val="fr-FR"/>
        </w:rPr>
        <w:t xml:space="preserve"> </w:t>
      </w:r>
      <w:proofErr w:type="spellStart"/>
      <w:r>
        <w:rPr>
          <w:lang w:val="fr-FR"/>
        </w:rPr>
        <w:t>Technicians</w:t>
      </w:r>
      <w:proofErr w:type="spellEnd"/>
      <w:r>
        <w:rPr>
          <w:lang w:val="fr-FR"/>
        </w:rPr>
        <w:t xml:space="preserve"> (BIP-HT).</w:t>
      </w:r>
    </w:p>
    <w:p w14:paraId="6BC7A351" w14:textId="77777777" w:rsidR="00211F03" w:rsidRDefault="00030714" w:rsidP="00030714">
      <w:pPr>
        <w:tabs>
          <w:tab w:val="clear" w:pos="1134"/>
        </w:tabs>
        <w:autoSpaceDE w:val="0"/>
        <w:autoSpaceDN w:val="0"/>
        <w:adjustRightInd w:val="0"/>
        <w:spacing w:before="120"/>
        <w:jc w:val="center"/>
        <w:rPr>
          <w:rFonts w:eastAsia="MS Mincho" w:cs="StoneSansITC-Medium"/>
          <w:lang w:eastAsia="zh-TW"/>
        </w:rPr>
      </w:pPr>
      <w:r w:rsidRPr="00BD65C2">
        <w:rPr>
          <w:rFonts w:eastAsia="MS Mincho" w:cs="StoneSansITC-Medium"/>
          <w:noProof/>
          <w:lang w:eastAsia="zh-TW"/>
        </w:rPr>
        <w:drawing>
          <wp:inline distT="0" distB="0" distL="0" distR="0" wp14:anchorId="141BBAB5" wp14:editId="06D66BD4">
            <wp:extent cx="5759450" cy="1778000"/>
            <wp:effectExtent l="0" t="0" r="0" b="0"/>
            <wp:docPr id="1243579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778000"/>
                    </a:xfrm>
                    <a:prstGeom prst="rect">
                      <a:avLst/>
                    </a:prstGeom>
                    <a:noFill/>
                    <a:ln>
                      <a:noFill/>
                    </a:ln>
                  </pic:spPr>
                </pic:pic>
              </a:graphicData>
            </a:graphic>
          </wp:inline>
        </w:drawing>
      </w:r>
    </w:p>
    <w:p w14:paraId="4EA5A333" w14:textId="77777777" w:rsidR="00030714" w:rsidRPr="00497CFD" w:rsidRDefault="00030714" w:rsidP="0052577F">
      <w:pPr>
        <w:pStyle w:val="ListParagraph"/>
        <w:numPr>
          <w:ilvl w:val="1"/>
          <w:numId w:val="9"/>
        </w:numPr>
        <w:tabs>
          <w:tab w:val="clear" w:pos="1134"/>
        </w:tabs>
        <w:autoSpaceDE w:val="0"/>
        <w:autoSpaceDN w:val="0"/>
        <w:adjustRightInd w:val="0"/>
        <w:spacing w:before="240" w:after="240"/>
        <w:ind w:left="567" w:hanging="567"/>
        <w:contextualSpacing w:val="0"/>
        <w:jc w:val="left"/>
        <w:rPr>
          <w:b/>
          <w:bCs/>
          <w:i/>
          <w:iCs/>
          <w:lang w:val="fr-CH"/>
        </w:rPr>
      </w:pPr>
      <w:r>
        <w:rPr>
          <w:b/>
          <w:bCs/>
          <w:i/>
          <w:iCs/>
          <w:lang w:val="fr-FR"/>
        </w:rPr>
        <w:t>Domaines nécessitant une formation du personnel des NMHS</w:t>
      </w:r>
    </w:p>
    <w:p w14:paraId="4372C148" w14:textId="77777777" w:rsidR="00030714" w:rsidRPr="00497CFD" w:rsidRDefault="00030714" w:rsidP="00030714">
      <w:pPr>
        <w:tabs>
          <w:tab w:val="clear" w:pos="1134"/>
        </w:tabs>
        <w:autoSpaceDE w:val="0"/>
        <w:autoSpaceDN w:val="0"/>
        <w:adjustRightInd w:val="0"/>
        <w:spacing w:before="120"/>
        <w:jc w:val="left"/>
        <w:rPr>
          <w:rFonts w:eastAsia="MS Mincho" w:cs="StoneSansITC-Medium"/>
          <w:lang w:val="fr-CH"/>
        </w:rPr>
      </w:pPr>
      <w:r>
        <w:rPr>
          <w:lang w:val="fr-FR"/>
        </w:rPr>
        <w:t>Les thèmes de formation prioritaires à l'échelle mondiale sont les mêmes dans les enquêtes de 2017 et de 2021.</w:t>
      </w:r>
    </w:p>
    <w:p w14:paraId="246DB442" w14:textId="7C8E647A" w:rsidR="00030714" w:rsidRPr="00497CFD"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Les domaines nécessitant le plus de formation, selon les répondants aux deux enquêtes, sont la prévision météorologique, les services climatiques, la modélisation atmosphérique et la prévision numérique du temps (PNT), l'instrumentation/observation et l'hydrologie/hydrométéorologie.</w:t>
      </w:r>
    </w:p>
    <w:p w14:paraId="1FA91E4C" w14:textId="7DB18597" w:rsidR="00030714" w:rsidRPr="00497CFD"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rPr>
          <w:rFonts w:eastAsia="MS Mincho" w:cs="StoneSansITC-Medium"/>
          <w:lang w:val="fr-CH"/>
        </w:rPr>
      </w:pPr>
      <w:r>
        <w:rPr>
          <w:lang w:val="fr-FR"/>
        </w:rPr>
        <w:t>L'agrométéorologie est également importante; Météorologie aéronautique; Compétences en matière de gestion et d'administration, et TI, informatique et traitement des données</w:t>
      </w:r>
    </w:p>
    <w:p w14:paraId="35FC06AD" w14:textId="015BB438" w:rsidR="00030714" w:rsidRPr="00497CFD" w:rsidRDefault="00030714" w:rsidP="00537D18">
      <w:pPr>
        <w:pStyle w:val="ListParagraph"/>
        <w:numPr>
          <w:ilvl w:val="0"/>
          <w:numId w:val="5"/>
        </w:numPr>
        <w:tabs>
          <w:tab w:val="clear" w:pos="1134"/>
        </w:tabs>
        <w:autoSpaceDE w:val="0"/>
        <w:autoSpaceDN w:val="0"/>
        <w:adjustRightInd w:val="0"/>
        <w:spacing w:before="120"/>
        <w:ind w:left="567" w:hanging="567"/>
        <w:contextualSpacing w:val="0"/>
        <w:jc w:val="left"/>
        <w:rPr>
          <w:lang w:val="fr-CH"/>
        </w:rPr>
      </w:pPr>
      <w:r>
        <w:rPr>
          <w:lang w:val="fr-FR"/>
        </w:rPr>
        <w:t>La météorologie marine et l'océanographie figurent également parmi les thèmes de formation les plus importants selon les répondants à l'enquête 2021</w:t>
      </w:r>
    </w:p>
    <w:p w14:paraId="2098F61D" w14:textId="77777777" w:rsidR="00030714" w:rsidRPr="00497CFD" w:rsidRDefault="00030714" w:rsidP="00030714">
      <w:pPr>
        <w:tabs>
          <w:tab w:val="clear" w:pos="1134"/>
        </w:tabs>
        <w:autoSpaceDE w:val="0"/>
        <w:autoSpaceDN w:val="0"/>
        <w:adjustRightInd w:val="0"/>
        <w:jc w:val="center"/>
        <w:rPr>
          <w:lang w:val="fr-CH"/>
        </w:rPr>
      </w:pPr>
    </w:p>
    <w:p w14:paraId="27267327" w14:textId="77777777" w:rsidR="00030714" w:rsidRDefault="00030714" w:rsidP="00030714">
      <w:pPr>
        <w:tabs>
          <w:tab w:val="clear" w:pos="1134"/>
        </w:tabs>
        <w:autoSpaceDE w:val="0"/>
        <w:autoSpaceDN w:val="0"/>
        <w:adjustRightInd w:val="0"/>
        <w:jc w:val="center"/>
      </w:pPr>
      <w:r w:rsidRPr="0037536C">
        <w:rPr>
          <w:noProof/>
        </w:rPr>
        <w:drawing>
          <wp:inline distT="0" distB="0" distL="0" distR="0" wp14:anchorId="6AF34EB9" wp14:editId="131FFD94">
            <wp:extent cx="3778250" cy="2516056"/>
            <wp:effectExtent l="0" t="0" r="0" b="0"/>
            <wp:docPr id="1289313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0907" cy="2517825"/>
                    </a:xfrm>
                    <a:prstGeom prst="rect">
                      <a:avLst/>
                    </a:prstGeom>
                    <a:noFill/>
                    <a:ln>
                      <a:noFill/>
                    </a:ln>
                  </pic:spPr>
                </pic:pic>
              </a:graphicData>
            </a:graphic>
          </wp:inline>
        </w:drawing>
      </w:r>
    </w:p>
    <w:p w14:paraId="091C76FD" w14:textId="77777777" w:rsidR="00030714" w:rsidRPr="00CE068A" w:rsidRDefault="00030714" w:rsidP="0052577F">
      <w:pPr>
        <w:pStyle w:val="Heading3"/>
        <w:numPr>
          <w:ilvl w:val="0"/>
          <w:numId w:val="9"/>
        </w:numPr>
        <w:ind w:left="567" w:hanging="567"/>
      </w:pPr>
      <w:r>
        <w:rPr>
          <w:lang w:val="fr-FR"/>
        </w:rPr>
        <w:t>Mise en œuvre des compétences</w:t>
      </w:r>
    </w:p>
    <w:p w14:paraId="240D76E4" w14:textId="676AFD70" w:rsidR="00030714" w:rsidRPr="00497CFD" w:rsidRDefault="00030714" w:rsidP="00030714">
      <w:pPr>
        <w:tabs>
          <w:tab w:val="clear" w:pos="1134"/>
        </w:tabs>
        <w:autoSpaceDE w:val="0"/>
        <w:autoSpaceDN w:val="0"/>
        <w:adjustRightInd w:val="0"/>
        <w:spacing w:before="120"/>
        <w:jc w:val="left"/>
        <w:rPr>
          <w:lang w:val="fr-CH"/>
        </w:rPr>
      </w:pPr>
      <w:r>
        <w:rPr>
          <w:lang w:val="fr-FR"/>
        </w:rPr>
        <w:t>Cette information est inquiétante, au moins pour la météorologie aéronautique, pour laquelle la mise en œuvre des compétences est obligatoire depuis 2013, le pourcentage de mise en œuvre est encore faible dans la Région VI.</w:t>
      </w:r>
    </w:p>
    <w:p w14:paraId="3396DE66" w14:textId="77777777" w:rsidR="00030714" w:rsidRDefault="00030714" w:rsidP="00030714">
      <w:pPr>
        <w:tabs>
          <w:tab w:val="clear" w:pos="1134"/>
        </w:tabs>
        <w:autoSpaceDE w:val="0"/>
        <w:autoSpaceDN w:val="0"/>
        <w:adjustRightInd w:val="0"/>
        <w:spacing w:before="120"/>
        <w:jc w:val="center"/>
      </w:pPr>
      <w:r>
        <w:rPr>
          <w:noProof/>
        </w:rPr>
        <w:lastRenderedPageBreak/>
        <w:drawing>
          <wp:inline distT="0" distB="0" distL="0" distR="0" wp14:anchorId="4D4FDFAC" wp14:editId="0C449936">
            <wp:extent cx="4429125" cy="2981325"/>
            <wp:effectExtent l="0" t="0" r="9525" b="9525"/>
            <wp:docPr id="130853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7158" name=""/>
                    <pic:cNvPicPr/>
                  </pic:nvPicPr>
                  <pic:blipFill>
                    <a:blip r:embed="rId20"/>
                    <a:stretch>
                      <a:fillRect/>
                    </a:stretch>
                  </pic:blipFill>
                  <pic:spPr>
                    <a:xfrm>
                      <a:off x="0" y="0"/>
                      <a:ext cx="4429125" cy="2981325"/>
                    </a:xfrm>
                    <a:prstGeom prst="rect">
                      <a:avLst/>
                    </a:prstGeom>
                  </pic:spPr>
                </pic:pic>
              </a:graphicData>
            </a:graphic>
          </wp:inline>
        </w:drawing>
      </w:r>
    </w:p>
    <w:p w14:paraId="3DDEB32A" w14:textId="77777777" w:rsidR="00030714" w:rsidRPr="00497CFD" w:rsidRDefault="00030714" w:rsidP="0052577F">
      <w:pPr>
        <w:pStyle w:val="Heading3"/>
        <w:numPr>
          <w:ilvl w:val="0"/>
          <w:numId w:val="9"/>
        </w:numPr>
        <w:ind w:left="567" w:hanging="567"/>
        <w:rPr>
          <w:i/>
          <w:iCs/>
          <w:lang w:val="fr-CH"/>
        </w:rPr>
      </w:pPr>
      <w:r>
        <w:rPr>
          <w:lang w:val="fr-FR"/>
        </w:rPr>
        <w:t>Mise en œuvre des modules de formation de base pour les météorologues et les techniciens en météorologie</w:t>
      </w:r>
    </w:p>
    <w:p w14:paraId="238C305F" w14:textId="7041FEEA" w:rsidR="00030714" w:rsidRPr="00497CFD" w:rsidRDefault="00030714" w:rsidP="00030714">
      <w:pPr>
        <w:pStyle w:val="WMOBodyText"/>
        <w:spacing w:before="120"/>
        <w:rPr>
          <w:lang w:val="fr-CH"/>
        </w:rPr>
      </w:pPr>
      <w:r>
        <w:rPr>
          <w:lang w:val="fr-FR"/>
        </w:rPr>
        <w:t>Les nouveaux BIP-M et BIP-MT ont été approuvés par le Congrès en 2023.</w:t>
      </w:r>
    </w:p>
    <w:p w14:paraId="54286562" w14:textId="77777777" w:rsidR="00030714" w:rsidRPr="00497CFD" w:rsidRDefault="00030714" w:rsidP="00030714">
      <w:pPr>
        <w:pStyle w:val="WMOBodyText"/>
        <w:spacing w:before="120"/>
        <w:rPr>
          <w:rStyle w:val="eop"/>
          <w:color w:val="000000"/>
          <w:shd w:val="clear" w:color="auto" w:fill="FFFFFF"/>
          <w:lang w:val="fr-CH"/>
        </w:rPr>
      </w:pPr>
      <w:r>
        <w:rPr>
          <w:lang w:val="fr-FR"/>
        </w:rPr>
        <w:t xml:space="preserve">Le Guide pour l'application des normes d'éducation et de formation en météorologie et en hydrologie (OMM-N° 1083) présente le BIP-M et le BIP-MT, établissant une compréhension commune des qualifications requises pour que les individus soient reconnus comme météorologues ou comme techniciens en météorologie, tels que définis dans le Règlement technique, Volume I : Normes météorologiques générales et pratiques recommandées (OMM-N° 49). Il fournit également des conseils aux SMHN pour établir les classifications de leur personnel et les programmes de formation afin de les mettre en conformité avec les normes internationales. </w:t>
      </w:r>
    </w:p>
    <w:p w14:paraId="2CC63546" w14:textId="77777777" w:rsidR="00030714" w:rsidRPr="00497CFD" w:rsidRDefault="00030714" w:rsidP="00030714">
      <w:pPr>
        <w:pStyle w:val="WMOBodyText"/>
        <w:spacing w:before="120"/>
        <w:rPr>
          <w:rStyle w:val="eop"/>
          <w:color w:val="000000"/>
          <w:lang w:val="fr-CH"/>
        </w:rPr>
      </w:pPr>
      <w:r>
        <w:rPr>
          <w:lang w:val="fr-FR"/>
        </w:rPr>
        <w:t>Les nouveaux BIP sont plus souples dans leur mise en œuvre et établissent un lien étroit avec le Compendium des cadres de compétences de l'OMM (OMM-N° 1209). Les BIP décrivent les connaissances sous-jacentes permettant d'acquérir des compétences communes à tous les professionnels des catégories décrites, qu'ils peuvent utiliser comme plate-forme pour développer les compétences nécessaires à des rôles spécifiques et continuer à apprendre tout au long de leur carrière, et font référence aux cadres de compétences pour les besoins de la formation spécialisée.</w:t>
      </w:r>
    </w:p>
    <w:p w14:paraId="4AF67BA5" w14:textId="77777777" w:rsidR="00030714" w:rsidRPr="00497CFD" w:rsidRDefault="00030714" w:rsidP="0052577F">
      <w:pPr>
        <w:pStyle w:val="Heading3"/>
        <w:numPr>
          <w:ilvl w:val="0"/>
          <w:numId w:val="9"/>
        </w:numPr>
        <w:ind w:left="567" w:hanging="567"/>
        <w:rPr>
          <w:lang w:val="fr-CH"/>
        </w:rPr>
      </w:pPr>
      <w:r>
        <w:rPr>
          <w:lang w:val="fr-FR"/>
        </w:rPr>
        <w:t>Activités des centres régionaux de formation de l'OMM</w:t>
      </w:r>
    </w:p>
    <w:p w14:paraId="6CF25223" w14:textId="77777777" w:rsidR="00030714" w:rsidRPr="00497CFD" w:rsidRDefault="00030714" w:rsidP="00030714">
      <w:pPr>
        <w:pStyle w:val="WMOBodyText"/>
        <w:spacing w:before="120"/>
        <w:rPr>
          <w:rFonts w:cs="Segoe UI"/>
          <w:color w:val="000000"/>
          <w:lang w:val="fr-CH"/>
        </w:rPr>
      </w:pPr>
      <w:r>
        <w:rPr>
          <w:lang w:val="fr-FR"/>
        </w:rPr>
        <w:t>La Région VI bénéficie du soutien de cinq centres régionaux de formation de l'OMM situés en Israël, en Italie, dans la Fédération de Russie, en Espagne et en Turquie. Ces centres ont sept composantes et ont offert environ 260 cours à court terme, à long terme et à distance en 2023, formant environ 900 participants internationaux.</w:t>
      </w:r>
    </w:p>
    <w:p w14:paraId="274609D1" w14:textId="77777777" w:rsidR="00030714" w:rsidRPr="00497CFD" w:rsidRDefault="00030714" w:rsidP="003D15B2">
      <w:pPr>
        <w:pStyle w:val="WMOBodyText"/>
        <w:spacing w:before="120"/>
        <w:rPr>
          <w:rFonts w:cs="Segoe UI"/>
          <w:color w:val="000000"/>
          <w:lang w:val="fr-CH"/>
        </w:rPr>
      </w:pPr>
      <w:r>
        <w:rPr>
          <w:lang w:val="fr-FR"/>
        </w:rPr>
        <w:t xml:space="preserve">Les centres régionaux de formation (CRF) de Turquie et d'Israël ont </w:t>
      </w:r>
      <w:proofErr w:type="gramStart"/>
      <w:r>
        <w:rPr>
          <w:lang w:val="fr-FR"/>
        </w:rPr>
        <w:t>eu</w:t>
      </w:r>
      <w:proofErr w:type="gramEnd"/>
      <w:r>
        <w:rPr>
          <w:lang w:val="fr-FR"/>
        </w:rPr>
        <w:t xml:space="preserve"> des difficultés à organiser des cours l'année dernière, mais ils ont commencé à en proposer cette année. </w:t>
      </w:r>
    </w:p>
    <w:p w14:paraId="44F36F91" w14:textId="77777777" w:rsidR="00030714" w:rsidRPr="00497CFD" w:rsidRDefault="00030714" w:rsidP="00030714">
      <w:pPr>
        <w:pStyle w:val="WMOBodyText"/>
        <w:spacing w:before="120"/>
        <w:rPr>
          <w:rFonts w:cs="Segoe UI"/>
          <w:color w:val="000000"/>
          <w:lang w:val="fr-CH"/>
        </w:rPr>
      </w:pPr>
      <w:r>
        <w:rPr>
          <w:lang w:val="fr-FR"/>
        </w:rPr>
        <w:t>Le RTC en Espagne se concentre principalement sur le BIP-M et les cours de leadership et de gestion, principalement pour les NMHS ibéro-américains.</w:t>
      </w:r>
    </w:p>
    <w:p w14:paraId="4A0BE2F2" w14:textId="77777777" w:rsidR="00030714" w:rsidRPr="00497CFD" w:rsidRDefault="00030714" w:rsidP="00030714">
      <w:pPr>
        <w:pStyle w:val="WMOBodyText"/>
        <w:spacing w:before="120"/>
        <w:rPr>
          <w:rFonts w:cs="Segoe UI"/>
          <w:color w:val="000000"/>
          <w:lang w:val="fr-CH"/>
        </w:rPr>
      </w:pPr>
      <w:r>
        <w:rPr>
          <w:lang w:val="fr-FR"/>
        </w:rPr>
        <w:t>Il convient de souligner qu'en 2023 et 2024, les membres de la région VI n'ont pas demandé de bourses de l'OMM et que les demandes de formation ont été minimes.</w:t>
      </w:r>
    </w:p>
    <w:p w14:paraId="450E2C84" w14:textId="77777777" w:rsidR="00030714" w:rsidRPr="00497CFD" w:rsidRDefault="00030714" w:rsidP="00030714">
      <w:pPr>
        <w:pStyle w:val="WMOBodyText"/>
        <w:spacing w:before="120"/>
        <w:rPr>
          <w:rFonts w:cs="Segoe UI"/>
          <w:color w:val="000000"/>
          <w:lang w:val="fr-CH"/>
        </w:rPr>
      </w:pPr>
      <w:r>
        <w:rPr>
          <w:lang w:val="fr-FR"/>
        </w:rPr>
        <w:lastRenderedPageBreak/>
        <w:t>En 2024, RTC Israël et Türkiye ont fait l'objet d'un examen externe et ont été reconfirmés par EC-78.</w:t>
      </w:r>
    </w:p>
    <w:p w14:paraId="4BCE8C2F" w14:textId="7ACE0C9C" w:rsidR="00030714" w:rsidRPr="00497CFD" w:rsidRDefault="00030714" w:rsidP="000D689A">
      <w:pPr>
        <w:pStyle w:val="WMOBodyText"/>
        <w:spacing w:before="120"/>
        <w:rPr>
          <w:lang w:val="fr-CH"/>
        </w:rPr>
      </w:pPr>
      <w:r>
        <w:rPr>
          <w:lang w:val="fr-FR"/>
        </w:rPr>
        <w:t>Le Compendium des possibilités de bourses de l'OMM met en évidence le soutien apporté dans la région en termes de possibilités d'éducation et de formation autres que celles offertes par les centres régionaux de formation de l'OMM. Les offres proviennent de France (Ecole Nationale de Météorologie), d'Allemagne (Leibniz Universität Hannover), des Pays-Bas (IHE-Delft), de Roumanie (Université de Bucarest), de la Fédération de Russie (RSHU-St Petersburg), et du Royaume-Uni (Université de Reading et Centre européen pour les prévisions météorologiques à moyen terme (CEPMMT)).</w:t>
      </w:r>
    </w:p>
    <w:p w14:paraId="4DE4C4CF" w14:textId="6114BB7F" w:rsidR="00030714" w:rsidRPr="00497CFD" w:rsidRDefault="00030714" w:rsidP="003A3F92">
      <w:pPr>
        <w:pStyle w:val="WMOBodyText"/>
        <w:spacing w:before="120"/>
        <w:rPr>
          <w:rFonts w:cs="Segoe UI"/>
          <w:color w:val="000000"/>
          <w:lang w:val="fr-CH"/>
        </w:rPr>
      </w:pPr>
      <w:r>
        <w:rPr>
          <w:lang w:val="fr-FR"/>
        </w:rPr>
        <w:t>Le soutien financier aux activités d'éducation et de formation provient de différents fonds fiduciaires et programmes de coopération volontaire, tels que le programme de coopération volontaire (PCV) de la France, le programme de coopération volontaire de l'Espagne et le programme de coopération volontaire du Royaume-Uni.</w:t>
      </w:r>
    </w:p>
    <w:p w14:paraId="5C5F1BF4" w14:textId="77777777" w:rsidR="00030714" w:rsidRPr="00497CFD" w:rsidRDefault="00030714" w:rsidP="0052577F">
      <w:pPr>
        <w:pStyle w:val="Heading3"/>
        <w:numPr>
          <w:ilvl w:val="0"/>
          <w:numId w:val="9"/>
        </w:numPr>
        <w:ind w:left="567" w:hanging="567"/>
        <w:rPr>
          <w:lang w:val="fr-CH"/>
        </w:rPr>
      </w:pPr>
      <w:r>
        <w:rPr>
          <w:lang w:val="fr-FR"/>
        </w:rPr>
        <w:t>La nouvelle description du programme d'éducation et de formation de l'OMM</w:t>
      </w:r>
    </w:p>
    <w:p w14:paraId="47C048EA" w14:textId="77777777" w:rsidR="00211F03" w:rsidRPr="00497CFD" w:rsidRDefault="00030714" w:rsidP="000E4A93">
      <w:pPr>
        <w:pStyle w:val="ListParagraph"/>
        <w:tabs>
          <w:tab w:val="clear" w:pos="1134"/>
        </w:tabs>
        <w:kinsoku w:val="0"/>
        <w:overflowPunct w:val="0"/>
        <w:autoSpaceDE w:val="0"/>
        <w:autoSpaceDN w:val="0"/>
        <w:adjustRightInd w:val="0"/>
        <w:spacing w:before="120"/>
        <w:ind w:left="0"/>
        <w:contextualSpacing w:val="0"/>
        <w:jc w:val="left"/>
        <w:rPr>
          <w:rFonts w:eastAsia="Calibri"/>
          <w:lang w:val="fr-CH"/>
        </w:rPr>
      </w:pPr>
      <w:r>
        <w:rPr>
          <w:lang w:val="fr-FR"/>
        </w:rPr>
        <w:t>Une nouvelle description du programme ETRP de l'OMM a été approuvée par le CE-78, et elle contient des exigences actualisées pour le programme, compte tenu de l'évolution des besoins liés au développement de la technologie et au nouveau rôle des ressources humaines, lié à la valeur ajoutée, et des compétences définies du personnel.</w:t>
      </w:r>
    </w:p>
    <w:p w14:paraId="1C9FB2ED" w14:textId="77777777" w:rsidR="00030714" w:rsidRPr="00497CFD" w:rsidRDefault="00030714" w:rsidP="000E4A93">
      <w:pPr>
        <w:pStyle w:val="ListParagraph"/>
        <w:tabs>
          <w:tab w:val="clear" w:pos="1134"/>
        </w:tabs>
        <w:kinsoku w:val="0"/>
        <w:overflowPunct w:val="0"/>
        <w:autoSpaceDE w:val="0"/>
        <w:autoSpaceDN w:val="0"/>
        <w:adjustRightInd w:val="0"/>
        <w:spacing w:before="120"/>
        <w:ind w:left="0"/>
        <w:contextualSpacing w:val="0"/>
        <w:jc w:val="left"/>
        <w:rPr>
          <w:lang w:val="fr-CH"/>
        </w:rPr>
      </w:pPr>
      <w:r>
        <w:rPr>
          <w:lang w:val="fr-FR"/>
        </w:rPr>
        <w:t xml:space="preserve">Selon la nouvelle description, les objectifs généraux de l'ETRP sont les </w:t>
      </w:r>
      <w:proofErr w:type="gramStart"/>
      <w:r>
        <w:rPr>
          <w:lang w:val="fr-FR"/>
        </w:rPr>
        <w:t>suivants:</w:t>
      </w:r>
      <w:proofErr w:type="gramEnd"/>
    </w:p>
    <w:p w14:paraId="359FFCC6"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Aider les SMHN à former du personnel possédant les compétences requises pour fournir les services météorologiques, hydrologiques et environnementaux connexes prescrits par leurs gouvernements et qui les aident à remplir leurs obligations internationales;</w:t>
      </w:r>
    </w:p>
    <w:p w14:paraId="55B10721"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Promouvoir le développement des capacités en aidant les SMHN à atteindre un niveau approprié d'autosuffisance en répondant à leurs besoins en matière d'éducation et de formation et en développant leurs ressources humaines;</w:t>
      </w:r>
    </w:p>
    <w:p w14:paraId="036B569B"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Coordonner les activités d'éducation et de formation au sein de l'OMM afin d'éviter les chevauchements et d'accroître la rentabilité et l'impact des événements d'éducation et de formation en utilisant le savoir-faire et l'expertise du Bureau ETR de l'OMM;</w:t>
      </w:r>
    </w:p>
    <w:p w14:paraId="47E63513"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Soutenir le développement des ressources humaines dans les SMHN par une approche coordonnée et axée sur les priorités, fondée sur les résultats de la mise en œuvre des compétences;</w:t>
      </w:r>
    </w:p>
    <w:p w14:paraId="658EFFA7"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Encourager et soutenir les SMHN dans le développement de leurs propres structures d'apprentissage et renforcer l'échange de connaissances, de ressources et d'expertise en matière de formation;</w:t>
      </w:r>
    </w:p>
    <w:p w14:paraId="39F29D22" w14:textId="77777777" w:rsidR="00030714" w:rsidRPr="00497CFD" w:rsidRDefault="00030714" w:rsidP="000E4A93">
      <w:pPr>
        <w:pStyle w:val="ListParagraph"/>
        <w:numPr>
          <w:ilvl w:val="0"/>
          <w:numId w:val="6"/>
        </w:numPr>
        <w:tabs>
          <w:tab w:val="clear" w:pos="1134"/>
        </w:tabs>
        <w:kinsoku w:val="0"/>
        <w:overflowPunct w:val="0"/>
        <w:autoSpaceDE w:val="0"/>
        <w:autoSpaceDN w:val="0"/>
        <w:adjustRightInd w:val="0"/>
        <w:spacing w:before="120"/>
        <w:ind w:left="567" w:hanging="567"/>
        <w:contextualSpacing w:val="0"/>
        <w:jc w:val="left"/>
        <w:rPr>
          <w:lang w:val="fr-CH"/>
        </w:rPr>
      </w:pPr>
      <w:r>
        <w:rPr>
          <w:lang w:val="fr-FR"/>
        </w:rPr>
        <w:t>Promouvoir une éducation, une formation et une recherche continues de haute qualité afin de maintenir le personnel concerné des membres à jour avec les dernières avancées scientifiques et innovations technologiques et de soutenir les compétences nécessaires.</w:t>
      </w:r>
    </w:p>
    <w:p w14:paraId="2B82F7AC" w14:textId="77777777" w:rsidR="00030714" w:rsidRPr="00497CFD" w:rsidRDefault="00030714" w:rsidP="000E4A93">
      <w:pPr>
        <w:pStyle w:val="WMOBodyText"/>
        <w:spacing w:before="120"/>
        <w:rPr>
          <w:lang w:val="fr-CH"/>
        </w:rPr>
      </w:pPr>
      <w:r>
        <w:rPr>
          <w:lang w:val="fr-FR"/>
        </w:rPr>
        <w:t>D'après les informations fournies par l'enquête et les résultats des réunions régionales, il existe un besoin important de soutien pour la mise en œuvre de l'approche par les compétences. À cet égard, l'Office de l'éducation et de la formation a mis en place des formations de soutien spécifiques.</w:t>
      </w:r>
    </w:p>
    <w:p w14:paraId="5A643E8D" w14:textId="77777777" w:rsidR="00030714" w:rsidRPr="00497CFD" w:rsidRDefault="00030714" w:rsidP="0052577F">
      <w:pPr>
        <w:pStyle w:val="Heading3"/>
        <w:numPr>
          <w:ilvl w:val="0"/>
          <w:numId w:val="9"/>
        </w:numPr>
        <w:ind w:left="567" w:hanging="567"/>
        <w:rPr>
          <w:lang w:val="fr-CH"/>
        </w:rPr>
      </w:pPr>
      <w:r>
        <w:rPr>
          <w:lang w:val="fr-FR"/>
        </w:rPr>
        <w:t>Le cadre de développement des capacités de l'OMM</w:t>
      </w:r>
    </w:p>
    <w:p w14:paraId="52C0827C" w14:textId="77777777" w:rsidR="00030714" w:rsidRPr="00497CFD" w:rsidRDefault="00030714" w:rsidP="00030714">
      <w:pPr>
        <w:pStyle w:val="WMOBodyText"/>
        <w:spacing w:before="120"/>
        <w:rPr>
          <w:rStyle w:val="normaltextrun"/>
          <w:color w:val="000000"/>
          <w:shd w:val="clear" w:color="auto" w:fill="FFFFFF"/>
          <w:lang w:val="fr-CH"/>
        </w:rPr>
      </w:pPr>
      <w:r>
        <w:rPr>
          <w:lang w:val="fr-FR"/>
        </w:rPr>
        <w:t xml:space="preserve">Le cadre révisé de développement des capacités de l'OMM (WCDF) offre l'occasion d'analyser l'évolution du paysage du développement des capacités, d'évaluer les pratiques existantes et futures, et d'apprendre des autres personnes travaillant dans le même domaine. Il devrait également contribuer à la réussite du processus de réforme de l'OMM en introduisant </w:t>
      </w:r>
      <w:r>
        <w:rPr>
          <w:lang w:val="fr-FR"/>
        </w:rPr>
        <w:lastRenderedPageBreak/>
        <w:t>davantage de concentration, d'innovation, de responsabilité et de cohérence dans les actions de développement des capacités de toutes les parties prenantes concernées.</w:t>
      </w:r>
    </w:p>
    <w:p w14:paraId="3E5AB207" w14:textId="77777777" w:rsidR="00030714" w:rsidRDefault="00030714" w:rsidP="00030714">
      <w:pPr>
        <w:pStyle w:val="WMOBodyText"/>
        <w:spacing w:before="120"/>
        <w:rPr>
          <w:rStyle w:val="eop"/>
          <w:color w:val="000000"/>
          <w:shd w:val="clear" w:color="auto" w:fill="FFFFFF"/>
        </w:rPr>
      </w:pPr>
      <w:r w:rsidRPr="00AA7102">
        <w:rPr>
          <w:noProof/>
        </w:rPr>
        <w:drawing>
          <wp:inline distT="0" distB="0" distL="0" distR="0" wp14:anchorId="3EB66A49" wp14:editId="771838CD">
            <wp:extent cx="6120765" cy="3443605"/>
            <wp:effectExtent l="0" t="0" r="0" b="4445"/>
            <wp:docPr id="119673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6120765" cy="3443605"/>
                    </a:xfrm>
                    <a:prstGeom prst="rect">
                      <a:avLst/>
                    </a:prstGeom>
                  </pic:spPr>
                </pic:pic>
              </a:graphicData>
            </a:graphic>
          </wp:inline>
        </w:drawing>
      </w:r>
    </w:p>
    <w:p w14:paraId="386C8E5C" w14:textId="77777777" w:rsidR="00537D18" w:rsidRPr="00497CFD" w:rsidRDefault="00030714" w:rsidP="00030714">
      <w:pPr>
        <w:pStyle w:val="WMOBodyText"/>
        <w:spacing w:before="120"/>
        <w:rPr>
          <w:rStyle w:val="eop"/>
          <w:color w:val="000000"/>
          <w:shd w:val="clear" w:color="auto" w:fill="FFFFFF"/>
          <w:lang w:val="fr-CH"/>
        </w:rPr>
      </w:pPr>
      <w:r>
        <w:rPr>
          <w:lang w:val="fr-FR"/>
        </w:rPr>
        <w:t xml:space="preserve">L'un des principaux développements du CMD est lié à la nécessité de développer les ressources humaines, en soulignant les domaines de résultats clés dans le développement des capacités des ressources humaines : Le WCDF promeut des actions de développement des capacités qui responsabilisent les personnes dans les NMHS et améliorent les processus et la culture de gestion, par le biais de programmes d'éducation et de formation dédiés et durables, à la fois formels et informels, y compris: </w:t>
      </w:r>
    </w:p>
    <w:p w14:paraId="379E34C4"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a) </w:t>
      </w:r>
      <w:r>
        <w:rPr>
          <w:lang w:val="fr-FR"/>
        </w:rPr>
        <w:tab/>
        <w:t xml:space="preserve">Programmes de formation sur la gestion du changement; </w:t>
      </w:r>
    </w:p>
    <w:p w14:paraId="4B5B18C5"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b) </w:t>
      </w:r>
      <w:r>
        <w:rPr>
          <w:lang w:val="fr-FR"/>
        </w:rPr>
        <w:tab/>
        <w:t xml:space="preserve">Offrir de nouvelles possibilités de formation dans les nouveaux domaines des technologies de l'information tels que l'intelligence artificielle/l'apprentissage machine, la technologie cloud, l'utilisation des API et des applications intelligentes, etc; </w:t>
      </w:r>
    </w:p>
    <w:p w14:paraId="00D2280B"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c) </w:t>
      </w:r>
      <w:r>
        <w:rPr>
          <w:lang w:val="fr-FR"/>
        </w:rPr>
        <w:tab/>
        <w:t xml:space="preserve">Améliorer la conformité avec les exigences de l'OMM en matière d'évolution des compétences; </w:t>
      </w:r>
    </w:p>
    <w:p w14:paraId="1956E5BF"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d)</w:t>
      </w:r>
      <w:r>
        <w:rPr>
          <w:lang w:val="fr-FR"/>
        </w:rPr>
        <w:tab/>
        <w:t xml:space="preserve">Renforcement des centres régionaux de formation de l'OMM et de leurs installations, meilleure utilisation de leurs ressources par les Membres et amélioration de la coordination avec les autres centres régionaux de l'OMM; </w:t>
      </w:r>
    </w:p>
    <w:p w14:paraId="35B88942"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e) </w:t>
      </w:r>
      <w:r>
        <w:rPr>
          <w:lang w:val="fr-FR"/>
        </w:rPr>
        <w:tab/>
        <w:t xml:space="preserve">Renforcer les partenariats avec les établissements d'enseignement nationaux et internationaux; </w:t>
      </w:r>
    </w:p>
    <w:p w14:paraId="03768927" w14:textId="77777777" w:rsidR="00537D18"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f) </w:t>
      </w:r>
      <w:r>
        <w:rPr>
          <w:lang w:val="fr-FR"/>
        </w:rPr>
        <w:tab/>
        <w:t xml:space="preserve">Des modalités de formation efficaces basées sur les technologies modernes; </w:t>
      </w:r>
    </w:p>
    <w:p w14:paraId="757842A1" w14:textId="77777777" w:rsidR="00030714" w:rsidRPr="00497CFD" w:rsidRDefault="00030714" w:rsidP="00537D18">
      <w:pPr>
        <w:pStyle w:val="WMOBodyText"/>
        <w:spacing w:before="120"/>
        <w:ind w:left="1134" w:hanging="567"/>
        <w:rPr>
          <w:rStyle w:val="eop"/>
          <w:color w:val="000000"/>
          <w:shd w:val="clear" w:color="auto" w:fill="FFFFFF"/>
          <w:lang w:val="fr-CH"/>
        </w:rPr>
      </w:pPr>
      <w:r>
        <w:rPr>
          <w:lang w:val="fr-FR"/>
        </w:rPr>
        <w:t xml:space="preserve">g) </w:t>
      </w:r>
      <w:r>
        <w:rPr>
          <w:lang w:val="fr-FR"/>
        </w:rPr>
        <w:tab/>
        <w:t>Promouvoir des parcours de carrière attrayants, ainsi que la reconnaissance et la récompense des réalisations.</w:t>
      </w:r>
    </w:p>
    <w:p w14:paraId="21A113CD" w14:textId="77777777" w:rsidR="00030714" w:rsidRPr="00497CFD" w:rsidRDefault="00030714" w:rsidP="00030714">
      <w:pPr>
        <w:pStyle w:val="WMOBodyText"/>
        <w:spacing w:before="120"/>
        <w:rPr>
          <w:rStyle w:val="eop"/>
          <w:color w:val="000000"/>
          <w:shd w:val="clear" w:color="auto" w:fill="FFFFFF"/>
          <w:lang w:val="fr-CH"/>
        </w:rPr>
      </w:pPr>
      <w:r>
        <w:rPr>
          <w:lang w:val="fr-FR"/>
        </w:rPr>
        <w:t xml:space="preserve">Le groupe d'experts sur le développement des capacités de la CE fournit des conseils sur la mise en œuvre et élabore des exemples authentiques de mise en œuvre. </w:t>
      </w:r>
    </w:p>
    <w:p w14:paraId="3B8155F2" w14:textId="77777777" w:rsidR="00030714" w:rsidRPr="00497CFD" w:rsidRDefault="00030714" w:rsidP="00030714">
      <w:pPr>
        <w:pStyle w:val="WMOBodyText"/>
        <w:spacing w:before="120"/>
        <w:rPr>
          <w:rStyle w:val="eop"/>
          <w:color w:val="000000"/>
          <w:shd w:val="clear" w:color="auto" w:fill="FFFFFF"/>
          <w:lang w:val="fr-CH"/>
        </w:rPr>
      </w:pPr>
      <w:r>
        <w:rPr>
          <w:lang w:val="fr-FR"/>
        </w:rPr>
        <w:t xml:space="preserve">Parmi les objectifs du Programme de développement des capacités récemment révisé (approuvé par le CE-78), l'un d'entre eux est de garder le WCDF à l'étude et de proposer des mises à jour et des ajustements si nécessaire, et de s'assurer que la communication du WCDF et de la politique de l'OMM en matière d'égalité entre les sexes aux parties prenantes </w:t>
      </w:r>
      <w:r>
        <w:rPr>
          <w:lang w:val="fr-FR"/>
        </w:rPr>
        <w:lastRenderedPageBreak/>
        <w:t>concernées est effectivement entreprise, en rendant compte au CE de l'adoption et de l'utilisation de cette politique.</w:t>
      </w:r>
    </w:p>
    <w:p w14:paraId="6BCB00C6" w14:textId="77777777" w:rsidR="00030714" w:rsidRDefault="00030714" w:rsidP="0052577F">
      <w:pPr>
        <w:pStyle w:val="Heading3"/>
        <w:numPr>
          <w:ilvl w:val="0"/>
          <w:numId w:val="9"/>
        </w:numPr>
        <w:ind w:left="567" w:hanging="567"/>
      </w:pPr>
      <w:r>
        <w:rPr>
          <w:lang w:val="fr-FR"/>
        </w:rPr>
        <w:t>Conclusions</w:t>
      </w:r>
    </w:p>
    <w:p w14:paraId="65E9A04B" w14:textId="77777777" w:rsidR="00030714" w:rsidRPr="00497CFD" w:rsidRDefault="00030714" w:rsidP="00030714">
      <w:pPr>
        <w:pStyle w:val="WMOBodyText"/>
        <w:rPr>
          <w:lang w:val="fr-CH"/>
        </w:rPr>
      </w:pPr>
      <w:r>
        <w:rPr>
          <w:lang w:val="fr-FR"/>
        </w:rPr>
        <w:t xml:space="preserve">Une communication accrue avec le secrétariat de l'OMM est nécessaire pour identifier les besoins en matière d'éducation et de formation ainsi que le soutien et les conseils qui peuvent être apportés. </w:t>
      </w:r>
    </w:p>
    <w:p w14:paraId="4EB73A88" w14:textId="77777777" w:rsidR="00030714" w:rsidRPr="00497CFD" w:rsidRDefault="00030714" w:rsidP="00030714">
      <w:pPr>
        <w:pStyle w:val="WMOBodyText"/>
        <w:rPr>
          <w:lang w:val="fr-CH"/>
        </w:rPr>
      </w:pPr>
      <w:r>
        <w:rPr>
          <w:lang w:val="fr-FR"/>
        </w:rPr>
        <w:t>Il existe des disparités entre les membres de la région en ce qui concerne les besoins de formation, les BIP et la mise en œuvre des compétences.</w:t>
      </w:r>
    </w:p>
    <w:p w14:paraId="664D52B7" w14:textId="77777777" w:rsidR="00030714" w:rsidRPr="00497CFD" w:rsidRDefault="00030714" w:rsidP="00030714">
      <w:pPr>
        <w:pStyle w:val="WMOBodyText"/>
        <w:rPr>
          <w:lang w:val="fr-CH"/>
        </w:rPr>
      </w:pPr>
      <w:r>
        <w:rPr>
          <w:lang w:val="fr-FR"/>
        </w:rPr>
        <w:t>Le Secrétariat doit apporter un soutien accru à la mise en œuvre de l'approche par les compétences et au développement des capacités des ressources humaines.</w:t>
      </w:r>
    </w:p>
    <w:p w14:paraId="3F6B121E" w14:textId="77777777" w:rsidR="00B7445B" w:rsidRPr="00497CFD" w:rsidRDefault="00B7445B" w:rsidP="00030714">
      <w:pPr>
        <w:pStyle w:val="WMOBodyText"/>
        <w:rPr>
          <w:lang w:val="fr-CH" w:eastAsia="en-US"/>
        </w:rPr>
      </w:pPr>
    </w:p>
    <w:sectPr w:rsidR="00B7445B" w:rsidRPr="00497CFD" w:rsidSect="00537D18">
      <w:headerReference w:type="even" r:id="rId23"/>
      <w:headerReference w:type="default" r:id="rId24"/>
      <w:headerReference w:type="first" r:id="rId25"/>
      <w:pgSz w:w="11907" w:h="16840" w:code="9"/>
      <w:pgMar w:top="1134" w:right="1134" w:bottom="851"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04DC4" w14:textId="77777777" w:rsidR="00CC481E" w:rsidRDefault="00CC481E">
      <w:r>
        <w:separator/>
      </w:r>
    </w:p>
    <w:p w14:paraId="19242E13" w14:textId="77777777" w:rsidR="00CC481E" w:rsidRDefault="00CC481E"/>
    <w:p w14:paraId="1C084886" w14:textId="77777777" w:rsidR="00CC481E" w:rsidRDefault="00CC481E"/>
  </w:endnote>
  <w:endnote w:type="continuationSeparator" w:id="0">
    <w:p w14:paraId="2F3F3312" w14:textId="77777777" w:rsidR="00CC481E" w:rsidRDefault="00CC481E">
      <w:r>
        <w:continuationSeparator/>
      </w:r>
    </w:p>
    <w:p w14:paraId="26970020" w14:textId="77777777" w:rsidR="00CC481E" w:rsidRDefault="00CC481E"/>
    <w:p w14:paraId="09EC8327" w14:textId="77777777" w:rsidR="00CC481E" w:rsidRDefault="00CC481E"/>
  </w:endnote>
  <w:endnote w:type="continuationNotice" w:id="1">
    <w:p w14:paraId="539AE062" w14:textId="77777777" w:rsidR="00CC481E" w:rsidRDefault="00CC48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toneSansITC-Medium">
    <w:altName w:val="Calibri"/>
    <w:panose1 w:val="020B0602030503020204"/>
    <w:charset w:val="00"/>
    <w:family w:val="swiss"/>
    <w:notTrueType/>
    <w:pitch w:val="default"/>
    <w:sig w:usb0="00000003" w:usb1="00000000" w:usb2="00000000" w:usb3="00000000" w:csb0="00000001" w:csb1="00000000"/>
  </w:font>
  <w:font w:name="StoneSansITC-MediumItalic">
    <w:altName w:val="Calibri"/>
    <w:panose1 w:val="020B060203050309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5DD11" w14:textId="77777777" w:rsidR="00CC481E" w:rsidRDefault="00CC481E">
      <w:r>
        <w:separator/>
      </w:r>
    </w:p>
  </w:footnote>
  <w:footnote w:type="continuationSeparator" w:id="0">
    <w:p w14:paraId="3171B8E2" w14:textId="77777777" w:rsidR="00CC481E" w:rsidRDefault="00CC481E">
      <w:r>
        <w:continuationSeparator/>
      </w:r>
    </w:p>
    <w:p w14:paraId="72CE8047" w14:textId="77777777" w:rsidR="00CC481E" w:rsidRDefault="00CC481E"/>
    <w:p w14:paraId="771C1D40" w14:textId="77777777" w:rsidR="00CC481E" w:rsidRDefault="00CC481E"/>
  </w:footnote>
  <w:footnote w:type="continuationNotice" w:id="1">
    <w:p w14:paraId="3302B8E0" w14:textId="77777777" w:rsidR="00CC481E" w:rsidRDefault="00CC48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F7A9" w14:textId="77777777" w:rsidR="0058783C" w:rsidRDefault="00000000">
    <w:pPr>
      <w:pStyle w:val="Header"/>
    </w:pPr>
    <w:r>
      <w:rPr>
        <w:noProof/>
      </w:rPr>
      <w:pict w14:anchorId="61A3F07F">
        <v:shapetype id="_x0000_m107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94E295A">
        <v:shape id="_x0000_s1041" type="#_x0000_m1070" style="position:absolute;left:0;text-align:left;margin-left:0;margin-top:0;width:595.3pt;height:550pt;z-index:-2516480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3D6EF81" w14:textId="77777777" w:rsidR="00E85508" w:rsidRDefault="00E85508"/>
  <w:p w14:paraId="07AEEAEE" w14:textId="77777777" w:rsidR="0058783C" w:rsidRDefault="00000000">
    <w:pPr>
      <w:pStyle w:val="Header"/>
    </w:pPr>
    <w:r>
      <w:rPr>
        <w:noProof/>
      </w:rPr>
      <w:pict w14:anchorId="76954D24">
        <v:shapetype id="_x0000_m106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8BD4A0C">
        <v:shape id="_x0000_s1043" type="#_x0000_m1069" style="position:absolute;left:0;text-align:left;margin-left:0;margin-top:0;width:595.3pt;height:550pt;z-index:-2516490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774F60" w14:textId="77777777" w:rsidR="00E85508" w:rsidRDefault="00E85508"/>
  <w:p w14:paraId="682D0870" w14:textId="77777777" w:rsidR="0058783C" w:rsidRDefault="00000000">
    <w:pPr>
      <w:pStyle w:val="Header"/>
    </w:pPr>
    <w:r>
      <w:rPr>
        <w:noProof/>
      </w:rPr>
      <w:pict w14:anchorId="70CEA4D1">
        <v:shapetype id="_x0000_m106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295ECCC">
        <v:shape id="_x0000_s1045" type="#_x0000_m1068" style="position:absolute;left:0;text-align:left;margin-left:0;margin-top:0;width:595.3pt;height:550pt;z-index:-2516500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A9A67A" w14:textId="77777777" w:rsidR="00E85508" w:rsidRDefault="00E85508"/>
  <w:p w14:paraId="61645E79" w14:textId="77777777" w:rsidR="00165162" w:rsidRDefault="00000000">
    <w:pPr>
      <w:pStyle w:val="Header"/>
    </w:pPr>
    <w:r>
      <w:rPr>
        <w:noProof/>
      </w:rPr>
      <w:pict w14:anchorId="0CAA2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0;margin-top:0;width:50pt;height:50pt;z-index:251655168;visibility:hidden">
          <v:path gradientshapeok="f"/>
          <o:lock v:ext="edit" selection="t"/>
        </v:shape>
      </w:pict>
    </w:r>
    <w:r>
      <w:pict w14:anchorId="76866A0D">
        <v:shapetype id="_x0000_m106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D9F644B">
        <v:shape id="WordPictureWatermark835936646" o:spid="_x0000_s1060" type="#_x0000_m1067" style="position:absolute;left:0;text-align:left;margin-left:0;margin-top:0;width:595.3pt;height:550pt;z-index:-2516510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2894516" w14:textId="77777777" w:rsidR="003629BC" w:rsidRDefault="003629BC"/>
  <w:p w14:paraId="472C43DE" w14:textId="77777777" w:rsidR="00607FD4" w:rsidRDefault="00000000">
    <w:pPr>
      <w:pStyle w:val="Header"/>
    </w:pPr>
    <w:r>
      <w:rPr>
        <w:noProof/>
      </w:rPr>
      <w:pict w14:anchorId="06D7568F">
        <v:shape id="_x0000_s1040" type="#_x0000_t75" style="position:absolute;left:0;text-align:left;margin-left:0;margin-top:0;width:50pt;height:50pt;z-index:251661312;visibility:hidden">
          <v:path gradientshapeok="f"/>
          <o:lock v:ext="edit" selection="t"/>
        </v:shape>
      </w:pict>
    </w:r>
    <w:r>
      <w:pict w14:anchorId="0E20601A">
        <v:shape id="_x0000_s1059" type="#_x0000_t75" style="position:absolute;left:0;text-align:left;margin-left:0;margin-top:0;width:50pt;height:50pt;z-index:251656192;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D416" w14:textId="6ED50588" w:rsidR="00A432CD" w:rsidRPr="00856514" w:rsidRDefault="008E5F5B" w:rsidP="00B72444">
    <w:pPr>
      <w:pStyle w:val="Header"/>
      <w:rPr>
        <w:sz w:val="18"/>
        <w:szCs w:val="18"/>
      </w:rPr>
    </w:pPr>
    <w:r w:rsidRPr="00856514">
      <w:rPr>
        <w:sz w:val="18"/>
        <w:szCs w:val="18"/>
      </w:rPr>
      <w:t>RA VI-19(I)/INF. 3.4(3)</w:t>
    </w:r>
    <w:r w:rsidR="00A432CD" w:rsidRPr="00856514">
      <w:rPr>
        <w:sz w:val="18"/>
        <w:szCs w:val="18"/>
      </w:rPr>
      <w:t xml:space="preserve">, p. </w:t>
    </w:r>
    <w:r w:rsidR="00A432CD" w:rsidRPr="00856514">
      <w:rPr>
        <w:rStyle w:val="PageNumber"/>
        <w:sz w:val="18"/>
        <w:szCs w:val="18"/>
      </w:rPr>
      <w:fldChar w:fldCharType="begin"/>
    </w:r>
    <w:r w:rsidR="00A432CD" w:rsidRPr="00856514">
      <w:rPr>
        <w:rStyle w:val="PageNumber"/>
        <w:sz w:val="18"/>
        <w:szCs w:val="18"/>
      </w:rPr>
      <w:instrText xml:space="preserve"> PAGE </w:instrText>
    </w:r>
    <w:r w:rsidR="00A432CD" w:rsidRPr="00856514">
      <w:rPr>
        <w:rStyle w:val="PageNumber"/>
        <w:sz w:val="18"/>
        <w:szCs w:val="18"/>
      </w:rPr>
      <w:fldChar w:fldCharType="separate"/>
    </w:r>
    <w:r w:rsidR="00A432CD" w:rsidRPr="00856514">
      <w:rPr>
        <w:rStyle w:val="PageNumber"/>
        <w:noProof/>
        <w:sz w:val="18"/>
        <w:szCs w:val="18"/>
      </w:rPr>
      <w:t>6</w:t>
    </w:r>
    <w:r w:rsidR="00A432CD" w:rsidRPr="00856514">
      <w:rPr>
        <w:rStyle w:val="PageNumber"/>
        <w:sz w:val="18"/>
        <w:szCs w:val="18"/>
      </w:rPr>
      <w:fldChar w:fldCharType="end"/>
    </w:r>
    <w:r w:rsidR="00000000" w:rsidRPr="00856514">
      <w:rPr>
        <w:sz w:val="18"/>
        <w:szCs w:val="18"/>
      </w:rPr>
      <w:pict w14:anchorId="0B138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0;margin-top:0;width:50pt;height:50pt;z-index:251662336;visibility:hidden;mso-position-horizontal-relative:text;mso-position-vertical-relative:text">
          <v:path gradientshapeok="f"/>
          <o:lock v:ext="edit" selection="t"/>
        </v:shape>
      </w:pict>
    </w:r>
    <w:r w:rsidR="00000000" w:rsidRPr="00856514">
      <w:rPr>
        <w:sz w:val="18"/>
        <w:szCs w:val="18"/>
      </w:rPr>
      <w:pict w14:anchorId="077FAB7A">
        <v:shape id="_x0000_s1036" type="#_x0000_t75" style="position:absolute;left:0;text-align:left;margin-left:0;margin-top:0;width:50pt;height:50pt;z-index:251663360;visibility:hidden;mso-position-horizontal-relative:text;mso-position-vertical-relative:text">
          <v:path gradientshapeok="f"/>
          <o:lock v:ext="edit" selection="t"/>
        </v:shape>
      </w:pict>
    </w:r>
    <w:r w:rsidR="00000000" w:rsidRPr="00856514">
      <w:rPr>
        <w:sz w:val="18"/>
        <w:szCs w:val="18"/>
      </w:rPr>
      <w:pict w14:anchorId="47E2128E">
        <v:shape id="_x0000_s1058" type="#_x0000_t75" style="position:absolute;left:0;text-align:left;margin-left:0;margin-top:0;width:50pt;height:50pt;z-index:251657216;visibility:hidden;mso-position-horizontal-relative:text;mso-position-vertical-relative:text">
          <v:path gradientshapeok="f"/>
          <o:lock v:ext="edit" selection="t"/>
        </v:shape>
      </w:pict>
    </w:r>
    <w:r w:rsidR="00000000" w:rsidRPr="00856514">
      <w:rPr>
        <w:sz w:val="18"/>
        <w:szCs w:val="18"/>
      </w:rPr>
      <w:pict w14:anchorId="46EEA402">
        <v:shape id="_x0000_s1057" type="#_x0000_t75" style="position:absolute;left:0;text-align:left;margin-left:0;margin-top:0;width:50pt;height:50pt;z-index:251658240;visibility:hidden;mso-position-horizontal-relative:text;mso-position-vertical-relative:text">
          <v:path gradientshapeok="f"/>
          <o:lock v:ext="edit" selection="t"/>
        </v:shape>
      </w:pict>
    </w:r>
    <w:r w:rsidR="00000000" w:rsidRPr="00856514">
      <w:rPr>
        <w:sz w:val="18"/>
        <w:szCs w:val="18"/>
      </w:rPr>
      <w:pict w14:anchorId="4C16B313">
        <v:shape id="_x0000_s1066" type="#_x0000_t75" style="position:absolute;left:0;text-align:left;margin-left:0;margin-top:0;width:50pt;height:50pt;z-index:251651072;visibility:hidden;mso-position-horizontal-relative:text;mso-position-vertical-relative:text">
          <v:path gradientshapeok="f"/>
          <o:lock v:ext="edit" selection="t"/>
        </v:shape>
      </w:pict>
    </w:r>
    <w:r w:rsidR="00000000" w:rsidRPr="00856514">
      <w:rPr>
        <w:sz w:val="18"/>
        <w:szCs w:val="18"/>
      </w:rPr>
      <w:pict w14:anchorId="4F17B8A8">
        <v:shape id="_x0000_s1065" type="#_x0000_t75" style="position:absolute;left:0;text-align:left;margin-left:0;margin-top:0;width:50pt;height:50pt;z-index:251652096;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27CC" w14:textId="16C9C0B3" w:rsidR="00607FD4" w:rsidRPr="00CE07EB" w:rsidRDefault="00000000" w:rsidP="00CE07EB">
    <w:pPr>
      <w:pStyle w:val="Header"/>
      <w:spacing w:after="0"/>
      <w:jc w:val="both"/>
      <w:rPr>
        <w:sz w:val="2"/>
        <w:szCs w:val="2"/>
      </w:rPr>
    </w:pPr>
    <w:r w:rsidRPr="00CE07EB">
      <w:rPr>
        <w:noProof/>
        <w:sz w:val="2"/>
        <w:szCs w:val="2"/>
      </w:rPr>
      <w:pict w14:anchorId="7FBED5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0;width:50pt;height:50pt;z-index:251664384;visibility:hidden">
          <v:path gradientshapeok="f"/>
          <o:lock v:ext="edit" selection="t"/>
        </v:shape>
      </w:pict>
    </w:r>
    <w:r w:rsidRPr="00CE07EB">
      <w:rPr>
        <w:sz w:val="2"/>
        <w:szCs w:val="2"/>
      </w:rPr>
      <w:pict w14:anchorId="57050699">
        <v:shape id="_x0000_s1052" type="#_x0000_t75" style="position:absolute;left:0;text-align:left;margin-left:0;margin-top:0;width:50pt;height:50pt;z-index:251659264;visibility:hidden">
          <v:path gradientshapeok="f"/>
          <o:lock v:ext="edit" selection="t"/>
        </v:shape>
      </w:pict>
    </w:r>
    <w:r w:rsidRPr="00CE07EB">
      <w:rPr>
        <w:sz w:val="2"/>
        <w:szCs w:val="2"/>
      </w:rPr>
      <w:pict w14:anchorId="76DB011B">
        <v:shape id="_x0000_s1051" type="#_x0000_t75" style="position:absolute;left:0;text-align:left;margin-left:0;margin-top:0;width:50pt;height:50pt;z-index:251660288;visibility:hidden">
          <v:path gradientshapeok="f"/>
          <o:lock v:ext="edit" selection="t"/>
        </v:shape>
      </w:pict>
    </w:r>
    <w:r w:rsidRPr="00CE07EB">
      <w:rPr>
        <w:sz w:val="2"/>
        <w:szCs w:val="2"/>
      </w:rPr>
      <w:pict w14:anchorId="4AC66DBB">
        <v:shape id="_x0000_s1064" type="#_x0000_t75" style="position:absolute;left:0;text-align:left;margin-left:0;margin-top:0;width:50pt;height:50pt;z-index:251653120;visibility:hidden">
          <v:path gradientshapeok="f"/>
          <o:lock v:ext="edit" selection="t"/>
        </v:shape>
      </w:pict>
    </w:r>
    <w:r w:rsidRPr="00CE07EB">
      <w:rPr>
        <w:sz w:val="2"/>
        <w:szCs w:val="2"/>
      </w:rPr>
      <w:pict w14:anchorId="12BB0616">
        <v:shape id="_x0000_s1063" type="#_x0000_t75" style="position:absolute;left:0;text-align:left;margin-left:0;margin-top:0;width:50pt;height:50pt;z-index:251654144;visibility:hidden">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3674"/>
    <w:multiLevelType w:val="hybridMultilevel"/>
    <w:tmpl w:val="50264B56"/>
    <w:lvl w:ilvl="0" w:tplc="200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C412B13"/>
    <w:multiLevelType w:val="multilevel"/>
    <w:tmpl w:val="3A8EC0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4D248CE"/>
    <w:multiLevelType w:val="hybridMultilevel"/>
    <w:tmpl w:val="AE8476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1AA7453"/>
    <w:multiLevelType w:val="hybridMultilevel"/>
    <w:tmpl w:val="E6CCD8C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BB6AA6"/>
    <w:multiLevelType w:val="multilevel"/>
    <w:tmpl w:val="AC56CC44"/>
    <w:lvl w:ilvl="0">
      <w:start w:val="2"/>
      <w:numFmt w:val="decimal"/>
      <w:lvlText w:val="%1."/>
      <w:lvlJc w:val="left"/>
      <w:pPr>
        <w:ind w:left="720" w:hanging="360"/>
      </w:pPr>
      <w:rPr>
        <w:rFonts w:hint="default"/>
        <w:i w:val="0"/>
        <w:i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B3F2979"/>
    <w:multiLevelType w:val="hybridMultilevel"/>
    <w:tmpl w:val="9B404B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64E33DB"/>
    <w:multiLevelType w:val="multilevel"/>
    <w:tmpl w:val="A3B0054E"/>
    <w:lvl w:ilvl="0">
      <w:start w:val="1"/>
      <w:numFmt w:val="lowerLetter"/>
      <w:lvlText w:val="%1)"/>
      <w:lvlJc w:val="left"/>
      <w:pPr>
        <w:ind w:left="360" w:hanging="360"/>
      </w:pPr>
      <w:rPr>
        <w:rFonts w:hint="default"/>
        <w:b w:val="0"/>
        <w:bCs w:val="0"/>
        <w:i w:val="0"/>
        <w:iCs w:val="0"/>
        <w:color w:val="231F20"/>
        <w:w w:val="105"/>
        <w:sz w:val="22"/>
        <w:szCs w:val="1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60E32D86"/>
    <w:multiLevelType w:val="hybridMultilevel"/>
    <w:tmpl w:val="6696E8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4DC2657"/>
    <w:multiLevelType w:val="hybridMultilevel"/>
    <w:tmpl w:val="261E9AB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020663516">
    <w:abstractNumId w:val="0"/>
  </w:num>
  <w:num w:numId="2" w16cid:durableId="1485462636">
    <w:abstractNumId w:val="8"/>
  </w:num>
  <w:num w:numId="3" w16cid:durableId="1810399135">
    <w:abstractNumId w:val="5"/>
  </w:num>
  <w:num w:numId="4" w16cid:durableId="219362128">
    <w:abstractNumId w:val="3"/>
  </w:num>
  <w:num w:numId="5" w16cid:durableId="1277106311">
    <w:abstractNumId w:val="2"/>
  </w:num>
  <w:num w:numId="6" w16cid:durableId="1077442243">
    <w:abstractNumId w:val="6"/>
  </w:num>
  <w:num w:numId="7" w16cid:durableId="1339120134">
    <w:abstractNumId w:val="7"/>
  </w:num>
  <w:num w:numId="8" w16cid:durableId="761796785">
    <w:abstractNumId w:val="1"/>
  </w:num>
  <w:num w:numId="9" w16cid:durableId="14611515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5B"/>
    <w:rsid w:val="00005301"/>
    <w:rsid w:val="000133EE"/>
    <w:rsid w:val="00017F7F"/>
    <w:rsid w:val="000206A8"/>
    <w:rsid w:val="00027205"/>
    <w:rsid w:val="00027408"/>
    <w:rsid w:val="00030714"/>
    <w:rsid w:val="0003137A"/>
    <w:rsid w:val="00031B63"/>
    <w:rsid w:val="00041171"/>
    <w:rsid w:val="00041727"/>
    <w:rsid w:val="000419D5"/>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E48"/>
    <w:rsid w:val="000A184E"/>
    <w:rsid w:val="000A4F1C"/>
    <w:rsid w:val="000A69BF"/>
    <w:rsid w:val="000B2DE0"/>
    <w:rsid w:val="000C225A"/>
    <w:rsid w:val="000C6781"/>
    <w:rsid w:val="000D0753"/>
    <w:rsid w:val="000D689A"/>
    <w:rsid w:val="000E3B9A"/>
    <w:rsid w:val="000E4A93"/>
    <w:rsid w:val="000E530D"/>
    <w:rsid w:val="000F5E49"/>
    <w:rsid w:val="000F7A87"/>
    <w:rsid w:val="00102EAE"/>
    <w:rsid w:val="001047DC"/>
    <w:rsid w:val="00105D2E"/>
    <w:rsid w:val="00111BFD"/>
    <w:rsid w:val="0011498B"/>
    <w:rsid w:val="00120147"/>
    <w:rsid w:val="00123140"/>
    <w:rsid w:val="00123D94"/>
    <w:rsid w:val="00130BBC"/>
    <w:rsid w:val="00133D13"/>
    <w:rsid w:val="00134BE2"/>
    <w:rsid w:val="00150DBD"/>
    <w:rsid w:val="00154CEF"/>
    <w:rsid w:val="00154EF7"/>
    <w:rsid w:val="00156F9B"/>
    <w:rsid w:val="00163BA3"/>
    <w:rsid w:val="00165162"/>
    <w:rsid w:val="00166B31"/>
    <w:rsid w:val="00167D54"/>
    <w:rsid w:val="00176AB5"/>
    <w:rsid w:val="00180771"/>
    <w:rsid w:val="00184013"/>
    <w:rsid w:val="00190854"/>
    <w:rsid w:val="001923DE"/>
    <w:rsid w:val="001930A3"/>
    <w:rsid w:val="00196EB8"/>
    <w:rsid w:val="001A25F0"/>
    <w:rsid w:val="001A341E"/>
    <w:rsid w:val="001B0EA6"/>
    <w:rsid w:val="001B1CDF"/>
    <w:rsid w:val="001B2EC4"/>
    <w:rsid w:val="001B56F4"/>
    <w:rsid w:val="001C5462"/>
    <w:rsid w:val="001D265C"/>
    <w:rsid w:val="001D3062"/>
    <w:rsid w:val="001D3CFB"/>
    <w:rsid w:val="001D559B"/>
    <w:rsid w:val="001D6302"/>
    <w:rsid w:val="001D749F"/>
    <w:rsid w:val="001E2C22"/>
    <w:rsid w:val="001E740C"/>
    <w:rsid w:val="001E7DD0"/>
    <w:rsid w:val="001F1BDA"/>
    <w:rsid w:val="001F3E4C"/>
    <w:rsid w:val="0020095E"/>
    <w:rsid w:val="00207A2D"/>
    <w:rsid w:val="00210BFE"/>
    <w:rsid w:val="00210D30"/>
    <w:rsid w:val="00211F03"/>
    <w:rsid w:val="002204FD"/>
    <w:rsid w:val="00221020"/>
    <w:rsid w:val="00227029"/>
    <w:rsid w:val="002308B5"/>
    <w:rsid w:val="00233C0B"/>
    <w:rsid w:val="00234A34"/>
    <w:rsid w:val="002448A0"/>
    <w:rsid w:val="00245842"/>
    <w:rsid w:val="0025255D"/>
    <w:rsid w:val="00255EE3"/>
    <w:rsid w:val="00256B3D"/>
    <w:rsid w:val="0026743C"/>
    <w:rsid w:val="00270480"/>
    <w:rsid w:val="00272189"/>
    <w:rsid w:val="002779AF"/>
    <w:rsid w:val="002823D8"/>
    <w:rsid w:val="0028531A"/>
    <w:rsid w:val="00285446"/>
    <w:rsid w:val="00290082"/>
    <w:rsid w:val="00295593"/>
    <w:rsid w:val="002A354F"/>
    <w:rsid w:val="002A386C"/>
    <w:rsid w:val="002A54D3"/>
    <w:rsid w:val="002B09DF"/>
    <w:rsid w:val="002B2D7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36FEB"/>
    <w:rsid w:val="00340C69"/>
    <w:rsid w:val="00342E34"/>
    <w:rsid w:val="003629BC"/>
    <w:rsid w:val="0036535A"/>
    <w:rsid w:val="00371CF1"/>
    <w:rsid w:val="0037222D"/>
    <w:rsid w:val="00373128"/>
    <w:rsid w:val="003750C1"/>
    <w:rsid w:val="00376FCC"/>
    <w:rsid w:val="0038051E"/>
    <w:rsid w:val="00380AF7"/>
    <w:rsid w:val="003924E3"/>
    <w:rsid w:val="00392AF6"/>
    <w:rsid w:val="003938C2"/>
    <w:rsid w:val="00394A05"/>
    <w:rsid w:val="00394D52"/>
    <w:rsid w:val="00396076"/>
    <w:rsid w:val="00397770"/>
    <w:rsid w:val="00397880"/>
    <w:rsid w:val="003A3F92"/>
    <w:rsid w:val="003A7016"/>
    <w:rsid w:val="003A79B8"/>
    <w:rsid w:val="003B0C08"/>
    <w:rsid w:val="003C17A5"/>
    <w:rsid w:val="003C1843"/>
    <w:rsid w:val="003C336B"/>
    <w:rsid w:val="003D1552"/>
    <w:rsid w:val="003D15B2"/>
    <w:rsid w:val="003E381F"/>
    <w:rsid w:val="003E4046"/>
    <w:rsid w:val="003F003A"/>
    <w:rsid w:val="003F125B"/>
    <w:rsid w:val="003F179B"/>
    <w:rsid w:val="003F7B3F"/>
    <w:rsid w:val="004058AD"/>
    <w:rsid w:val="0041078D"/>
    <w:rsid w:val="0041464A"/>
    <w:rsid w:val="00416F97"/>
    <w:rsid w:val="00425173"/>
    <w:rsid w:val="0043039B"/>
    <w:rsid w:val="00432ED0"/>
    <w:rsid w:val="00436197"/>
    <w:rsid w:val="004423FE"/>
    <w:rsid w:val="00445C35"/>
    <w:rsid w:val="00446B37"/>
    <w:rsid w:val="00451C0D"/>
    <w:rsid w:val="00454B41"/>
    <w:rsid w:val="0045663A"/>
    <w:rsid w:val="0046344E"/>
    <w:rsid w:val="004667E7"/>
    <w:rsid w:val="004672CF"/>
    <w:rsid w:val="00470DEF"/>
    <w:rsid w:val="00475797"/>
    <w:rsid w:val="00476D0A"/>
    <w:rsid w:val="00491024"/>
    <w:rsid w:val="0049253B"/>
    <w:rsid w:val="00497CFD"/>
    <w:rsid w:val="004A140B"/>
    <w:rsid w:val="004A372D"/>
    <w:rsid w:val="004A4B47"/>
    <w:rsid w:val="004A7EDD"/>
    <w:rsid w:val="004B0EC9"/>
    <w:rsid w:val="004B7BAA"/>
    <w:rsid w:val="004C2DF7"/>
    <w:rsid w:val="004C4E0B"/>
    <w:rsid w:val="004D13F3"/>
    <w:rsid w:val="004D497E"/>
    <w:rsid w:val="004E4809"/>
    <w:rsid w:val="004E4CC3"/>
    <w:rsid w:val="004E5985"/>
    <w:rsid w:val="004E6352"/>
    <w:rsid w:val="004E6460"/>
    <w:rsid w:val="004F4F8B"/>
    <w:rsid w:val="004F6B46"/>
    <w:rsid w:val="0050425E"/>
    <w:rsid w:val="00507E45"/>
    <w:rsid w:val="00511999"/>
    <w:rsid w:val="0051361C"/>
    <w:rsid w:val="005145D6"/>
    <w:rsid w:val="00521EA5"/>
    <w:rsid w:val="0052577F"/>
    <w:rsid w:val="00525B80"/>
    <w:rsid w:val="0053098F"/>
    <w:rsid w:val="00536B2E"/>
    <w:rsid w:val="00537D18"/>
    <w:rsid w:val="00546D8E"/>
    <w:rsid w:val="00553738"/>
    <w:rsid w:val="00553F7E"/>
    <w:rsid w:val="00554A76"/>
    <w:rsid w:val="0056646F"/>
    <w:rsid w:val="00571566"/>
    <w:rsid w:val="00571AE1"/>
    <w:rsid w:val="00580E7D"/>
    <w:rsid w:val="00581B28"/>
    <w:rsid w:val="005859C2"/>
    <w:rsid w:val="0058783C"/>
    <w:rsid w:val="00592267"/>
    <w:rsid w:val="0059421F"/>
    <w:rsid w:val="005A136D"/>
    <w:rsid w:val="005A64A7"/>
    <w:rsid w:val="005B0AE2"/>
    <w:rsid w:val="005B1F2C"/>
    <w:rsid w:val="005B5F3C"/>
    <w:rsid w:val="005C41F2"/>
    <w:rsid w:val="005D03D9"/>
    <w:rsid w:val="005D1EE8"/>
    <w:rsid w:val="005D2E74"/>
    <w:rsid w:val="005D56AE"/>
    <w:rsid w:val="005D666D"/>
    <w:rsid w:val="005E3A59"/>
    <w:rsid w:val="00604802"/>
    <w:rsid w:val="00607FD4"/>
    <w:rsid w:val="00615AB0"/>
    <w:rsid w:val="00616247"/>
    <w:rsid w:val="0061778C"/>
    <w:rsid w:val="0063469C"/>
    <w:rsid w:val="00636B90"/>
    <w:rsid w:val="0064738B"/>
    <w:rsid w:val="00647EB2"/>
    <w:rsid w:val="006508EA"/>
    <w:rsid w:val="006525E0"/>
    <w:rsid w:val="00667E86"/>
    <w:rsid w:val="0068392D"/>
    <w:rsid w:val="00697DB5"/>
    <w:rsid w:val="006A1B33"/>
    <w:rsid w:val="006A2AFF"/>
    <w:rsid w:val="006A492A"/>
    <w:rsid w:val="006B5C72"/>
    <w:rsid w:val="006B7C5A"/>
    <w:rsid w:val="006C289D"/>
    <w:rsid w:val="006D0310"/>
    <w:rsid w:val="006D2009"/>
    <w:rsid w:val="006D5576"/>
    <w:rsid w:val="006E766D"/>
    <w:rsid w:val="006F4B29"/>
    <w:rsid w:val="006F6CE9"/>
    <w:rsid w:val="0070517C"/>
    <w:rsid w:val="00705C9F"/>
    <w:rsid w:val="00716951"/>
    <w:rsid w:val="00720F6B"/>
    <w:rsid w:val="00730ADA"/>
    <w:rsid w:val="00732C37"/>
    <w:rsid w:val="00735D9E"/>
    <w:rsid w:val="00745A09"/>
    <w:rsid w:val="00751EAF"/>
    <w:rsid w:val="00754CF7"/>
    <w:rsid w:val="00757B0D"/>
    <w:rsid w:val="00757F30"/>
    <w:rsid w:val="00761320"/>
    <w:rsid w:val="0076444E"/>
    <w:rsid w:val="007651B1"/>
    <w:rsid w:val="007666EB"/>
    <w:rsid w:val="00767CE1"/>
    <w:rsid w:val="00771A68"/>
    <w:rsid w:val="00773339"/>
    <w:rsid w:val="00773E9F"/>
    <w:rsid w:val="007744D2"/>
    <w:rsid w:val="00784300"/>
    <w:rsid w:val="00784D37"/>
    <w:rsid w:val="00786136"/>
    <w:rsid w:val="007A5CE5"/>
    <w:rsid w:val="007A6F6B"/>
    <w:rsid w:val="007B05CF"/>
    <w:rsid w:val="007C212A"/>
    <w:rsid w:val="007C2A7F"/>
    <w:rsid w:val="007C4D04"/>
    <w:rsid w:val="007D5B3C"/>
    <w:rsid w:val="007E7D21"/>
    <w:rsid w:val="007E7DBD"/>
    <w:rsid w:val="007F06F3"/>
    <w:rsid w:val="007F482F"/>
    <w:rsid w:val="007F6ABE"/>
    <w:rsid w:val="007F7C94"/>
    <w:rsid w:val="00802016"/>
    <w:rsid w:val="0080398D"/>
    <w:rsid w:val="00805174"/>
    <w:rsid w:val="00806385"/>
    <w:rsid w:val="00807CC5"/>
    <w:rsid w:val="00807ED7"/>
    <w:rsid w:val="00814CC6"/>
    <w:rsid w:val="0082224C"/>
    <w:rsid w:val="00826D53"/>
    <w:rsid w:val="008273AA"/>
    <w:rsid w:val="00831751"/>
    <w:rsid w:val="00833369"/>
    <w:rsid w:val="00835B42"/>
    <w:rsid w:val="00842A4E"/>
    <w:rsid w:val="00846D31"/>
    <w:rsid w:val="00847D99"/>
    <w:rsid w:val="0085038E"/>
    <w:rsid w:val="0085230A"/>
    <w:rsid w:val="00855757"/>
    <w:rsid w:val="00856514"/>
    <w:rsid w:val="00860B9A"/>
    <w:rsid w:val="0086271D"/>
    <w:rsid w:val="0086420B"/>
    <w:rsid w:val="00864DBF"/>
    <w:rsid w:val="00865AE2"/>
    <w:rsid w:val="008663C8"/>
    <w:rsid w:val="0088163A"/>
    <w:rsid w:val="00882450"/>
    <w:rsid w:val="00893376"/>
    <w:rsid w:val="008944C7"/>
    <w:rsid w:val="0089601F"/>
    <w:rsid w:val="008970B8"/>
    <w:rsid w:val="008A5623"/>
    <w:rsid w:val="008A7313"/>
    <w:rsid w:val="008A7D91"/>
    <w:rsid w:val="008B7FC7"/>
    <w:rsid w:val="008C4337"/>
    <w:rsid w:val="008C4F06"/>
    <w:rsid w:val="008D0C90"/>
    <w:rsid w:val="008E1E4A"/>
    <w:rsid w:val="008E5F5B"/>
    <w:rsid w:val="008F0615"/>
    <w:rsid w:val="008F103E"/>
    <w:rsid w:val="008F1FDB"/>
    <w:rsid w:val="008F36FB"/>
    <w:rsid w:val="00902EA9"/>
    <w:rsid w:val="0090427F"/>
    <w:rsid w:val="00920506"/>
    <w:rsid w:val="00930A64"/>
    <w:rsid w:val="00931DEB"/>
    <w:rsid w:val="00933957"/>
    <w:rsid w:val="009356FA"/>
    <w:rsid w:val="00942A77"/>
    <w:rsid w:val="0094603B"/>
    <w:rsid w:val="009504A1"/>
    <w:rsid w:val="00950605"/>
    <w:rsid w:val="00952233"/>
    <w:rsid w:val="00954D66"/>
    <w:rsid w:val="00957CAC"/>
    <w:rsid w:val="00961696"/>
    <w:rsid w:val="00963F8F"/>
    <w:rsid w:val="0096537C"/>
    <w:rsid w:val="00973C62"/>
    <w:rsid w:val="00975D76"/>
    <w:rsid w:val="00982E51"/>
    <w:rsid w:val="009874B9"/>
    <w:rsid w:val="00993581"/>
    <w:rsid w:val="00996706"/>
    <w:rsid w:val="009A288C"/>
    <w:rsid w:val="009A56F5"/>
    <w:rsid w:val="009A64C1"/>
    <w:rsid w:val="009B43F3"/>
    <w:rsid w:val="009B6697"/>
    <w:rsid w:val="009C2B43"/>
    <w:rsid w:val="009C2EA4"/>
    <w:rsid w:val="009C4C04"/>
    <w:rsid w:val="009D5213"/>
    <w:rsid w:val="009E1C95"/>
    <w:rsid w:val="009F196A"/>
    <w:rsid w:val="009F1C86"/>
    <w:rsid w:val="009F669B"/>
    <w:rsid w:val="009F7566"/>
    <w:rsid w:val="009F7F18"/>
    <w:rsid w:val="00A02A72"/>
    <w:rsid w:val="00A06BFE"/>
    <w:rsid w:val="00A10F5D"/>
    <w:rsid w:val="00A1199A"/>
    <w:rsid w:val="00A1243C"/>
    <w:rsid w:val="00A135AE"/>
    <w:rsid w:val="00A14AF1"/>
    <w:rsid w:val="00A16891"/>
    <w:rsid w:val="00A23A1A"/>
    <w:rsid w:val="00A268CE"/>
    <w:rsid w:val="00A332E8"/>
    <w:rsid w:val="00A35AF5"/>
    <w:rsid w:val="00A35DDF"/>
    <w:rsid w:val="00A36CBA"/>
    <w:rsid w:val="00A432CD"/>
    <w:rsid w:val="00A45741"/>
    <w:rsid w:val="00A47EF6"/>
    <w:rsid w:val="00A50291"/>
    <w:rsid w:val="00A530E4"/>
    <w:rsid w:val="00A604CD"/>
    <w:rsid w:val="00A60FE6"/>
    <w:rsid w:val="00A622F5"/>
    <w:rsid w:val="00A652D9"/>
    <w:rsid w:val="00A654BE"/>
    <w:rsid w:val="00A66DD6"/>
    <w:rsid w:val="00A718FE"/>
    <w:rsid w:val="00A75018"/>
    <w:rsid w:val="00A75555"/>
    <w:rsid w:val="00A771FD"/>
    <w:rsid w:val="00A80767"/>
    <w:rsid w:val="00A81C90"/>
    <w:rsid w:val="00A84B75"/>
    <w:rsid w:val="00A850AB"/>
    <w:rsid w:val="00A874EF"/>
    <w:rsid w:val="00A95415"/>
    <w:rsid w:val="00A975AD"/>
    <w:rsid w:val="00AA3C89"/>
    <w:rsid w:val="00AA71EA"/>
    <w:rsid w:val="00AB32BD"/>
    <w:rsid w:val="00AB4723"/>
    <w:rsid w:val="00AC4CDB"/>
    <w:rsid w:val="00AC70FE"/>
    <w:rsid w:val="00AD3AA3"/>
    <w:rsid w:val="00AD4358"/>
    <w:rsid w:val="00AF471E"/>
    <w:rsid w:val="00AF49FF"/>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424D9"/>
    <w:rsid w:val="00B447C0"/>
    <w:rsid w:val="00B52510"/>
    <w:rsid w:val="00B52568"/>
    <w:rsid w:val="00B53E53"/>
    <w:rsid w:val="00B548A2"/>
    <w:rsid w:val="00B56934"/>
    <w:rsid w:val="00B62F03"/>
    <w:rsid w:val="00B72444"/>
    <w:rsid w:val="00B7445B"/>
    <w:rsid w:val="00B7719F"/>
    <w:rsid w:val="00B93B62"/>
    <w:rsid w:val="00B953D1"/>
    <w:rsid w:val="00B96D93"/>
    <w:rsid w:val="00BA30D0"/>
    <w:rsid w:val="00BA4856"/>
    <w:rsid w:val="00BB0D32"/>
    <w:rsid w:val="00BC133C"/>
    <w:rsid w:val="00BC27DC"/>
    <w:rsid w:val="00BC76B5"/>
    <w:rsid w:val="00BD5420"/>
    <w:rsid w:val="00BF47B0"/>
    <w:rsid w:val="00BF5191"/>
    <w:rsid w:val="00C04BD2"/>
    <w:rsid w:val="00C13EEC"/>
    <w:rsid w:val="00C14689"/>
    <w:rsid w:val="00C156A4"/>
    <w:rsid w:val="00C20FAA"/>
    <w:rsid w:val="00C23509"/>
    <w:rsid w:val="00C2459D"/>
    <w:rsid w:val="00C2755A"/>
    <w:rsid w:val="00C316F1"/>
    <w:rsid w:val="00C367DF"/>
    <w:rsid w:val="00C42C95"/>
    <w:rsid w:val="00C4470F"/>
    <w:rsid w:val="00C455B6"/>
    <w:rsid w:val="00C50727"/>
    <w:rsid w:val="00C55E5B"/>
    <w:rsid w:val="00C62739"/>
    <w:rsid w:val="00C673F1"/>
    <w:rsid w:val="00C720A4"/>
    <w:rsid w:val="00C74F59"/>
    <w:rsid w:val="00C7611C"/>
    <w:rsid w:val="00C80F80"/>
    <w:rsid w:val="00C840C5"/>
    <w:rsid w:val="00C94097"/>
    <w:rsid w:val="00CA4269"/>
    <w:rsid w:val="00CA48CA"/>
    <w:rsid w:val="00CA7330"/>
    <w:rsid w:val="00CB1C84"/>
    <w:rsid w:val="00CB5363"/>
    <w:rsid w:val="00CB64F0"/>
    <w:rsid w:val="00CC2909"/>
    <w:rsid w:val="00CC481E"/>
    <w:rsid w:val="00CD0549"/>
    <w:rsid w:val="00CE068A"/>
    <w:rsid w:val="00CE07EB"/>
    <w:rsid w:val="00CE6B3C"/>
    <w:rsid w:val="00CE6B78"/>
    <w:rsid w:val="00CF68C8"/>
    <w:rsid w:val="00D05E6F"/>
    <w:rsid w:val="00D16766"/>
    <w:rsid w:val="00D20296"/>
    <w:rsid w:val="00D2231A"/>
    <w:rsid w:val="00D236E7"/>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4885"/>
    <w:rsid w:val="00D8517B"/>
    <w:rsid w:val="00D87AB0"/>
    <w:rsid w:val="00D91DFA"/>
    <w:rsid w:val="00DA0E5A"/>
    <w:rsid w:val="00DA159A"/>
    <w:rsid w:val="00DB1AB2"/>
    <w:rsid w:val="00DC17C2"/>
    <w:rsid w:val="00DC4FDF"/>
    <w:rsid w:val="00DC66F0"/>
    <w:rsid w:val="00DD2389"/>
    <w:rsid w:val="00DD3105"/>
    <w:rsid w:val="00DD3A65"/>
    <w:rsid w:val="00DD62C6"/>
    <w:rsid w:val="00DE3B92"/>
    <w:rsid w:val="00DE48B4"/>
    <w:rsid w:val="00DE5ACA"/>
    <w:rsid w:val="00DE7137"/>
    <w:rsid w:val="00DF18E4"/>
    <w:rsid w:val="00E00498"/>
    <w:rsid w:val="00E0353F"/>
    <w:rsid w:val="00E13910"/>
    <w:rsid w:val="00E1464C"/>
    <w:rsid w:val="00E14ADB"/>
    <w:rsid w:val="00E22F78"/>
    <w:rsid w:val="00E2425D"/>
    <w:rsid w:val="00E24F87"/>
    <w:rsid w:val="00E2617A"/>
    <w:rsid w:val="00E273FB"/>
    <w:rsid w:val="00E31CD4"/>
    <w:rsid w:val="00E3562C"/>
    <w:rsid w:val="00E448C2"/>
    <w:rsid w:val="00E538E6"/>
    <w:rsid w:val="00E56696"/>
    <w:rsid w:val="00E5754F"/>
    <w:rsid w:val="00E74332"/>
    <w:rsid w:val="00E768A9"/>
    <w:rsid w:val="00E77399"/>
    <w:rsid w:val="00E802A2"/>
    <w:rsid w:val="00E8410F"/>
    <w:rsid w:val="00E85508"/>
    <w:rsid w:val="00E85C0B"/>
    <w:rsid w:val="00EA0436"/>
    <w:rsid w:val="00EA7089"/>
    <w:rsid w:val="00EB0ADE"/>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1B47"/>
    <w:rsid w:val="00F2412D"/>
    <w:rsid w:val="00F25D8D"/>
    <w:rsid w:val="00F3069C"/>
    <w:rsid w:val="00F3603E"/>
    <w:rsid w:val="00F40EBA"/>
    <w:rsid w:val="00F44CCB"/>
    <w:rsid w:val="00F474C9"/>
    <w:rsid w:val="00F5126B"/>
    <w:rsid w:val="00F54EA3"/>
    <w:rsid w:val="00F5780A"/>
    <w:rsid w:val="00F60102"/>
    <w:rsid w:val="00F61675"/>
    <w:rsid w:val="00F6686B"/>
    <w:rsid w:val="00F67F74"/>
    <w:rsid w:val="00F712B3"/>
    <w:rsid w:val="00F71E9F"/>
    <w:rsid w:val="00F73DE3"/>
    <w:rsid w:val="00F744BF"/>
    <w:rsid w:val="00F7632C"/>
    <w:rsid w:val="00F77219"/>
    <w:rsid w:val="00F84DD2"/>
    <w:rsid w:val="00F95439"/>
    <w:rsid w:val="00FA7416"/>
    <w:rsid w:val="00FB0872"/>
    <w:rsid w:val="00FB54CC"/>
    <w:rsid w:val="00FC385B"/>
    <w:rsid w:val="00FC48F6"/>
    <w:rsid w:val="00FD1A37"/>
    <w:rsid w:val="00FD4E5B"/>
    <w:rsid w:val="00FE4EE0"/>
    <w:rsid w:val="00FE68E0"/>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9F86A0"/>
  <w15:docId w15:val="{5081375B-F1CB-41F0-A510-B95E51016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normaltextrun">
    <w:name w:val="normaltextrun"/>
    <w:basedOn w:val="DefaultParagraphFont"/>
    <w:rsid w:val="00030714"/>
  </w:style>
  <w:style w:type="paragraph" w:styleId="ListParagraph">
    <w:name w:val="List Paragraph"/>
    <w:basedOn w:val="Normal"/>
    <w:uiPriority w:val="1"/>
    <w:qFormat/>
    <w:rsid w:val="00030714"/>
    <w:pPr>
      <w:ind w:left="720"/>
      <w:contextualSpacing/>
    </w:pPr>
  </w:style>
  <w:style w:type="character" w:customStyle="1" w:styleId="eop">
    <w:name w:val="eop"/>
    <w:basedOn w:val="DefaultParagraphFont"/>
    <w:rsid w:val="00030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00127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sv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SharedWithUsers xmlns="d34343af-28c4-4431-8b96-d735d539fd00">
      <UserInfo>
        <DisplayName>Andrew Martrich</DisplayName>
        <AccountId>1500</AccountId>
        <AccountType/>
      </UserInfo>
    </SharedWithUsers>
  </documentManagement>
</p:properties>
</file>

<file path=customXml/item2.xml><?xml version="1.0" encoding="utf-8"?>
<b:Sources xmlns:w="http://schemas.openxmlformats.org/wordprocessingml/2006/main" xmlns:r="http://schemas.openxmlformats.org/officeDocument/2006/relationships" xmlns:w15="http://schemas.microsoft.com/office/word/2012/wordml" xmlns:w14="http://schemas.microsoft.com/office/word/2010/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ce21bc6c-711a-4065-a01c-a8f0e29e3ad8"/>
    <ds:schemaRef ds:uri="3679bf0f-1d7e-438f-afa5-6ebf1e20f9b8"/>
  </ds:schemaRefs>
</ds:datastoreItem>
</file>

<file path=customXml/itemProps2.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relationships"/>
    <ds:schemaRef ds:uri="http://schemas.microsoft.com/office/word/2012/wordml"/>
    <ds:schemaRef ds:uri="http://schemas.microsoft.com/office/word/2010/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4303927C-FC35-4197-9F25-52B077992DAE}"/>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2775</Words>
  <Characters>15263</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18002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Natalia Berghi</dc:creator>
  <cp:lastModifiedBy>Geneviève Delajod</cp:lastModifiedBy>
  <cp:revision>34</cp:revision>
  <cp:lastPrinted>2013-03-12T09:27:00Z</cp:lastPrinted>
  <dcterms:created xsi:type="dcterms:W3CDTF">2024-09-19T09:38:00Z</dcterms:created>
  <dcterms:modified xsi:type="dcterms:W3CDTF">2024-09-24T08:59:00Z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jullien.aurelie</vt:lpwstr>
  </property>
  <property fmtid="{D5CDD505-2E9C-101B-9397-08002B2CF9AE}" pid="6" name="GeneratedDate">
    <vt:lpwstr>09/24/2024 07:56:53</vt:lpwstr>
  </property>
  <property fmtid="{D5CDD505-2E9C-101B-9397-08002B2CF9AE}" pid="7" name="OriginalDocID">
    <vt:lpwstr>02eac775-b07d-45ba-a6fa-35b6980a72a3</vt:lpwstr>
  </property>
</Properties>
</file>