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2A29BD" w14:paraId="6B4F24BB" w14:textId="77777777" w:rsidTr="163D43EF">
        <w:trPr>
          <w:trHeight w:val="282"/>
        </w:trPr>
        <w:tc>
          <w:tcPr>
            <w:tcW w:w="500" w:type="dxa"/>
            <w:vMerge w:val="restart"/>
            <w:tcBorders>
              <w:bottom w:val="nil"/>
            </w:tcBorders>
            <w:textDirection w:val="btLr"/>
          </w:tcPr>
          <w:p w14:paraId="39D91328" w14:textId="77777777" w:rsidR="00A80767" w:rsidRPr="002A29BD" w:rsidRDefault="00F075C1" w:rsidP="00826D53">
            <w:pPr>
              <w:tabs>
                <w:tab w:val="clear" w:pos="1134"/>
                <w:tab w:val="left" w:pos="6946"/>
              </w:tabs>
              <w:suppressAutoHyphens/>
              <w:spacing w:after="120" w:line="252" w:lineRule="auto"/>
              <w:ind w:left="175" w:right="113"/>
              <w:jc w:val="right"/>
              <w:rPr>
                <w:color w:val="365F91" w:themeColor="accent1" w:themeShade="BF"/>
                <w:sz w:val="12"/>
                <w:szCs w:val="12"/>
                <w:lang w:val="es-419" w:eastAsia="zh-CN"/>
              </w:rPr>
            </w:pPr>
            <w:r w:rsidRPr="002A29BD">
              <w:rPr>
                <w:color w:val="365F91" w:themeColor="accent1" w:themeShade="BF"/>
                <w:sz w:val="10"/>
                <w:szCs w:val="10"/>
                <w:lang w:val="es-419" w:eastAsia="zh-CN"/>
              </w:rPr>
              <w:t>T</w:t>
            </w:r>
            <w:r w:rsidR="002A29BD">
              <w:rPr>
                <w:color w:val="365F91" w:themeColor="accent1" w:themeShade="BF"/>
                <w:sz w:val="10"/>
                <w:szCs w:val="10"/>
                <w:lang w:val="es-419" w:eastAsia="zh-CN"/>
              </w:rPr>
              <w:t>I</w:t>
            </w:r>
            <w:r w:rsidRPr="002A29BD">
              <w:rPr>
                <w:color w:val="365F91" w:themeColor="accent1" w:themeShade="BF"/>
                <w:sz w:val="10"/>
                <w:szCs w:val="10"/>
                <w:lang w:val="es-419" w:eastAsia="zh-CN"/>
              </w:rPr>
              <w:t>EMP</w:t>
            </w:r>
            <w:r w:rsidR="00472D8C" w:rsidRPr="002A29BD">
              <w:rPr>
                <w:color w:val="365F91" w:themeColor="accent1" w:themeShade="BF"/>
                <w:sz w:val="10"/>
                <w:szCs w:val="10"/>
                <w:lang w:val="es-419" w:eastAsia="zh-CN"/>
              </w:rPr>
              <w:t>O</w:t>
            </w:r>
            <w:r w:rsidRPr="002A29BD">
              <w:rPr>
                <w:color w:val="365F91" w:themeColor="accent1" w:themeShade="BF"/>
                <w:sz w:val="10"/>
                <w:szCs w:val="10"/>
                <w:lang w:val="es-419" w:eastAsia="zh-CN"/>
              </w:rPr>
              <w:t xml:space="preserve"> CLIMA </w:t>
            </w:r>
            <w:r w:rsidR="00472D8C" w:rsidRPr="002A29BD">
              <w:rPr>
                <w:color w:val="365F91" w:themeColor="accent1" w:themeShade="BF"/>
                <w:sz w:val="10"/>
                <w:szCs w:val="10"/>
                <w:lang w:val="es-419" w:eastAsia="zh-CN"/>
              </w:rPr>
              <w:t>AGUA</w:t>
            </w:r>
          </w:p>
        </w:tc>
        <w:tc>
          <w:tcPr>
            <w:tcW w:w="6852" w:type="dxa"/>
            <w:vMerge w:val="restart"/>
          </w:tcPr>
          <w:p w14:paraId="57C0AB5D" w14:textId="77777777" w:rsidR="00A80767" w:rsidRPr="002A29BD" w:rsidRDefault="005E6AA1" w:rsidP="00826D53">
            <w:pPr>
              <w:tabs>
                <w:tab w:val="left" w:pos="6946"/>
              </w:tabs>
              <w:suppressAutoHyphens/>
              <w:spacing w:after="120" w:line="252" w:lineRule="auto"/>
              <w:ind w:left="1134"/>
              <w:jc w:val="left"/>
              <w:rPr>
                <w:rFonts w:cs="Tahoma"/>
                <w:b/>
                <w:bCs/>
                <w:color w:val="365F91" w:themeColor="accent1" w:themeShade="BF"/>
                <w:szCs w:val="22"/>
                <w:lang w:val="es-419"/>
              </w:rPr>
            </w:pPr>
            <w:r w:rsidRPr="002A29BD">
              <w:rPr>
                <w:rFonts w:cs="Tahoma"/>
                <w:b/>
                <w:bCs/>
                <w:color w:val="365F91" w:themeColor="accent1" w:themeShade="BF"/>
                <w:szCs w:val="22"/>
                <w:lang w:val="es-419"/>
              </w:rPr>
              <w:t>Organi</w:t>
            </w:r>
            <w:r w:rsidR="003D423B" w:rsidRPr="002A29BD">
              <w:rPr>
                <w:rFonts w:cs="Tahoma"/>
                <w:b/>
                <w:bCs/>
                <w:color w:val="365F91" w:themeColor="accent1" w:themeShade="BF"/>
                <w:szCs w:val="22"/>
                <w:lang w:val="es-419"/>
              </w:rPr>
              <w:t>zación</w:t>
            </w:r>
            <w:r w:rsidRPr="002A29BD">
              <w:rPr>
                <w:rFonts w:cs="Tahoma"/>
                <w:b/>
                <w:bCs/>
                <w:color w:val="365F91" w:themeColor="accent1" w:themeShade="BF"/>
                <w:szCs w:val="22"/>
                <w:lang w:val="es-419"/>
              </w:rPr>
              <w:t xml:space="preserve"> </w:t>
            </w:r>
            <w:r w:rsidR="00472D8C" w:rsidRPr="002A29BD">
              <w:rPr>
                <w:rFonts w:cs="Tahoma"/>
                <w:b/>
                <w:bCs/>
                <w:color w:val="365F91" w:themeColor="accent1" w:themeShade="BF"/>
                <w:szCs w:val="22"/>
                <w:lang w:val="es-419"/>
              </w:rPr>
              <w:t>M</w:t>
            </w:r>
            <w:r w:rsidR="003D423B" w:rsidRPr="002A29BD">
              <w:rPr>
                <w:rFonts w:cs="Tahoma"/>
                <w:b/>
                <w:bCs/>
                <w:color w:val="365F91" w:themeColor="accent1" w:themeShade="BF"/>
                <w:szCs w:val="22"/>
                <w:lang w:val="es-419"/>
              </w:rPr>
              <w:t xml:space="preserve">eteorológica </w:t>
            </w:r>
            <w:r w:rsidR="00472D8C" w:rsidRPr="002A29BD">
              <w:rPr>
                <w:rFonts w:cs="Tahoma"/>
                <w:b/>
                <w:bCs/>
                <w:color w:val="365F91" w:themeColor="accent1" w:themeShade="BF"/>
                <w:szCs w:val="22"/>
                <w:lang w:val="es-419"/>
              </w:rPr>
              <w:t>M</w:t>
            </w:r>
            <w:r w:rsidR="003D423B" w:rsidRPr="002A29BD">
              <w:rPr>
                <w:rFonts w:cs="Tahoma"/>
                <w:b/>
                <w:bCs/>
                <w:color w:val="365F91" w:themeColor="accent1" w:themeShade="BF"/>
                <w:szCs w:val="22"/>
                <w:lang w:val="es-419"/>
              </w:rPr>
              <w:t>undial</w:t>
            </w:r>
            <w:r w:rsidR="00A80767" w:rsidRPr="002A29BD">
              <w:rPr>
                <w:noProof/>
                <w:color w:val="365F91" w:themeColor="accent1" w:themeShade="BF"/>
                <w:szCs w:val="22"/>
                <w:lang w:val="es-419" w:eastAsia="zh-CN"/>
              </w:rPr>
              <w:drawing>
                <wp:anchor distT="0" distB="0" distL="114300" distR="114300" simplePos="0" relativeHeight="251659264" behindDoc="1" locked="1" layoutInCell="1" allowOverlap="1" wp14:anchorId="701C1639" wp14:editId="008D7C7A">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AF3B7" w14:textId="77777777" w:rsidR="00A80767" w:rsidRPr="002A29BD" w:rsidRDefault="008C11BE" w:rsidP="00826D53">
            <w:pPr>
              <w:tabs>
                <w:tab w:val="left" w:pos="6946"/>
              </w:tabs>
              <w:suppressAutoHyphens/>
              <w:spacing w:after="120" w:line="252" w:lineRule="auto"/>
              <w:ind w:left="1134"/>
              <w:jc w:val="left"/>
              <w:rPr>
                <w:rFonts w:cs="Tahoma"/>
                <w:b/>
                <w:color w:val="365F91" w:themeColor="accent1" w:themeShade="BF"/>
                <w:spacing w:val="-2"/>
                <w:szCs w:val="22"/>
                <w:lang w:val="es-419"/>
              </w:rPr>
            </w:pPr>
            <w:r w:rsidRPr="002A29BD">
              <w:rPr>
                <w:rFonts w:cs="Tahoma"/>
                <w:b/>
                <w:color w:val="365F91" w:themeColor="accent1" w:themeShade="BF"/>
                <w:spacing w:val="-2"/>
                <w:szCs w:val="22"/>
                <w:lang w:val="es-419"/>
              </w:rPr>
              <w:t>ASOCIACIÓN REGIONAL</w:t>
            </w:r>
            <w:r w:rsidR="00BF2233" w:rsidRPr="002A29BD">
              <w:rPr>
                <w:rFonts w:cs="Tahoma"/>
                <w:b/>
                <w:color w:val="365F91" w:themeColor="accent1" w:themeShade="BF"/>
                <w:spacing w:val="-2"/>
                <w:szCs w:val="22"/>
                <w:lang w:val="es-419"/>
              </w:rPr>
              <w:t xml:space="preserve"> </w:t>
            </w:r>
            <w:r w:rsidR="00B24C31" w:rsidRPr="002A29BD">
              <w:rPr>
                <w:rFonts w:cs="Tahoma"/>
                <w:b/>
                <w:color w:val="365F91" w:themeColor="accent1" w:themeShade="BF"/>
                <w:spacing w:val="-2"/>
                <w:szCs w:val="22"/>
                <w:lang w:val="es-419"/>
              </w:rPr>
              <w:t>V</w:t>
            </w:r>
            <w:r w:rsidR="00FD0351" w:rsidRPr="002A29BD">
              <w:rPr>
                <w:rFonts w:cs="Tahoma"/>
                <w:b/>
                <w:color w:val="365F91" w:themeColor="accent1" w:themeShade="BF"/>
                <w:spacing w:val="-2"/>
                <w:szCs w:val="22"/>
                <w:lang w:val="es-419"/>
              </w:rPr>
              <w:t>I (</w:t>
            </w:r>
            <w:r w:rsidR="00B24C31" w:rsidRPr="002A29BD">
              <w:rPr>
                <w:rFonts w:cs="Tahoma"/>
                <w:b/>
                <w:color w:val="365F91" w:themeColor="accent1" w:themeShade="BF"/>
                <w:spacing w:val="-2"/>
                <w:szCs w:val="22"/>
                <w:lang w:val="es-419"/>
              </w:rPr>
              <w:t>EUROPA</w:t>
            </w:r>
            <w:r w:rsidR="00FD0351" w:rsidRPr="002A29BD">
              <w:rPr>
                <w:rFonts w:cs="Tahoma"/>
                <w:b/>
                <w:color w:val="365F91" w:themeColor="accent1" w:themeShade="BF"/>
                <w:spacing w:val="-2"/>
                <w:szCs w:val="22"/>
                <w:lang w:val="es-419"/>
              </w:rPr>
              <w:t>)</w:t>
            </w:r>
          </w:p>
          <w:p w14:paraId="28E480A9" w14:textId="77777777" w:rsidR="00A80767" w:rsidRPr="002A29BD" w:rsidRDefault="00751667" w:rsidP="00826D53">
            <w:pPr>
              <w:tabs>
                <w:tab w:val="left" w:pos="6946"/>
              </w:tabs>
              <w:suppressAutoHyphens/>
              <w:spacing w:after="120" w:line="252" w:lineRule="auto"/>
              <w:ind w:left="1134"/>
              <w:jc w:val="left"/>
              <w:rPr>
                <w:rFonts w:cs="Tahoma"/>
                <w:b/>
                <w:bCs/>
                <w:color w:val="365F91" w:themeColor="accent1" w:themeShade="BF"/>
                <w:szCs w:val="22"/>
                <w:lang w:val="es-419"/>
              </w:rPr>
            </w:pPr>
            <w:r w:rsidRPr="002A29BD">
              <w:rPr>
                <w:rFonts w:cstheme="minorBidi"/>
                <w:b/>
                <w:snapToGrid w:val="0"/>
                <w:color w:val="365F91" w:themeColor="accent1" w:themeShade="BF"/>
                <w:szCs w:val="22"/>
                <w:lang w:val="es-419"/>
              </w:rPr>
              <w:t>D</w:t>
            </w:r>
            <w:r w:rsidR="00BF2233" w:rsidRPr="002A29BD">
              <w:rPr>
                <w:rFonts w:cstheme="minorBidi"/>
                <w:b/>
                <w:snapToGrid w:val="0"/>
                <w:color w:val="365F91" w:themeColor="accent1" w:themeShade="BF"/>
                <w:szCs w:val="22"/>
                <w:lang w:val="es-419"/>
              </w:rPr>
              <w:t>ecimonovena reunión</w:t>
            </w:r>
            <w:r w:rsidR="00EA6A2D" w:rsidRPr="002A29BD">
              <w:rPr>
                <w:rFonts w:cstheme="minorBidi"/>
                <w:b/>
                <w:snapToGrid w:val="0"/>
                <w:color w:val="365F91" w:themeColor="accent1" w:themeShade="BF"/>
                <w:szCs w:val="22"/>
                <w:lang w:val="es-419"/>
              </w:rPr>
              <w:t xml:space="preserve"> (</w:t>
            </w:r>
            <w:r w:rsidR="008C11BE" w:rsidRPr="002A29BD">
              <w:rPr>
                <w:rFonts w:cstheme="minorBidi"/>
                <w:b/>
                <w:snapToGrid w:val="0"/>
                <w:color w:val="365F91" w:themeColor="accent1" w:themeShade="BF"/>
                <w:szCs w:val="22"/>
                <w:lang w:val="es-419"/>
              </w:rPr>
              <w:t xml:space="preserve">primera </w:t>
            </w:r>
            <w:r w:rsidR="00BF2233" w:rsidRPr="002A29BD">
              <w:rPr>
                <w:rFonts w:cstheme="minorBidi"/>
                <w:b/>
                <w:snapToGrid w:val="0"/>
                <w:color w:val="365F91" w:themeColor="accent1" w:themeShade="BF"/>
                <w:szCs w:val="22"/>
                <w:lang w:val="es-419"/>
              </w:rPr>
              <w:t>fa</w:t>
            </w:r>
            <w:r w:rsidR="00EA6A2D" w:rsidRPr="002A29BD">
              <w:rPr>
                <w:rFonts w:cstheme="minorBidi"/>
                <w:b/>
                <w:snapToGrid w:val="0"/>
                <w:color w:val="365F91" w:themeColor="accent1" w:themeShade="BF"/>
                <w:szCs w:val="22"/>
                <w:lang w:val="es-419"/>
              </w:rPr>
              <w:t>se)</w:t>
            </w:r>
            <w:r w:rsidR="00A80767" w:rsidRPr="002A29BD">
              <w:rPr>
                <w:rFonts w:cstheme="minorBidi"/>
                <w:b/>
                <w:snapToGrid w:val="0"/>
                <w:color w:val="365F91" w:themeColor="accent1" w:themeShade="BF"/>
                <w:szCs w:val="22"/>
                <w:lang w:val="es-419"/>
              </w:rPr>
              <w:br/>
            </w:r>
            <w:r w:rsidR="008C11BE" w:rsidRPr="002A29BD">
              <w:rPr>
                <w:snapToGrid w:val="0"/>
                <w:color w:val="365F91" w:themeColor="accent1" w:themeShade="BF"/>
                <w:szCs w:val="22"/>
                <w:lang w:val="es-419"/>
              </w:rPr>
              <w:t xml:space="preserve">Reunión virtual, </w:t>
            </w:r>
            <w:r w:rsidR="00FC2996" w:rsidRPr="002A29BD">
              <w:rPr>
                <w:snapToGrid w:val="0"/>
                <w:color w:val="365F91" w:themeColor="accent1" w:themeShade="BF"/>
                <w:szCs w:val="22"/>
                <w:lang w:val="es-419"/>
              </w:rPr>
              <w:t>1</w:t>
            </w:r>
            <w:r w:rsidR="00B24C31" w:rsidRPr="002A29BD">
              <w:rPr>
                <w:snapToGrid w:val="0"/>
                <w:color w:val="365F91" w:themeColor="accent1" w:themeShade="BF"/>
                <w:szCs w:val="22"/>
                <w:lang w:val="es-419"/>
              </w:rPr>
              <w:t>5</w:t>
            </w:r>
            <w:r w:rsidR="00BF2233" w:rsidRPr="002A29BD">
              <w:rPr>
                <w:snapToGrid w:val="0"/>
                <w:color w:val="365F91" w:themeColor="accent1" w:themeShade="BF"/>
                <w:szCs w:val="22"/>
                <w:lang w:val="es-419"/>
              </w:rPr>
              <w:t xml:space="preserve"> </w:t>
            </w:r>
            <w:r w:rsidR="00B24C31" w:rsidRPr="002A29BD">
              <w:rPr>
                <w:snapToGrid w:val="0"/>
                <w:color w:val="365F91" w:themeColor="accent1" w:themeShade="BF"/>
                <w:szCs w:val="22"/>
                <w:lang w:val="es-419"/>
              </w:rPr>
              <w:t>y</w:t>
            </w:r>
            <w:r w:rsidR="00BF2233" w:rsidRPr="002A29BD">
              <w:rPr>
                <w:snapToGrid w:val="0"/>
                <w:color w:val="365F91" w:themeColor="accent1" w:themeShade="BF"/>
                <w:szCs w:val="22"/>
                <w:lang w:val="es-419"/>
              </w:rPr>
              <w:t xml:space="preserve"> </w:t>
            </w:r>
            <w:r w:rsidR="00FC2996" w:rsidRPr="002A29BD">
              <w:rPr>
                <w:snapToGrid w:val="0"/>
                <w:color w:val="365F91" w:themeColor="accent1" w:themeShade="BF"/>
                <w:szCs w:val="22"/>
                <w:lang w:val="es-419"/>
              </w:rPr>
              <w:t>1</w:t>
            </w:r>
            <w:r w:rsidR="00B24C31" w:rsidRPr="002A29BD">
              <w:rPr>
                <w:snapToGrid w:val="0"/>
                <w:color w:val="365F91" w:themeColor="accent1" w:themeShade="BF"/>
                <w:szCs w:val="22"/>
                <w:lang w:val="es-419"/>
              </w:rPr>
              <w:t>6</w:t>
            </w:r>
            <w:r w:rsidR="00FC2996" w:rsidRPr="002A29BD">
              <w:rPr>
                <w:snapToGrid w:val="0"/>
                <w:color w:val="365F91" w:themeColor="accent1" w:themeShade="BF"/>
                <w:szCs w:val="22"/>
                <w:lang w:val="es-419"/>
              </w:rPr>
              <w:t xml:space="preserve"> </w:t>
            </w:r>
            <w:r w:rsidR="00BF2233" w:rsidRPr="002A29BD">
              <w:rPr>
                <w:snapToGrid w:val="0"/>
                <w:color w:val="365F91" w:themeColor="accent1" w:themeShade="BF"/>
                <w:szCs w:val="22"/>
                <w:lang w:val="es-419"/>
              </w:rPr>
              <w:t xml:space="preserve">de </w:t>
            </w:r>
            <w:r w:rsidR="00B24C31" w:rsidRPr="002A29BD">
              <w:rPr>
                <w:snapToGrid w:val="0"/>
                <w:color w:val="365F91" w:themeColor="accent1" w:themeShade="BF"/>
                <w:szCs w:val="22"/>
                <w:lang w:val="es-419"/>
              </w:rPr>
              <w:t xml:space="preserve">octubre de </w:t>
            </w:r>
            <w:r w:rsidR="00EA6A2D" w:rsidRPr="002A29BD">
              <w:rPr>
                <w:snapToGrid w:val="0"/>
                <w:color w:val="365F91" w:themeColor="accent1" w:themeShade="BF"/>
                <w:szCs w:val="22"/>
                <w:lang w:val="es-419"/>
              </w:rPr>
              <w:t>2024</w:t>
            </w:r>
          </w:p>
        </w:tc>
        <w:tc>
          <w:tcPr>
            <w:tcW w:w="2962" w:type="dxa"/>
          </w:tcPr>
          <w:p w14:paraId="61288A51" w14:textId="0B0D7F0F" w:rsidR="00A80767" w:rsidRPr="00AF363B" w:rsidRDefault="163D43EF" w:rsidP="163D43EF">
            <w:pPr>
              <w:tabs>
                <w:tab w:val="clear" w:pos="1134"/>
              </w:tabs>
              <w:spacing w:after="60"/>
              <w:ind w:right="-108"/>
              <w:jc w:val="right"/>
              <w:rPr>
                <w:rFonts w:cs="Tahoma"/>
                <w:b/>
                <w:bCs/>
                <w:color w:val="365F91" w:themeColor="accent1" w:themeShade="BF"/>
                <w:lang w:val="en-US"/>
              </w:rPr>
            </w:pPr>
            <w:r w:rsidRPr="163D43EF">
              <w:rPr>
                <w:rFonts w:cs="Tahoma"/>
                <w:b/>
                <w:bCs/>
                <w:color w:val="365F91" w:themeColor="accent1" w:themeShade="BF"/>
                <w:lang w:val="en-US"/>
              </w:rPr>
              <w:t>AR VI-19(I)/INF. 3.4(3)</w:t>
            </w:r>
          </w:p>
        </w:tc>
      </w:tr>
      <w:tr w:rsidR="00A80767" w:rsidRPr="00AF363B" w14:paraId="7DD3F887" w14:textId="77777777" w:rsidTr="163D43EF">
        <w:trPr>
          <w:trHeight w:val="730"/>
        </w:trPr>
        <w:tc>
          <w:tcPr>
            <w:tcW w:w="500" w:type="dxa"/>
            <w:vMerge/>
            <w:tcBorders>
              <w:bottom w:val="nil"/>
            </w:tcBorders>
          </w:tcPr>
          <w:p w14:paraId="56411BEF" w14:textId="77777777" w:rsidR="00A80767" w:rsidRPr="00AF363B" w:rsidRDefault="00A80767" w:rsidP="00826D53">
            <w:pPr>
              <w:tabs>
                <w:tab w:val="left" w:pos="6946"/>
              </w:tabs>
              <w:suppressAutoHyphens/>
              <w:spacing w:after="120" w:line="252" w:lineRule="auto"/>
              <w:ind w:left="1134"/>
              <w:jc w:val="left"/>
              <w:rPr>
                <w:color w:val="365F91" w:themeColor="accent1" w:themeShade="BF"/>
                <w:szCs w:val="22"/>
                <w:lang w:val="en-US" w:eastAsia="zh-CN"/>
              </w:rPr>
            </w:pPr>
          </w:p>
        </w:tc>
        <w:tc>
          <w:tcPr>
            <w:tcW w:w="6852" w:type="dxa"/>
            <w:vMerge/>
          </w:tcPr>
          <w:p w14:paraId="1AD97F5C" w14:textId="77777777" w:rsidR="00A80767" w:rsidRPr="00AF363B" w:rsidRDefault="00A80767" w:rsidP="00826D53">
            <w:pPr>
              <w:tabs>
                <w:tab w:val="left" w:pos="6946"/>
              </w:tabs>
              <w:suppressAutoHyphens/>
              <w:spacing w:after="120" w:line="252" w:lineRule="auto"/>
              <w:ind w:left="1134"/>
              <w:jc w:val="left"/>
              <w:rPr>
                <w:color w:val="365F91" w:themeColor="accent1" w:themeShade="BF"/>
                <w:szCs w:val="22"/>
                <w:lang w:val="en-US" w:eastAsia="zh-CN"/>
              </w:rPr>
            </w:pPr>
          </w:p>
        </w:tc>
        <w:tc>
          <w:tcPr>
            <w:tcW w:w="2962" w:type="dxa"/>
          </w:tcPr>
          <w:p w14:paraId="24F7B69A" w14:textId="75071F4D" w:rsidR="00A80767" w:rsidRPr="00AF363B" w:rsidRDefault="00347201" w:rsidP="00826D53">
            <w:pPr>
              <w:tabs>
                <w:tab w:val="clear" w:pos="1134"/>
              </w:tabs>
              <w:spacing w:before="120" w:after="60"/>
              <w:ind w:right="-108"/>
              <w:jc w:val="right"/>
              <w:rPr>
                <w:rFonts w:cs="Tahoma"/>
                <w:color w:val="365F91" w:themeColor="accent1" w:themeShade="BF"/>
                <w:szCs w:val="22"/>
                <w:lang w:val="es-419"/>
              </w:rPr>
            </w:pPr>
            <w:r w:rsidRPr="00AF363B">
              <w:rPr>
                <w:rFonts w:cs="Tahoma"/>
                <w:color w:val="365F91" w:themeColor="accent1" w:themeShade="BF"/>
                <w:szCs w:val="22"/>
                <w:lang w:val="es-419"/>
              </w:rPr>
              <w:t>Pr</w:t>
            </w:r>
            <w:r w:rsidR="00BF2233" w:rsidRPr="00AF363B">
              <w:rPr>
                <w:rFonts w:cs="Tahoma"/>
                <w:color w:val="365F91" w:themeColor="accent1" w:themeShade="BF"/>
                <w:szCs w:val="22"/>
                <w:lang w:val="es-419"/>
              </w:rPr>
              <w:t>esentado por</w:t>
            </w:r>
            <w:r w:rsidRPr="00AF363B">
              <w:rPr>
                <w:rFonts w:cs="Tahoma"/>
                <w:color w:val="365F91" w:themeColor="accent1" w:themeShade="BF"/>
                <w:szCs w:val="22"/>
                <w:lang w:val="es-419"/>
              </w:rPr>
              <w:t>:</w:t>
            </w:r>
            <w:r w:rsidR="00A80767" w:rsidRPr="00AF363B">
              <w:rPr>
                <w:rFonts w:cs="Tahoma"/>
                <w:color w:val="365F91" w:themeColor="accent1" w:themeShade="BF"/>
                <w:szCs w:val="22"/>
                <w:lang w:val="es-419"/>
              </w:rPr>
              <w:br/>
            </w:r>
            <w:proofErr w:type="gramStart"/>
            <w:r w:rsidR="00AF363B" w:rsidRPr="00AF363B">
              <w:rPr>
                <w:rFonts w:cs="Tahoma"/>
                <w:color w:val="365F91" w:themeColor="accent1" w:themeShade="BF"/>
                <w:szCs w:val="22"/>
                <w:lang w:val="es-419"/>
              </w:rPr>
              <w:t>Secretaria General</w:t>
            </w:r>
            <w:proofErr w:type="gramEnd"/>
          </w:p>
          <w:p w14:paraId="4E25050A" w14:textId="626DEF61" w:rsidR="00A80767" w:rsidRPr="00AF363B" w:rsidRDefault="00AF363B" w:rsidP="00826D53">
            <w:pPr>
              <w:tabs>
                <w:tab w:val="clear" w:pos="1134"/>
              </w:tabs>
              <w:spacing w:before="120" w:after="60"/>
              <w:ind w:right="-108"/>
              <w:jc w:val="right"/>
              <w:rPr>
                <w:rFonts w:cs="Tahoma"/>
                <w:color w:val="365F91" w:themeColor="accent1" w:themeShade="BF"/>
                <w:szCs w:val="22"/>
                <w:lang w:val="es-419"/>
              </w:rPr>
            </w:pPr>
            <w:r>
              <w:rPr>
                <w:rFonts w:cs="Tahoma"/>
                <w:color w:val="365F91" w:themeColor="accent1" w:themeShade="BF"/>
                <w:szCs w:val="22"/>
                <w:lang w:val="es-419"/>
              </w:rPr>
              <w:t>20</w:t>
            </w:r>
            <w:r w:rsidR="00FC2996" w:rsidRPr="00AF363B">
              <w:rPr>
                <w:rFonts w:cs="Tahoma"/>
                <w:color w:val="365F91" w:themeColor="accent1" w:themeShade="BF"/>
                <w:szCs w:val="22"/>
                <w:lang w:val="es-419"/>
              </w:rPr>
              <w:t>.</w:t>
            </w:r>
            <w:r>
              <w:rPr>
                <w:rFonts w:cs="Tahoma"/>
                <w:color w:val="365F91" w:themeColor="accent1" w:themeShade="BF"/>
                <w:szCs w:val="22"/>
                <w:lang w:val="es-419"/>
              </w:rPr>
              <w:t>I</w:t>
            </w:r>
            <w:r w:rsidR="00740EE4" w:rsidRPr="00AF363B">
              <w:rPr>
                <w:rFonts w:cs="Tahoma"/>
                <w:color w:val="365F91" w:themeColor="accent1" w:themeShade="BF"/>
                <w:szCs w:val="22"/>
                <w:lang w:val="es-419"/>
              </w:rPr>
              <w:t>X</w:t>
            </w:r>
            <w:r w:rsidR="00FC2996" w:rsidRPr="00AF363B">
              <w:rPr>
                <w:rFonts w:cs="Tahoma"/>
                <w:color w:val="365F91" w:themeColor="accent1" w:themeShade="BF"/>
                <w:szCs w:val="22"/>
                <w:lang w:val="es-419"/>
              </w:rPr>
              <w:t>.202</w:t>
            </w:r>
            <w:r w:rsidR="00EA6A2D" w:rsidRPr="00AF363B">
              <w:rPr>
                <w:rFonts w:cs="Tahoma"/>
                <w:color w:val="365F91" w:themeColor="accent1" w:themeShade="BF"/>
                <w:szCs w:val="22"/>
                <w:lang w:val="es-419"/>
              </w:rPr>
              <w:t>4</w:t>
            </w:r>
          </w:p>
          <w:p w14:paraId="7D3F3B54" w14:textId="77777777" w:rsidR="00A80767" w:rsidRPr="00AF363B" w:rsidRDefault="00740EE4" w:rsidP="00826D53">
            <w:pPr>
              <w:tabs>
                <w:tab w:val="clear" w:pos="1134"/>
              </w:tabs>
              <w:spacing w:before="120" w:after="60"/>
              <w:ind w:right="-108"/>
              <w:jc w:val="right"/>
              <w:rPr>
                <w:rFonts w:cs="Tahoma"/>
                <w:b/>
                <w:bCs/>
                <w:color w:val="365F91" w:themeColor="accent1" w:themeShade="BF"/>
                <w:szCs w:val="22"/>
                <w:lang w:val="es-419"/>
              </w:rPr>
            </w:pPr>
            <w:r w:rsidRPr="00AF363B">
              <w:rPr>
                <w:rFonts w:cs="Tahoma"/>
                <w:b/>
                <w:bCs/>
                <w:color w:val="365F91" w:themeColor="accent1" w:themeShade="BF"/>
                <w:szCs w:val="22"/>
                <w:lang w:val="es-419"/>
              </w:rPr>
              <w:t>VERSI</w:t>
            </w:r>
            <w:r w:rsidR="002A29BD" w:rsidRPr="00AF363B">
              <w:rPr>
                <w:rFonts w:cs="Tahoma"/>
                <w:b/>
                <w:bCs/>
                <w:color w:val="365F91" w:themeColor="accent1" w:themeShade="BF"/>
                <w:szCs w:val="22"/>
                <w:lang w:val="es-419"/>
              </w:rPr>
              <w:t>Ó</w:t>
            </w:r>
            <w:r w:rsidRPr="00AF363B">
              <w:rPr>
                <w:rFonts w:cs="Tahoma"/>
                <w:b/>
                <w:bCs/>
                <w:color w:val="365F91" w:themeColor="accent1" w:themeShade="BF"/>
                <w:szCs w:val="22"/>
                <w:lang w:val="es-419"/>
              </w:rPr>
              <w:t>N</w:t>
            </w:r>
            <w:r w:rsidR="00A80767" w:rsidRPr="00AF363B">
              <w:rPr>
                <w:rFonts w:cs="Tahoma"/>
                <w:b/>
                <w:bCs/>
                <w:color w:val="365F91" w:themeColor="accent1" w:themeShade="BF"/>
                <w:szCs w:val="22"/>
                <w:lang w:val="es-419"/>
              </w:rPr>
              <w:t xml:space="preserve"> 1</w:t>
            </w:r>
          </w:p>
        </w:tc>
      </w:tr>
    </w:tbl>
    <w:p w14:paraId="45E02CBE" w14:textId="77777777" w:rsidR="00AF363B" w:rsidRPr="00930F76" w:rsidRDefault="00AF363B" w:rsidP="00AF363B">
      <w:pPr>
        <w:rPr>
          <w:rFonts w:ascii="Calibri" w:hAnsi="Calibri" w:cs="Calibri"/>
          <w:i/>
          <w:iCs/>
          <w:color w:val="FF0000"/>
          <w:lang w:val="es-ES"/>
        </w:rPr>
      </w:pPr>
      <w:bookmarkStart w:id="0" w:name="_APPENDIX_A:_"/>
      <w:bookmarkEnd w:id="0"/>
      <w:r w:rsidRPr="00930F76">
        <w:rPr>
          <w:rFonts w:ascii="Calibri" w:eastAsia="Calibri" w:hAnsi="Calibri" w:cs="Calibri"/>
          <w:i/>
          <w:iCs/>
          <w:color w:val="FF0000"/>
          <w:sz w:val="22"/>
          <w:szCs w:val="22"/>
          <w:lang w:val="es-ES"/>
        </w:rPr>
        <w:t xml:space="preserve">[El presente documento ha sido traducido para su comodidad empleando tecnologías de traducción automática sin </w:t>
      </w:r>
      <w:proofErr w:type="spellStart"/>
      <w:r w:rsidRPr="00930F76">
        <w:rPr>
          <w:rFonts w:ascii="Calibri" w:eastAsia="Calibri" w:hAnsi="Calibri" w:cs="Calibri"/>
          <w:i/>
          <w:iCs/>
          <w:color w:val="FF0000"/>
          <w:sz w:val="22"/>
          <w:szCs w:val="22"/>
          <w:lang w:val="es-ES"/>
        </w:rPr>
        <w:t>posedición</w:t>
      </w:r>
      <w:proofErr w:type="spellEnd"/>
      <w:r w:rsidRPr="00930F76">
        <w:rPr>
          <w:rFonts w:ascii="Calibri" w:eastAsia="Calibri" w:hAnsi="Calibri" w:cs="Calibri"/>
          <w:i/>
          <w:iCs/>
          <w:color w:val="FF0000"/>
          <w:sz w:val="22"/>
          <w:szCs w:val="22"/>
          <w:lang w:val="es-ES"/>
        </w:rPr>
        <w:t xml:space="preserve">. </w:t>
      </w:r>
      <w:r w:rsidRPr="00930F76">
        <w:rPr>
          <w:i/>
          <w:iCs/>
          <w:color w:val="FF0000"/>
          <w:lang w:val="es-ES"/>
        </w:rPr>
        <w:t>No se garantiza en modo alguno, ni de forma expresa ni implícita, su exactitud, fiabilidad o corrección. Toda discrepancia o diferencia que pudiera deberse a la traducción del contenido del documento original al español no será vinculante y no conllevará ninguna consecuencia jurídica a efectos de cumplimiento o aplicación, entre otros. Tenga en cuenta que determinados contenidos, como las imágenes, no pueden traducirse a causa de las limitaciones técnicas del sistema. Si tuviera alguna duda relacionada con la exactitud de la información de un documento traducido, sírvase consultar su versión oficial redactada en inglés.]</w:t>
      </w:r>
    </w:p>
    <w:p w14:paraId="44214AD1" w14:textId="77777777" w:rsidR="00AF363B" w:rsidRPr="00F879ED" w:rsidRDefault="00AF363B" w:rsidP="00AF363B">
      <w:pPr>
        <w:pStyle w:val="Heading2"/>
        <w:rPr>
          <w:lang w:val="es-ES"/>
        </w:rPr>
      </w:pPr>
      <w:r>
        <w:rPr>
          <w:lang w:val="es-ES"/>
        </w:rPr>
        <w:t>ASPECTOS DE EDUCACIÓN Y FORMACIÓN EN RA VI</w:t>
      </w:r>
    </w:p>
    <w:p w14:paraId="4C400CF1" w14:textId="77777777" w:rsidR="00AF363B" w:rsidRPr="00A718FE" w:rsidRDefault="00AF363B" w:rsidP="00AF363B">
      <w:pPr>
        <w:pStyle w:val="Heading3"/>
        <w:numPr>
          <w:ilvl w:val="0"/>
          <w:numId w:val="53"/>
        </w:numPr>
        <w:tabs>
          <w:tab w:val="num" w:pos="495"/>
        </w:tabs>
        <w:ind w:left="567" w:hanging="567"/>
      </w:pPr>
      <w:r>
        <w:rPr>
          <w:lang w:val="es-ES"/>
        </w:rPr>
        <w:t>Introducción</w:t>
      </w:r>
    </w:p>
    <w:p w14:paraId="503D4B4C" w14:textId="77777777" w:rsidR="00AF363B" w:rsidRPr="00F879ED" w:rsidRDefault="00AF363B" w:rsidP="00AF363B">
      <w:pPr>
        <w:pStyle w:val="WMOBodyText"/>
        <w:rPr>
          <w:lang w:val="es-ES"/>
        </w:rPr>
      </w:pPr>
      <w:r>
        <w:rPr>
          <w:lang w:val="es-ES"/>
        </w:rPr>
        <w:t>La Alerta Temprana para Todos es una de las iniciativas más difíciles de aplicar y, sin unos recursos humanos debidamente formados y capacitados, no alcanzará sus objetivos. Es necesario comprender que la Asociación Regional VI de la OMM es una en la que las necesidades de educación y formación aumentan de oeste a este. En el desarrollo de los recursos humanos de los miembros de la región hay que tener en cuenta los siguientes aspectos:</w:t>
      </w:r>
    </w:p>
    <w:p w14:paraId="5A7E82F7" w14:textId="77777777" w:rsidR="00AF363B" w:rsidRPr="00F879ED" w:rsidRDefault="00AF363B" w:rsidP="00AF363B">
      <w:pPr>
        <w:pStyle w:val="WMOBodyText"/>
        <w:numPr>
          <w:ilvl w:val="0"/>
          <w:numId w:val="52"/>
        </w:numPr>
        <w:ind w:left="567" w:hanging="567"/>
        <w:rPr>
          <w:lang w:val="es-ES"/>
        </w:rPr>
      </w:pPr>
      <w:r>
        <w:rPr>
          <w:lang w:val="es-ES"/>
        </w:rPr>
        <w:t xml:space="preserve">la necesidad de responder a aquellos aspectos determinados en la encuesta de la OMM titulada </w:t>
      </w:r>
      <w:proofErr w:type="spellStart"/>
      <w:r>
        <w:rPr>
          <w:lang w:val="es-ES"/>
        </w:rPr>
        <w:t>Survey</w:t>
      </w:r>
      <w:proofErr w:type="spellEnd"/>
      <w:r>
        <w:rPr>
          <w:lang w:val="es-ES"/>
        </w:rPr>
        <w:t xml:space="preserve"> </w:t>
      </w:r>
      <w:proofErr w:type="spellStart"/>
      <w:r>
        <w:rPr>
          <w:lang w:val="es-ES"/>
        </w:rPr>
        <w:t>on</w:t>
      </w:r>
      <w:proofErr w:type="spellEnd"/>
      <w:r>
        <w:rPr>
          <w:lang w:val="es-ES"/>
        </w:rPr>
        <w:t xml:space="preserve"> </w:t>
      </w:r>
      <w:proofErr w:type="spellStart"/>
      <w:r>
        <w:rPr>
          <w:lang w:val="es-ES"/>
        </w:rPr>
        <w:t>the</w:t>
      </w:r>
      <w:proofErr w:type="spellEnd"/>
      <w:r>
        <w:rPr>
          <w:lang w:val="es-ES"/>
        </w:rPr>
        <w:t xml:space="preserve"> </w:t>
      </w:r>
      <w:proofErr w:type="gramStart"/>
      <w:r>
        <w:rPr>
          <w:lang w:val="es-ES"/>
        </w:rPr>
        <w:t>Status</w:t>
      </w:r>
      <w:proofErr w:type="gramEnd"/>
      <w:r>
        <w:rPr>
          <w:lang w:val="es-ES"/>
        </w:rPr>
        <w:t xml:space="preserve"> </w:t>
      </w:r>
      <w:proofErr w:type="spellStart"/>
      <w:r>
        <w:rPr>
          <w:lang w:val="es-ES"/>
        </w:rPr>
        <w:t>of</w:t>
      </w:r>
      <w:proofErr w:type="spellEnd"/>
      <w:r>
        <w:rPr>
          <w:lang w:val="es-ES"/>
        </w:rPr>
        <w:t xml:space="preserve"> Human </w:t>
      </w:r>
      <w:proofErr w:type="spellStart"/>
      <w:r>
        <w:rPr>
          <w:lang w:val="es-ES"/>
        </w:rPr>
        <w:t>Resources</w:t>
      </w:r>
      <w:proofErr w:type="spellEnd"/>
      <w:r>
        <w:rPr>
          <w:lang w:val="es-ES"/>
        </w:rPr>
        <w:t xml:space="preserve"> in </w:t>
      </w:r>
      <w:proofErr w:type="spellStart"/>
      <w:r>
        <w:rPr>
          <w:lang w:val="es-ES"/>
        </w:rPr>
        <w:t>National</w:t>
      </w:r>
      <w:proofErr w:type="spellEnd"/>
      <w:r>
        <w:rPr>
          <w:lang w:val="es-ES"/>
        </w:rPr>
        <w:t xml:space="preserve"> </w:t>
      </w:r>
      <w:proofErr w:type="spellStart"/>
      <w:r>
        <w:rPr>
          <w:lang w:val="es-ES"/>
        </w:rPr>
        <w:t>Meteorological</w:t>
      </w:r>
      <w:proofErr w:type="spellEnd"/>
      <w:r>
        <w:rPr>
          <w:lang w:val="es-ES"/>
        </w:rPr>
        <w:t xml:space="preserve"> and </w:t>
      </w:r>
      <w:proofErr w:type="spellStart"/>
      <w:r>
        <w:rPr>
          <w:lang w:val="es-ES"/>
        </w:rPr>
        <w:t>Hydrological</w:t>
      </w:r>
      <w:proofErr w:type="spellEnd"/>
      <w:r>
        <w:rPr>
          <w:lang w:val="es-ES"/>
        </w:rPr>
        <w:t xml:space="preserve"> </w:t>
      </w:r>
      <w:proofErr w:type="spellStart"/>
      <w:r>
        <w:rPr>
          <w:lang w:val="es-ES"/>
        </w:rPr>
        <w:t>Services</w:t>
      </w:r>
      <w:proofErr w:type="spellEnd"/>
      <w:r>
        <w:rPr>
          <w:lang w:val="es-ES"/>
        </w:rPr>
        <w:t xml:space="preserve">: Staff, </w:t>
      </w:r>
      <w:proofErr w:type="spellStart"/>
      <w:r>
        <w:rPr>
          <w:lang w:val="es-ES"/>
        </w:rPr>
        <w:t>Competencies</w:t>
      </w:r>
      <w:proofErr w:type="spellEnd"/>
      <w:r>
        <w:rPr>
          <w:lang w:val="es-ES"/>
        </w:rPr>
        <w:t xml:space="preserve"> and </w:t>
      </w:r>
      <w:proofErr w:type="spellStart"/>
      <w:r>
        <w:rPr>
          <w:lang w:val="es-ES"/>
        </w:rPr>
        <w:t>Qualifications</w:t>
      </w:r>
      <w:proofErr w:type="spellEnd"/>
      <w:r>
        <w:rPr>
          <w:lang w:val="es-ES"/>
        </w:rPr>
        <w:t xml:space="preserve"> (WMO-No. 1305) (Encuesta acerca de la situación de los recursos humanos de los Servicios Meteorológicos e Hidrológicos Nacionales: personal, competencias y cualificaciones),</w:t>
      </w:r>
      <w:bookmarkStart w:id="1" w:name="_Hlk177323962"/>
      <w:bookmarkEnd w:id="1"/>
    </w:p>
    <w:p w14:paraId="42732E33" w14:textId="2AE2A528" w:rsidR="00AF363B" w:rsidRPr="00F879ED" w:rsidRDefault="00AF363B" w:rsidP="00AF363B">
      <w:pPr>
        <w:pStyle w:val="WMOBodyText"/>
        <w:numPr>
          <w:ilvl w:val="0"/>
          <w:numId w:val="52"/>
        </w:numPr>
        <w:ind w:left="567" w:hanging="567"/>
        <w:rPr>
          <w:lang w:val="es-ES"/>
        </w:rPr>
      </w:pPr>
      <w:r>
        <w:rPr>
          <w:lang w:val="es-ES"/>
        </w:rPr>
        <w:t xml:space="preserve">Aplicación del BIP-M y el BIP-MT de conformidad con el </w:t>
      </w:r>
      <w:hyperlink r:id="rId12" w:history="1">
        <w:r w:rsidRPr="00AF363B">
          <w:rPr>
            <w:rStyle w:val="Hyperlink"/>
            <w:i/>
            <w:iCs/>
            <w:lang w:val="es-ES"/>
          </w:rPr>
          <w:t xml:space="preserve">Reglamento Técnico de la OMM - Documentos Básicos </w:t>
        </w:r>
        <w:proofErr w:type="spellStart"/>
        <w:r w:rsidRPr="00AF363B">
          <w:rPr>
            <w:rStyle w:val="Hyperlink"/>
            <w:i/>
            <w:iCs/>
            <w:lang w:val="es-ES"/>
          </w:rPr>
          <w:t>Nº</w:t>
        </w:r>
        <w:proofErr w:type="spellEnd"/>
        <w:r w:rsidRPr="00AF363B">
          <w:rPr>
            <w:rStyle w:val="Hyperlink"/>
            <w:i/>
            <w:iCs/>
            <w:lang w:val="es-ES"/>
          </w:rPr>
          <w:t xml:space="preserve"> 2, Volumen I - Normas Meteorológicas Generales y Prácticas Recomendadas</w:t>
        </w:r>
      </w:hyperlink>
      <w:r>
        <w:rPr>
          <w:lang w:val="es-ES"/>
        </w:rPr>
        <w:t xml:space="preserve"> (OMM-</w:t>
      </w:r>
      <w:proofErr w:type="spellStart"/>
      <w:r>
        <w:rPr>
          <w:lang w:val="es-ES"/>
        </w:rPr>
        <w:t>Nº</w:t>
      </w:r>
      <w:proofErr w:type="spellEnd"/>
      <w:r>
        <w:rPr>
          <w:lang w:val="es-ES"/>
        </w:rPr>
        <w:t xml:space="preserve"> 49) y la </w:t>
      </w:r>
      <w:hyperlink r:id="rId13" w:history="1">
        <w:r w:rsidRPr="00AF363B">
          <w:rPr>
            <w:rStyle w:val="Hyperlink"/>
            <w:i/>
            <w:iCs/>
            <w:lang w:val="es-ES"/>
          </w:rPr>
          <w:t>Guía para la aplicación de las normas de educación y formación en meteorología e hidrología</w:t>
        </w:r>
      </w:hyperlink>
      <w:r>
        <w:rPr>
          <w:lang w:val="es-ES"/>
        </w:rPr>
        <w:t xml:space="preserve"> (OMM-</w:t>
      </w:r>
      <w:proofErr w:type="spellStart"/>
      <w:r>
        <w:rPr>
          <w:lang w:val="es-ES"/>
        </w:rPr>
        <w:t>Nº</w:t>
      </w:r>
      <w:proofErr w:type="spellEnd"/>
      <w:r>
        <w:rPr>
          <w:lang w:val="es-ES"/>
        </w:rPr>
        <w:t xml:space="preserve"> 1083).</w:t>
      </w:r>
    </w:p>
    <w:p w14:paraId="57C026A7" w14:textId="77777777" w:rsidR="00AF363B" w:rsidRPr="00F879ED" w:rsidRDefault="00AF363B" w:rsidP="00AF363B">
      <w:pPr>
        <w:pStyle w:val="WMOBodyText"/>
        <w:numPr>
          <w:ilvl w:val="0"/>
          <w:numId w:val="52"/>
        </w:numPr>
        <w:ind w:left="567" w:hanging="567"/>
        <w:rPr>
          <w:lang w:val="es-ES"/>
        </w:rPr>
      </w:pPr>
      <w:r>
        <w:rPr>
          <w:lang w:val="es-ES"/>
        </w:rPr>
        <w:t>Desarrollo de capacidades y aumento de la calidad y variedad de los servicios prestados mediante la formación basada en competencias con el apoyo de los Centros Regionales de Formación de la OMM y otras organizaciones regionales de formación, siguiendo la nueva descripción del Programa de Educación y Formación de la OMM (ETRP).</w:t>
      </w:r>
    </w:p>
    <w:p w14:paraId="0197C37E" w14:textId="0293EE02" w:rsidR="00AF363B" w:rsidRPr="00F879ED" w:rsidRDefault="00AF363B" w:rsidP="00AF363B">
      <w:pPr>
        <w:pStyle w:val="WMOBodyText"/>
        <w:numPr>
          <w:ilvl w:val="0"/>
          <w:numId w:val="52"/>
        </w:numPr>
        <w:ind w:left="567" w:hanging="567"/>
        <w:rPr>
          <w:lang w:val="es-ES"/>
        </w:rPr>
      </w:pPr>
      <w:r>
        <w:rPr>
          <w:lang w:val="es-ES"/>
        </w:rPr>
        <w:t xml:space="preserve">La aplicación del enfoque por competencias se basa en las recomendaciones de la OMM recogidas en el </w:t>
      </w:r>
      <w:hyperlink r:id="rId14" w:history="1">
        <w:r w:rsidRPr="00AF363B">
          <w:rPr>
            <w:rStyle w:val="Hyperlink"/>
            <w:i/>
            <w:iCs/>
            <w:lang w:val="es-ES"/>
          </w:rPr>
          <w:t>Compendio de marcos de competencias de la OMM</w:t>
        </w:r>
      </w:hyperlink>
      <w:r>
        <w:rPr>
          <w:lang w:val="es-ES"/>
        </w:rPr>
        <w:t xml:space="preserve"> (OMM-</w:t>
      </w:r>
      <w:proofErr w:type="spellStart"/>
      <w:r>
        <w:rPr>
          <w:lang w:val="es-ES"/>
        </w:rPr>
        <w:t>Nº</w:t>
      </w:r>
      <w:proofErr w:type="spellEnd"/>
      <w:r>
        <w:rPr>
          <w:lang w:val="es-ES"/>
        </w:rPr>
        <w:t xml:space="preserve"> 1209), la </w:t>
      </w:r>
      <w:hyperlink r:id="rId15" w:history="1">
        <w:r w:rsidRPr="00AF363B">
          <w:rPr>
            <w:rStyle w:val="Hyperlink"/>
            <w:i/>
            <w:iCs/>
            <w:lang w:val="es-ES"/>
          </w:rPr>
          <w:t>Guía de competencias</w:t>
        </w:r>
      </w:hyperlink>
      <w:r>
        <w:rPr>
          <w:lang w:val="es-ES"/>
        </w:rPr>
        <w:t xml:space="preserve"> (OMM-</w:t>
      </w:r>
      <w:proofErr w:type="spellStart"/>
      <w:r>
        <w:rPr>
          <w:lang w:val="es-ES"/>
        </w:rPr>
        <w:t>Nº</w:t>
      </w:r>
      <w:proofErr w:type="spellEnd"/>
      <w:r>
        <w:rPr>
          <w:lang w:val="es-ES"/>
        </w:rPr>
        <w:t xml:space="preserve"> 1205) y las </w:t>
      </w:r>
      <w:hyperlink r:id="rId16" w:history="1">
        <w:r w:rsidRPr="00AF363B">
          <w:rPr>
            <w:rStyle w:val="Hyperlink"/>
            <w:i/>
            <w:iCs/>
            <w:lang w:val="es-ES"/>
          </w:rPr>
          <w:t>Directrices para la evaluación de competencias para la prestación de servicios climáticos</w:t>
        </w:r>
      </w:hyperlink>
      <w:r>
        <w:rPr>
          <w:lang w:val="es-ES"/>
        </w:rPr>
        <w:t xml:space="preserve"> (OMM-</w:t>
      </w:r>
      <w:proofErr w:type="spellStart"/>
      <w:r>
        <w:rPr>
          <w:lang w:val="es-ES"/>
        </w:rPr>
        <w:t>Nº</w:t>
      </w:r>
      <w:proofErr w:type="spellEnd"/>
      <w:r>
        <w:rPr>
          <w:lang w:val="es-ES"/>
        </w:rPr>
        <w:t xml:space="preserve"> 1285).</w:t>
      </w:r>
    </w:p>
    <w:p w14:paraId="36335EB0" w14:textId="77777777" w:rsidR="00AF363B" w:rsidRPr="00F879ED" w:rsidRDefault="00AF363B" w:rsidP="00AF363B">
      <w:pPr>
        <w:pStyle w:val="WMOBodyText"/>
        <w:numPr>
          <w:ilvl w:val="0"/>
          <w:numId w:val="52"/>
        </w:numPr>
        <w:ind w:left="567" w:hanging="567"/>
        <w:rPr>
          <w:lang w:val="es-ES"/>
        </w:rPr>
      </w:pPr>
      <w:r>
        <w:rPr>
          <w:lang w:val="es-ES"/>
        </w:rPr>
        <w:t>Marco de la Organización Meteorológica Mundial para el Desarrollo de Capacidad</w:t>
      </w:r>
    </w:p>
    <w:p w14:paraId="6BC45C54" w14:textId="77777777" w:rsidR="00AF363B" w:rsidRPr="00F879ED" w:rsidRDefault="00AF363B" w:rsidP="00AF363B">
      <w:pPr>
        <w:pStyle w:val="Heading3"/>
        <w:numPr>
          <w:ilvl w:val="0"/>
          <w:numId w:val="53"/>
        </w:numPr>
        <w:tabs>
          <w:tab w:val="num" w:pos="495"/>
        </w:tabs>
        <w:ind w:left="567" w:hanging="567"/>
        <w:rPr>
          <w:lang w:val="es-ES"/>
        </w:rPr>
      </w:pPr>
      <w:r>
        <w:rPr>
          <w:lang w:val="es-ES"/>
        </w:rPr>
        <w:t xml:space="preserve">Encuesta sobre la situación de los recursos humanos </w:t>
      </w:r>
    </w:p>
    <w:p w14:paraId="6716F860" w14:textId="4C3A491F" w:rsidR="00AF363B" w:rsidRPr="00F879ED" w:rsidRDefault="00AF363B" w:rsidP="00AF363B">
      <w:pPr>
        <w:pStyle w:val="WMOBodyText"/>
        <w:rPr>
          <w:lang w:val="es-ES"/>
        </w:rPr>
      </w:pPr>
      <w:r>
        <w:rPr>
          <w:lang w:val="es-ES"/>
        </w:rPr>
        <w:t xml:space="preserve">La última </w:t>
      </w:r>
      <w:hyperlink r:id="rId17" w:history="1">
        <w:r w:rsidRPr="00AF363B">
          <w:rPr>
            <w:rStyle w:val="Hyperlink"/>
            <w:i/>
            <w:iCs/>
            <w:lang w:val="es-ES"/>
          </w:rPr>
          <w:t>Encuesta sobre la situación de los recursos humanos en los servicios meteorológicos e hidrológicos nacionales: Personal, competencias y cualificaciones</w:t>
        </w:r>
      </w:hyperlink>
      <w:r>
        <w:rPr>
          <w:lang w:val="es-ES"/>
        </w:rPr>
        <w:t xml:space="preserve"> (OMM-</w:t>
      </w:r>
      <w:proofErr w:type="spellStart"/>
      <w:r>
        <w:rPr>
          <w:lang w:val="es-ES"/>
        </w:rPr>
        <w:t>Nº</w:t>
      </w:r>
      <w:proofErr w:type="spellEnd"/>
      <w:r>
        <w:rPr>
          <w:lang w:val="es-ES"/>
        </w:rPr>
        <w:t xml:space="preserve"> 1305), realizada en 2021 y publicada en 2023, reveló lo siguiente:</w:t>
      </w:r>
    </w:p>
    <w:p w14:paraId="7743706F" w14:textId="77777777" w:rsidR="00AF363B" w:rsidRDefault="00AF363B" w:rsidP="00AF363B">
      <w:pPr>
        <w:pStyle w:val="WMOBodyText"/>
        <w:jc w:val="center"/>
      </w:pPr>
      <w:r>
        <w:rPr>
          <w:noProof/>
        </w:rPr>
        <w:lastRenderedPageBreak/>
        <w:drawing>
          <wp:inline distT="0" distB="0" distL="0" distR="0" wp14:anchorId="6CA71E61" wp14:editId="62456386">
            <wp:extent cx="3810000" cy="2118247"/>
            <wp:effectExtent l="0" t="0" r="0" b="0"/>
            <wp:docPr id="9936009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7028" cy="2127714"/>
                    </a:xfrm>
                    <a:prstGeom prst="rect">
                      <a:avLst/>
                    </a:prstGeom>
                    <a:noFill/>
                    <a:ln>
                      <a:noFill/>
                    </a:ln>
                  </pic:spPr>
                </pic:pic>
              </a:graphicData>
            </a:graphic>
          </wp:inline>
        </w:drawing>
      </w:r>
    </w:p>
    <w:p w14:paraId="713D524D" w14:textId="77777777" w:rsidR="00AF363B" w:rsidRPr="00F879ED" w:rsidRDefault="00AF363B" w:rsidP="00AF363B">
      <w:pPr>
        <w:pStyle w:val="WMOBodyText"/>
        <w:rPr>
          <w:lang w:val="es-ES"/>
        </w:rPr>
      </w:pPr>
      <w:r>
        <w:rPr>
          <w:lang w:val="es-ES"/>
        </w:rPr>
        <w:t>Sólo el 55% de los miembros de la Asociación Regional VI ha respondido a la encuesta. Este bajo índice de respuesta no ofrece una imagen muy clara de las necesidades de la región en materia de educación y formación, lo que tiene efectos significativos a la hora de determinar las ayudas necesarias en la Región.</w:t>
      </w:r>
    </w:p>
    <w:p w14:paraId="588B371A" w14:textId="77777777" w:rsidR="00AF363B" w:rsidRPr="00F879ED" w:rsidRDefault="00AF363B" w:rsidP="00AF363B">
      <w:pPr>
        <w:pStyle w:val="WMOBodyText"/>
        <w:rPr>
          <w:lang w:val="es-ES"/>
        </w:rPr>
      </w:pPr>
      <w:r>
        <w:rPr>
          <w:lang w:val="es-ES"/>
        </w:rPr>
        <w:t>Incluso con este índice de respuesta, la información siguiente era pertinente:</w:t>
      </w:r>
    </w:p>
    <w:p w14:paraId="6FCDC645" w14:textId="77777777" w:rsidR="00AF363B" w:rsidRPr="0052577F" w:rsidRDefault="00AF363B" w:rsidP="00AF363B">
      <w:pPr>
        <w:pStyle w:val="ListParagraph"/>
        <w:numPr>
          <w:ilvl w:val="1"/>
          <w:numId w:val="54"/>
        </w:numPr>
        <w:tabs>
          <w:tab w:val="clear" w:pos="1134"/>
        </w:tabs>
        <w:autoSpaceDE w:val="0"/>
        <w:autoSpaceDN w:val="0"/>
        <w:adjustRightInd w:val="0"/>
        <w:spacing w:before="240" w:after="240"/>
        <w:ind w:left="567" w:hanging="567"/>
        <w:contextualSpacing w:val="0"/>
        <w:jc w:val="left"/>
        <w:rPr>
          <w:b/>
          <w:bCs/>
          <w:i/>
          <w:iCs/>
        </w:rPr>
      </w:pPr>
      <w:r>
        <w:rPr>
          <w:b/>
          <w:bCs/>
          <w:i/>
          <w:iCs/>
          <w:lang w:val="es-ES"/>
        </w:rPr>
        <w:t>Distribución de hombres y mujeres</w:t>
      </w:r>
      <w:r>
        <w:rPr>
          <w:lang w:val="es-ES"/>
        </w:rPr>
        <w:t xml:space="preserve"> </w:t>
      </w:r>
    </w:p>
    <w:p w14:paraId="443C3F80" w14:textId="77777777" w:rsidR="00AF363B" w:rsidRDefault="00AF363B" w:rsidP="00AF363B">
      <w:pPr>
        <w:tabs>
          <w:tab w:val="clear" w:pos="1134"/>
        </w:tabs>
        <w:autoSpaceDE w:val="0"/>
        <w:autoSpaceDN w:val="0"/>
        <w:adjustRightInd w:val="0"/>
        <w:jc w:val="center"/>
      </w:pPr>
      <w:r>
        <w:rPr>
          <w:noProof/>
        </w:rPr>
        <w:drawing>
          <wp:inline distT="0" distB="0" distL="0" distR="0" wp14:anchorId="1B08084A" wp14:editId="1E32B4FC">
            <wp:extent cx="4133850" cy="1292928"/>
            <wp:effectExtent l="0" t="0" r="0" b="2540"/>
            <wp:docPr id="91491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12801" name=""/>
                    <pic:cNvPicPr/>
                  </pic:nvPicPr>
                  <pic:blipFill>
                    <a:blip r:embed="rId19"/>
                    <a:stretch>
                      <a:fillRect/>
                    </a:stretch>
                  </pic:blipFill>
                  <pic:spPr>
                    <a:xfrm>
                      <a:off x="0" y="0"/>
                      <a:ext cx="4147407" cy="1297168"/>
                    </a:xfrm>
                    <a:prstGeom prst="rect">
                      <a:avLst/>
                    </a:prstGeom>
                  </pic:spPr>
                </pic:pic>
              </a:graphicData>
            </a:graphic>
          </wp:inline>
        </w:drawing>
      </w:r>
    </w:p>
    <w:p w14:paraId="565CE3D8" w14:textId="77777777" w:rsidR="00AF363B" w:rsidRPr="00F879ED" w:rsidRDefault="00AF363B" w:rsidP="00AF363B">
      <w:pPr>
        <w:pStyle w:val="ListParagraph"/>
        <w:numPr>
          <w:ilvl w:val="0"/>
          <w:numId w:val="46"/>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Las mujeres estaban sustancialmente infrarrepresentadas (&lt;20% del personal) en aproximadamente el mismo porcentaje de Servicios Meteorológicos e Hidrológicos Nacionales (SMHN) en 2021 que en 2017 (7%-8% en ambos años)</w:t>
      </w:r>
    </w:p>
    <w:p w14:paraId="449DC736" w14:textId="77777777" w:rsidR="00AF363B" w:rsidRPr="00F879ED" w:rsidRDefault="00AF363B" w:rsidP="00AF363B">
      <w:pPr>
        <w:pStyle w:val="ListParagraph"/>
        <w:numPr>
          <w:ilvl w:val="0"/>
          <w:numId w:val="46"/>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Las mujeres estaban moderadamente infrarrepresentadas (entre el 20% y el 39% del personal) en más SMHN en 2021 (52%) que en 2017(46%)</w:t>
      </w:r>
    </w:p>
    <w:p w14:paraId="73F0321D" w14:textId="77777777" w:rsidR="00AF363B" w:rsidRPr="00F879ED" w:rsidRDefault="00AF363B" w:rsidP="00AF363B">
      <w:pPr>
        <w:pStyle w:val="ListParagraph"/>
        <w:numPr>
          <w:ilvl w:val="0"/>
          <w:numId w:val="46"/>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La suma de las categorías de infrarrepresentación sustancial y moderada del personal femenino revela que un mayor porcentaje de SMHN tenía patrones de dotación de personal que infrarrepresentaban a las mujeres en 2021 (59%) que en 2017 (54%)</w:t>
      </w:r>
    </w:p>
    <w:p w14:paraId="60BF7805" w14:textId="77777777" w:rsidR="00AF363B" w:rsidRPr="00F879ED" w:rsidRDefault="00AF363B" w:rsidP="00AF363B">
      <w:pPr>
        <w:pStyle w:val="ListParagraph"/>
        <w:numPr>
          <w:ilvl w:val="0"/>
          <w:numId w:val="46"/>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El mismo porcentaje de SMHN contaba con patrones de dotación de personal equilibrados entre hombres y mujeres (40% a 59% de mujeres y 40% a 59% de hombres) en 2017 que en 2021 (26% en ambos años)</w:t>
      </w:r>
    </w:p>
    <w:p w14:paraId="2C6C50D4" w14:textId="77777777" w:rsidR="00AF363B" w:rsidRPr="00F879ED" w:rsidRDefault="00AF363B" w:rsidP="00AF363B">
      <w:pPr>
        <w:pStyle w:val="ListParagraph"/>
        <w:numPr>
          <w:ilvl w:val="0"/>
          <w:numId w:val="46"/>
        </w:numPr>
        <w:tabs>
          <w:tab w:val="clear" w:pos="1134"/>
        </w:tabs>
        <w:autoSpaceDE w:val="0"/>
        <w:autoSpaceDN w:val="0"/>
        <w:adjustRightInd w:val="0"/>
        <w:spacing w:before="120"/>
        <w:ind w:left="567" w:hanging="567"/>
        <w:contextualSpacing w:val="0"/>
        <w:jc w:val="left"/>
        <w:rPr>
          <w:lang w:val="es-ES"/>
        </w:rPr>
      </w:pPr>
      <w:r>
        <w:rPr>
          <w:lang w:val="es-ES"/>
        </w:rPr>
        <w:t>Menos SMHN tenían personal con un 60% o más de mujeres y un 40% o menos de hombres en 2021 (15%) que en 2017 (21%)</w:t>
      </w:r>
    </w:p>
    <w:p w14:paraId="526595E7" w14:textId="77777777" w:rsidR="00AF363B" w:rsidRPr="00F879ED" w:rsidRDefault="00AF363B" w:rsidP="00AF363B">
      <w:pPr>
        <w:tabs>
          <w:tab w:val="clear" w:pos="1134"/>
        </w:tabs>
        <w:autoSpaceDE w:val="0"/>
        <w:autoSpaceDN w:val="0"/>
        <w:adjustRightInd w:val="0"/>
        <w:spacing w:before="120"/>
        <w:jc w:val="center"/>
        <w:rPr>
          <w:lang w:val="es-ES"/>
        </w:rPr>
      </w:pPr>
      <w:r w:rsidRPr="00B768C3">
        <w:rPr>
          <w:noProof/>
        </w:rPr>
        <w:lastRenderedPageBreak/>
        <w:drawing>
          <wp:inline distT="0" distB="0" distL="0" distR="0" wp14:anchorId="1A55E092" wp14:editId="6B94FD47">
            <wp:extent cx="2832100" cy="1660197"/>
            <wp:effectExtent l="0" t="0" r="6350" b="0"/>
            <wp:docPr id="20724925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153" cy="1667262"/>
                    </a:xfrm>
                    <a:prstGeom prst="rect">
                      <a:avLst/>
                    </a:prstGeom>
                    <a:noFill/>
                    <a:ln>
                      <a:noFill/>
                    </a:ln>
                  </pic:spPr>
                </pic:pic>
              </a:graphicData>
            </a:graphic>
          </wp:inline>
        </w:drawing>
      </w:r>
      <w:r w:rsidRPr="00F879ED">
        <w:rPr>
          <w:lang w:val="es-ES"/>
        </w:rPr>
        <w:t xml:space="preserve"> </w:t>
      </w:r>
      <w:r w:rsidRPr="00B768C3">
        <w:rPr>
          <w:noProof/>
        </w:rPr>
        <w:drawing>
          <wp:inline distT="0" distB="0" distL="0" distR="0" wp14:anchorId="4DC58E7E" wp14:editId="2EF861CC">
            <wp:extent cx="2806700" cy="1673406"/>
            <wp:effectExtent l="0" t="0" r="0" b="3175"/>
            <wp:docPr id="3320578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2039" cy="1688514"/>
                    </a:xfrm>
                    <a:prstGeom prst="rect">
                      <a:avLst/>
                    </a:prstGeom>
                    <a:noFill/>
                    <a:ln>
                      <a:noFill/>
                    </a:ln>
                  </pic:spPr>
                </pic:pic>
              </a:graphicData>
            </a:graphic>
          </wp:inline>
        </w:drawing>
      </w:r>
    </w:p>
    <w:p w14:paraId="1E34A44C"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rPr>
      </w:pPr>
      <w:r>
        <w:rPr>
          <w:lang w:val="es-ES"/>
        </w:rPr>
        <w:t>En la mayoría de las categorías profesionales, entre el 13% y el 53% del personal de los SMHN encuestados estaba equilibrado en cuanto al género. La excepción fue la categoría profesional de Científico Social; Sin embargo, sólo dos encuestados contaban con miembros del personal de los SMHN en esta categoría.</w:t>
      </w:r>
    </w:p>
    <w:p w14:paraId="648FC83B"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rPr>
      </w:pPr>
      <w:r>
        <w:rPr>
          <w:lang w:val="es-ES"/>
        </w:rPr>
        <w:t>La mayoría de los encuestados (53%) tenían una plantilla equilibrada entre hombres y mujeres en la categoría profesional de hidrólogo.</w:t>
      </w:r>
    </w:p>
    <w:p w14:paraId="7B016A5A"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rPr>
      </w:pPr>
      <w:r>
        <w:rPr>
          <w:lang w:val="es-ES"/>
        </w:rPr>
        <w:t>En cuatro categorías profesionales (técnico meteorológico, gestor, técnico hidrológico e investigador), la mayoría de los SMHN encuestados contaban con una infrarrepresentación femenina moderada o sustancial.</w:t>
      </w:r>
    </w:p>
    <w:p w14:paraId="005A069F" w14:textId="77777777" w:rsidR="00AF363B" w:rsidRPr="0052577F" w:rsidRDefault="00AF363B" w:rsidP="00AF363B">
      <w:pPr>
        <w:pStyle w:val="ListParagraph"/>
        <w:numPr>
          <w:ilvl w:val="1"/>
          <w:numId w:val="54"/>
        </w:numPr>
        <w:tabs>
          <w:tab w:val="clear" w:pos="1134"/>
        </w:tabs>
        <w:autoSpaceDE w:val="0"/>
        <w:autoSpaceDN w:val="0"/>
        <w:adjustRightInd w:val="0"/>
        <w:spacing w:before="240" w:after="240"/>
        <w:ind w:left="567" w:hanging="567"/>
        <w:contextualSpacing w:val="0"/>
        <w:jc w:val="left"/>
        <w:rPr>
          <w:b/>
          <w:bCs/>
          <w:i/>
          <w:iCs/>
        </w:rPr>
      </w:pPr>
      <w:r>
        <w:rPr>
          <w:b/>
          <w:bCs/>
          <w:i/>
          <w:iCs/>
          <w:lang w:val="es-ES"/>
        </w:rPr>
        <w:t>Personal con titulación universitaria</w:t>
      </w:r>
    </w:p>
    <w:p w14:paraId="18BCA20F" w14:textId="77777777" w:rsidR="00AF363B" w:rsidRPr="00797F38" w:rsidRDefault="00AF363B" w:rsidP="00AF363B">
      <w:pPr>
        <w:pStyle w:val="ListParagraph"/>
        <w:tabs>
          <w:tab w:val="clear" w:pos="1134"/>
        </w:tabs>
        <w:autoSpaceDE w:val="0"/>
        <w:autoSpaceDN w:val="0"/>
        <w:adjustRightInd w:val="0"/>
        <w:spacing w:before="120"/>
        <w:ind w:left="1080"/>
        <w:jc w:val="left"/>
        <w:rPr>
          <w:i/>
          <w:iCs/>
        </w:rPr>
      </w:pPr>
    </w:p>
    <w:p w14:paraId="17A1D7F2" w14:textId="77777777" w:rsidR="00AF363B" w:rsidRDefault="00AF363B" w:rsidP="00AF363B">
      <w:pPr>
        <w:tabs>
          <w:tab w:val="clear" w:pos="1134"/>
        </w:tabs>
        <w:autoSpaceDE w:val="0"/>
        <w:autoSpaceDN w:val="0"/>
        <w:adjustRightInd w:val="0"/>
        <w:jc w:val="center"/>
      </w:pPr>
      <w:r>
        <w:rPr>
          <w:noProof/>
        </w:rPr>
        <w:drawing>
          <wp:inline distT="0" distB="0" distL="0" distR="0" wp14:anchorId="09CCA9C7" wp14:editId="0B99E288">
            <wp:extent cx="3994150" cy="1857153"/>
            <wp:effectExtent l="0" t="0" r="6350" b="0"/>
            <wp:docPr id="4063287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6969" cy="1863113"/>
                    </a:xfrm>
                    <a:prstGeom prst="rect">
                      <a:avLst/>
                    </a:prstGeom>
                    <a:noFill/>
                    <a:ln>
                      <a:noFill/>
                    </a:ln>
                  </pic:spPr>
                </pic:pic>
              </a:graphicData>
            </a:graphic>
          </wp:inline>
        </w:drawing>
      </w:r>
      <w:r w:rsidRPr="003C1564">
        <w:t xml:space="preserve"> </w:t>
      </w:r>
      <w:r w:rsidRPr="003C1564">
        <w:rPr>
          <w:noProof/>
        </w:rPr>
        <w:drawing>
          <wp:inline distT="0" distB="0" distL="0" distR="0" wp14:anchorId="29942777" wp14:editId="33BAD294">
            <wp:extent cx="3575050" cy="2369643"/>
            <wp:effectExtent l="0" t="0" r="6350" b="0"/>
            <wp:docPr id="375351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2485" cy="2374571"/>
                    </a:xfrm>
                    <a:prstGeom prst="rect">
                      <a:avLst/>
                    </a:prstGeom>
                    <a:noFill/>
                    <a:ln>
                      <a:noFill/>
                    </a:ln>
                  </pic:spPr>
                </pic:pic>
              </a:graphicData>
            </a:graphic>
          </wp:inline>
        </w:drawing>
      </w:r>
    </w:p>
    <w:p w14:paraId="36E60D21" w14:textId="77777777" w:rsidR="00AF363B" w:rsidRPr="00F879ED" w:rsidRDefault="00AF363B" w:rsidP="00AF363B">
      <w:pPr>
        <w:pStyle w:val="ListParagraph"/>
        <w:numPr>
          <w:ilvl w:val="1"/>
          <w:numId w:val="54"/>
        </w:numPr>
        <w:tabs>
          <w:tab w:val="clear" w:pos="1134"/>
        </w:tabs>
        <w:autoSpaceDE w:val="0"/>
        <w:autoSpaceDN w:val="0"/>
        <w:adjustRightInd w:val="0"/>
        <w:spacing w:before="240" w:after="240"/>
        <w:ind w:left="567" w:hanging="567"/>
        <w:contextualSpacing w:val="0"/>
        <w:jc w:val="left"/>
        <w:rPr>
          <w:b/>
          <w:bCs/>
          <w:i/>
          <w:iCs/>
          <w:lang w:val="es-ES"/>
        </w:rPr>
      </w:pPr>
      <w:r>
        <w:rPr>
          <w:b/>
          <w:bCs/>
          <w:i/>
          <w:iCs/>
          <w:lang w:val="es-ES"/>
        </w:rPr>
        <w:t>Número de miembros del personal que necesitan formación, por categoría profesional:</w:t>
      </w:r>
      <w:r>
        <w:rPr>
          <w:lang w:val="es-ES"/>
        </w:rPr>
        <w:t xml:space="preserve"> </w:t>
      </w:r>
    </w:p>
    <w:p w14:paraId="32926916"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rPr>
      </w:pPr>
      <w:r>
        <w:rPr>
          <w:lang w:val="es-ES"/>
        </w:rPr>
        <w:lastRenderedPageBreak/>
        <w:t xml:space="preserve">En la Región VI, los grupos más numerosos del personal del SMHN con necesidad de formación estaban equilibrados entre Técnicos Meteorológicos y Meteorólogos, representando </w:t>
      </w:r>
      <w:proofErr w:type="gramStart"/>
      <w:r>
        <w:rPr>
          <w:lang w:val="es-ES"/>
        </w:rPr>
        <w:t>ambos alrededor</w:t>
      </w:r>
      <w:proofErr w:type="gramEnd"/>
      <w:r>
        <w:rPr>
          <w:lang w:val="es-ES"/>
        </w:rPr>
        <w:t xml:space="preserve"> del 30% de las personas con necesidad de formación. La Región VI </w:t>
      </w:r>
      <w:proofErr w:type="gramStart"/>
      <w:r>
        <w:rPr>
          <w:lang w:val="es-ES"/>
        </w:rPr>
        <w:t>hizo especial hincapié</w:t>
      </w:r>
      <w:proofErr w:type="gramEnd"/>
      <w:r>
        <w:rPr>
          <w:lang w:val="es-ES"/>
        </w:rPr>
        <w:t xml:space="preserve"> en la formación de investigadores, que constituían el 10% de los miembros del personal del SMHN que necesitaban formación en la región.</w:t>
      </w:r>
    </w:p>
    <w:p w14:paraId="35D64297" w14:textId="77777777" w:rsidR="00AF363B" w:rsidRPr="00F879ED" w:rsidRDefault="00AF363B" w:rsidP="00AF363B">
      <w:pPr>
        <w:tabs>
          <w:tab w:val="clear" w:pos="1134"/>
        </w:tabs>
        <w:autoSpaceDE w:val="0"/>
        <w:autoSpaceDN w:val="0"/>
        <w:adjustRightInd w:val="0"/>
        <w:spacing w:before="120"/>
        <w:jc w:val="left"/>
        <w:rPr>
          <w:rFonts w:eastAsia="MS Mincho" w:cs="StoneSansITC-Medium"/>
          <w:i/>
          <w:iCs/>
          <w:lang w:val="es-ES"/>
        </w:rPr>
      </w:pPr>
      <w:r>
        <w:rPr>
          <w:lang w:val="es-ES"/>
        </w:rPr>
        <w:t xml:space="preserve">Los encuestados de la Región VI previeron que 1 116 expertos recibirían formación en 2021, un número sustancialmente inferior a los 4 429 expertos que los encuestados de la Región VI previeron que recibirían formación en 2017. </w:t>
      </w:r>
      <w:r>
        <w:rPr>
          <w:i/>
          <w:iCs/>
          <w:lang w:val="es-ES"/>
        </w:rPr>
        <w:t>La diferencia en estas cifras se debe a que algunos Miembros de la Región VI han respondido a la encuesta de 2017 pero no a la de 2021, y a que algunos Miembros de la Región VI han notificado cifras menores en 2021 que en 2017.</w:t>
      </w:r>
    </w:p>
    <w:p w14:paraId="77C56D46"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eastAsia="zh-TW"/>
        </w:rPr>
      </w:pPr>
    </w:p>
    <w:p w14:paraId="6BFE0F23"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rPr>
      </w:pPr>
      <w:r>
        <w:rPr>
          <w:lang w:val="es-ES"/>
        </w:rPr>
        <w:t>El apoyo de la OMM a las becas para cursos de corta duración fue una prioridad para el 41% de los encuestados de la Región VI. El apoyo de la OMM a las becas para programas de licenciatura, máster y doctorado sólo era una prioridad para entre el 4% y el 7% de los encuestados de la Región VI.</w:t>
      </w:r>
    </w:p>
    <w:p w14:paraId="0C97A389" w14:textId="77777777" w:rsidR="00AF363B" w:rsidRPr="00F879ED" w:rsidRDefault="00AF363B" w:rsidP="00AF363B">
      <w:pPr>
        <w:tabs>
          <w:tab w:val="clear" w:pos="1134"/>
        </w:tabs>
        <w:autoSpaceDE w:val="0"/>
        <w:autoSpaceDN w:val="0"/>
        <w:adjustRightInd w:val="0"/>
        <w:spacing w:before="120"/>
        <w:jc w:val="left"/>
        <w:rPr>
          <w:rFonts w:eastAsia="MS Mincho" w:cs="StoneSansITC-MediumItalic"/>
          <w:i/>
          <w:iCs/>
          <w:lang w:val="es-ES"/>
        </w:rPr>
      </w:pPr>
      <w:r>
        <w:rPr>
          <w:i/>
          <w:iCs/>
          <w:lang w:val="es-ES"/>
        </w:rPr>
        <w:t>Cursos cortos</w:t>
      </w:r>
    </w:p>
    <w:p w14:paraId="30696EF3"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rPr>
      </w:pPr>
      <w:r>
        <w:rPr>
          <w:lang w:val="es-ES"/>
        </w:rPr>
        <w:t xml:space="preserve">El apoyo de la OMM a becas para cursos de corta duración fue un </w:t>
      </w:r>
    </w:p>
    <w:p w14:paraId="57D2323F" w14:textId="77777777" w:rsidR="00AF363B" w:rsidRPr="00F879ED" w:rsidRDefault="00AF363B" w:rsidP="00AF363B">
      <w:pPr>
        <w:pStyle w:val="ListParagraph"/>
        <w:numPr>
          <w:ilvl w:val="0"/>
          <w:numId w:val="49"/>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Alta prioridad para el 41% y prioridad media para el 15% de los encuestados de la Región VI.</w:t>
      </w:r>
    </w:p>
    <w:p w14:paraId="35DE9027" w14:textId="77777777" w:rsidR="00AF363B" w:rsidRPr="00F879ED" w:rsidRDefault="00AF363B" w:rsidP="00AF363B">
      <w:pPr>
        <w:pStyle w:val="ListParagraph"/>
        <w:numPr>
          <w:ilvl w:val="0"/>
          <w:numId w:val="49"/>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Baja prioridad para el 26% de los encuestados de la Región VI</w:t>
      </w:r>
    </w:p>
    <w:p w14:paraId="364CE5E9" w14:textId="77777777" w:rsidR="00AF363B" w:rsidRPr="00F879ED" w:rsidRDefault="00AF363B" w:rsidP="00AF363B">
      <w:pPr>
        <w:pStyle w:val="ListParagraph"/>
        <w:numPr>
          <w:ilvl w:val="0"/>
          <w:numId w:val="49"/>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 xml:space="preserve">Sin nivel de prioridad para el 19 </w:t>
      </w:r>
    </w:p>
    <w:p w14:paraId="3F1CE8E5" w14:textId="77777777" w:rsidR="00AF363B" w:rsidRPr="00F879ED" w:rsidRDefault="00AF363B" w:rsidP="00AF363B">
      <w:pPr>
        <w:tabs>
          <w:tab w:val="clear" w:pos="1134"/>
        </w:tabs>
        <w:autoSpaceDE w:val="0"/>
        <w:autoSpaceDN w:val="0"/>
        <w:adjustRightInd w:val="0"/>
        <w:spacing w:before="120"/>
        <w:jc w:val="left"/>
        <w:rPr>
          <w:rFonts w:eastAsia="MS Mincho" w:cs="StoneSansITC-MediumItalic"/>
          <w:i/>
          <w:iCs/>
          <w:lang w:val="es-ES"/>
        </w:rPr>
      </w:pPr>
      <w:r>
        <w:rPr>
          <w:i/>
          <w:iCs/>
          <w:lang w:val="es-ES"/>
        </w:rPr>
        <w:t>Programas de licenciatura</w:t>
      </w:r>
    </w:p>
    <w:p w14:paraId="531F7D72"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rPr>
      </w:pPr>
      <w:r>
        <w:rPr>
          <w:lang w:val="es-ES"/>
        </w:rPr>
        <w:t xml:space="preserve">El apoyo de la OMM a becas para programas de licenciatura fue a: </w:t>
      </w:r>
    </w:p>
    <w:p w14:paraId="7A1C5999" w14:textId="77777777" w:rsidR="00AF363B" w:rsidRPr="00F879ED" w:rsidRDefault="00AF363B" w:rsidP="00AF363B">
      <w:pPr>
        <w:pStyle w:val="ListParagraph"/>
        <w:numPr>
          <w:ilvl w:val="0"/>
          <w:numId w:val="47"/>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Alta prioridad para el 4% y prioridad media para el 11% de los encuestados de la Región VI. Así, el 15% de los encuestados de la Región VI consideraron que el apoyo de la OMM a las becas para programas de licenciatura era una prioridad alta o media.</w:t>
      </w:r>
    </w:p>
    <w:p w14:paraId="2CA644F5" w14:textId="77777777" w:rsidR="00AF363B" w:rsidRPr="00F879ED" w:rsidRDefault="00AF363B" w:rsidP="00AF363B">
      <w:pPr>
        <w:pStyle w:val="ListParagraph"/>
        <w:numPr>
          <w:ilvl w:val="0"/>
          <w:numId w:val="47"/>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Baja prioridad para el 56% de los encuestados de la Región VI</w:t>
      </w:r>
    </w:p>
    <w:p w14:paraId="01B046F2" w14:textId="77777777" w:rsidR="00AF363B" w:rsidRPr="00F879ED" w:rsidRDefault="00AF363B" w:rsidP="00AF363B">
      <w:pPr>
        <w:pStyle w:val="ListParagraph"/>
        <w:numPr>
          <w:ilvl w:val="0"/>
          <w:numId w:val="47"/>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Sin nivel de prioridad para el 30%.</w:t>
      </w:r>
    </w:p>
    <w:p w14:paraId="629E6085" w14:textId="77777777" w:rsidR="00AF363B" w:rsidRPr="00F879ED" w:rsidRDefault="00AF363B" w:rsidP="00AF363B">
      <w:pPr>
        <w:tabs>
          <w:tab w:val="clear" w:pos="1134"/>
        </w:tabs>
        <w:autoSpaceDE w:val="0"/>
        <w:autoSpaceDN w:val="0"/>
        <w:adjustRightInd w:val="0"/>
        <w:spacing w:before="120"/>
        <w:jc w:val="left"/>
        <w:rPr>
          <w:rFonts w:eastAsia="MS Mincho" w:cs="StoneSansITC-MediumItalic"/>
          <w:i/>
          <w:iCs/>
          <w:lang w:val="es-ES"/>
        </w:rPr>
      </w:pPr>
      <w:r>
        <w:rPr>
          <w:i/>
          <w:iCs/>
          <w:lang w:val="es-ES"/>
        </w:rPr>
        <w:t>Programas de máster</w:t>
      </w:r>
    </w:p>
    <w:p w14:paraId="70E9A768"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rPr>
      </w:pPr>
      <w:r>
        <w:rPr>
          <w:lang w:val="es-ES"/>
        </w:rPr>
        <w:t>El apoyo de la OMM a becas para programas de máster fue a:</w:t>
      </w:r>
    </w:p>
    <w:p w14:paraId="4EC83080" w14:textId="77777777" w:rsidR="00AF363B" w:rsidRPr="00F879ED" w:rsidRDefault="00AF363B" w:rsidP="00AF363B">
      <w:pPr>
        <w:pStyle w:val="ListParagraph"/>
        <w:numPr>
          <w:ilvl w:val="0"/>
          <w:numId w:val="47"/>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 xml:space="preserve">Alta prioridad para el 7% y prioridad media para el 11% de los encuestados de la Región VI. Así, el 19% de los encuestados de la Región VI consideran que las becas para programas de máster son una prioridad alta o media. </w:t>
      </w:r>
    </w:p>
    <w:p w14:paraId="70F971BE" w14:textId="77777777" w:rsidR="00AF363B" w:rsidRPr="00F879ED" w:rsidRDefault="00AF363B" w:rsidP="00AF363B">
      <w:pPr>
        <w:pStyle w:val="ListParagraph"/>
        <w:numPr>
          <w:ilvl w:val="0"/>
          <w:numId w:val="47"/>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Baja prioridad para el 52% de los encuestados de la Región VI</w:t>
      </w:r>
    </w:p>
    <w:p w14:paraId="2C8D7EA9" w14:textId="77777777" w:rsidR="00AF363B" w:rsidRPr="00F879ED" w:rsidRDefault="00AF363B" w:rsidP="00AF363B">
      <w:pPr>
        <w:pStyle w:val="ListParagraph"/>
        <w:numPr>
          <w:ilvl w:val="0"/>
          <w:numId w:val="47"/>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Sin nivel de prioridad para el 30%.</w:t>
      </w:r>
    </w:p>
    <w:p w14:paraId="4B40DDF4" w14:textId="77777777" w:rsidR="00AF363B" w:rsidRPr="00F879ED" w:rsidRDefault="00AF363B" w:rsidP="00AF363B">
      <w:pPr>
        <w:tabs>
          <w:tab w:val="clear" w:pos="1134"/>
        </w:tabs>
        <w:autoSpaceDE w:val="0"/>
        <w:autoSpaceDN w:val="0"/>
        <w:adjustRightInd w:val="0"/>
        <w:spacing w:before="120"/>
        <w:jc w:val="left"/>
        <w:rPr>
          <w:rFonts w:eastAsia="MS Mincho" w:cs="StoneSansITC-Medium"/>
          <w:i/>
          <w:iCs/>
          <w:lang w:val="es-ES"/>
        </w:rPr>
      </w:pPr>
      <w:r>
        <w:rPr>
          <w:i/>
          <w:iCs/>
          <w:lang w:val="es-ES"/>
        </w:rPr>
        <w:t>Programas de doctorado</w:t>
      </w:r>
    </w:p>
    <w:p w14:paraId="128FBB33"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rPr>
      </w:pPr>
      <w:r>
        <w:rPr>
          <w:lang w:val="es-ES"/>
        </w:rPr>
        <w:t xml:space="preserve">El apoyo de la OMM a becas para programas de doctorado fue un </w:t>
      </w:r>
    </w:p>
    <w:p w14:paraId="2F0D5A09" w14:textId="77777777" w:rsidR="00AF363B" w:rsidRPr="00F879ED" w:rsidRDefault="00AF363B" w:rsidP="00AF363B">
      <w:pPr>
        <w:pStyle w:val="ListParagraph"/>
        <w:numPr>
          <w:ilvl w:val="0"/>
          <w:numId w:val="48"/>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Alta prioridad para el 7% y prioridad media para el 11% de los encuestados de la Región VI.</w:t>
      </w:r>
    </w:p>
    <w:p w14:paraId="2E43E230" w14:textId="77777777" w:rsidR="00AF363B" w:rsidRPr="00F879ED" w:rsidRDefault="00AF363B" w:rsidP="00AF363B">
      <w:pPr>
        <w:pStyle w:val="ListParagraph"/>
        <w:numPr>
          <w:ilvl w:val="0"/>
          <w:numId w:val="48"/>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Baja prioridad para el 52% de los encuestados de la Región VI</w:t>
      </w:r>
    </w:p>
    <w:p w14:paraId="7D4919E2" w14:textId="77777777" w:rsidR="00AF363B" w:rsidRPr="00F879ED" w:rsidRDefault="00AF363B" w:rsidP="00AF363B">
      <w:pPr>
        <w:pStyle w:val="ListParagraph"/>
        <w:numPr>
          <w:ilvl w:val="0"/>
          <w:numId w:val="48"/>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Sin nivel de prioridad para el 30%.</w:t>
      </w:r>
    </w:p>
    <w:p w14:paraId="7872FA1F" w14:textId="77777777" w:rsidR="00AF363B" w:rsidRPr="00F879ED" w:rsidRDefault="00AF363B" w:rsidP="00AF363B">
      <w:pPr>
        <w:pStyle w:val="ListParagraph"/>
        <w:numPr>
          <w:ilvl w:val="1"/>
          <w:numId w:val="54"/>
        </w:numPr>
        <w:tabs>
          <w:tab w:val="clear" w:pos="1134"/>
        </w:tabs>
        <w:autoSpaceDE w:val="0"/>
        <w:autoSpaceDN w:val="0"/>
        <w:adjustRightInd w:val="0"/>
        <w:spacing w:before="240" w:after="240"/>
        <w:ind w:left="567" w:hanging="567"/>
        <w:contextualSpacing w:val="0"/>
        <w:jc w:val="left"/>
        <w:rPr>
          <w:b/>
          <w:bCs/>
          <w:i/>
          <w:iCs/>
          <w:lang w:val="es-ES"/>
        </w:rPr>
      </w:pPr>
      <w:r>
        <w:rPr>
          <w:b/>
          <w:bCs/>
          <w:i/>
          <w:iCs/>
          <w:lang w:val="es-ES"/>
        </w:rPr>
        <w:t>Implantación de BIP-M y BIP-MT:</w:t>
      </w:r>
      <w:r>
        <w:rPr>
          <w:lang w:val="es-ES"/>
        </w:rPr>
        <w:t xml:space="preserve"> </w:t>
      </w:r>
    </w:p>
    <w:p w14:paraId="6DF25D63"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rPr>
      </w:pPr>
      <w:r>
        <w:rPr>
          <w:lang w:val="es-ES"/>
        </w:rPr>
        <w:t xml:space="preserve">En el momento de la encuesta de 2021, la Región VI estaba a la cabeza en lo que respecta a que todos los miembros pertinentes del personal de los SMHN de esa región habían </w:t>
      </w:r>
      <w:r>
        <w:rPr>
          <w:lang w:val="es-ES"/>
        </w:rPr>
        <w:lastRenderedPageBreak/>
        <w:t>completado el BIP-M, el Paquete de Instrucción Básica para Hidrólogos (BIP-H) y el Paquete de Instrucción Básica para Técnicos Hidrólogos (BIP-HT).</w:t>
      </w:r>
    </w:p>
    <w:p w14:paraId="05F58EFD" w14:textId="77777777" w:rsidR="00AF363B" w:rsidRDefault="00AF363B" w:rsidP="00AF363B">
      <w:pPr>
        <w:tabs>
          <w:tab w:val="clear" w:pos="1134"/>
        </w:tabs>
        <w:autoSpaceDE w:val="0"/>
        <w:autoSpaceDN w:val="0"/>
        <w:adjustRightInd w:val="0"/>
        <w:spacing w:before="120"/>
        <w:jc w:val="center"/>
        <w:rPr>
          <w:rFonts w:eastAsia="MS Mincho" w:cs="StoneSansITC-Medium"/>
          <w:lang w:eastAsia="zh-TW"/>
        </w:rPr>
      </w:pPr>
      <w:r w:rsidRPr="00BD65C2">
        <w:rPr>
          <w:rFonts w:eastAsia="MS Mincho" w:cs="StoneSansITC-Medium"/>
          <w:noProof/>
          <w:lang w:eastAsia="zh-TW"/>
        </w:rPr>
        <w:drawing>
          <wp:inline distT="0" distB="0" distL="0" distR="0" wp14:anchorId="212D4325" wp14:editId="6075B1F0">
            <wp:extent cx="5759450" cy="1778000"/>
            <wp:effectExtent l="0" t="0" r="0" b="0"/>
            <wp:docPr id="12435794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1778000"/>
                    </a:xfrm>
                    <a:prstGeom prst="rect">
                      <a:avLst/>
                    </a:prstGeom>
                    <a:noFill/>
                    <a:ln>
                      <a:noFill/>
                    </a:ln>
                  </pic:spPr>
                </pic:pic>
              </a:graphicData>
            </a:graphic>
          </wp:inline>
        </w:drawing>
      </w:r>
    </w:p>
    <w:p w14:paraId="387B224E" w14:textId="77777777" w:rsidR="00AF363B" w:rsidRDefault="00AF363B" w:rsidP="00AF363B">
      <w:pPr>
        <w:tabs>
          <w:tab w:val="clear" w:pos="1134"/>
        </w:tabs>
        <w:jc w:val="left"/>
        <w:rPr>
          <w:rFonts w:eastAsia="MS Mincho" w:cs="StoneSansITC-Medium"/>
          <w:lang w:eastAsia="zh-TW"/>
        </w:rPr>
      </w:pPr>
    </w:p>
    <w:p w14:paraId="66DFCC1F" w14:textId="77777777" w:rsidR="00AF363B" w:rsidRPr="00F879ED" w:rsidRDefault="00AF363B" w:rsidP="00AF363B">
      <w:pPr>
        <w:pStyle w:val="ListParagraph"/>
        <w:numPr>
          <w:ilvl w:val="1"/>
          <w:numId w:val="54"/>
        </w:numPr>
        <w:tabs>
          <w:tab w:val="clear" w:pos="1134"/>
        </w:tabs>
        <w:autoSpaceDE w:val="0"/>
        <w:autoSpaceDN w:val="0"/>
        <w:adjustRightInd w:val="0"/>
        <w:spacing w:before="240" w:after="240"/>
        <w:ind w:left="567" w:hanging="567"/>
        <w:contextualSpacing w:val="0"/>
        <w:jc w:val="left"/>
        <w:rPr>
          <w:b/>
          <w:bCs/>
          <w:i/>
          <w:iCs/>
          <w:lang w:val="es-ES"/>
        </w:rPr>
      </w:pPr>
      <w:r>
        <w:rPr>
          <w:b/>
          <w:bCs/>
          <w:i/>
          <w:iCs/>
          <w:lang w:val="es-ES"/>
        </w:rPr>
        <w:t>Ámbitos en los que era necesaria la formación del personal de los SMHN</w:t>
      </w:r>
    </w:p>
    <w:p w14:paraId="32A6AD89" w14:textId="77777777" w:rsidR="00AF363B" w:rsidRPr="00F879ED" w:rsidRDefault="00AF363B" w:rsidP="00AF363B">
      <w:pPr>
        <w:tabs>
          <w:tab w:val="clear" w:pos="1134"/>
        </w:tabs>
        <w:autoSpaceDE w:val="0"/>
        <w:autoSpaceDN w:val="0"/>
        <w:adjustRightInd w:val="0"/>
        <w:spacing w:before="120"/>
        <w:jc w:val="left"/>
        <w:rPr>
          <w:rFonts w:eastAsia="MS Mincho" w:cs="StoneSansITC-Medium"/>
          <w:lang w:val="es-ES"/>
        </w:rPr>
      </w:pPr>
      <w:r>
        <w:rPr>
          <w:lang w:val="es-ES"/>
        </w:rPr>
        <w:t>Los temas de formación prioritarios globales fueron coherentes en las encuestas de 2017 y 2021.</w:t>
      </w:r>
    </w:p>
    <w:p w14:paraId="3F5C264E" w14:textId="77777777" w:rsidR="00AF363B" w:rsidRPr="00F879ED" w:rsidRDefault="00AF363B" w:rsidP="00AF363B">
      <w:pPr>
        <w:pStyle w:val="ListParagraph"/>
        <w:numPr>
          <w:ilvl w:val="0"/>
          <w:numId w:val="50"/>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Los ámbitos que requieren más formación, según los encuestados en ambas encuestas, son la previsión meteorológica, los servicios climáticos y la modelización atmosférica, así como la predicción numérica del tiempo (NWP), la instrumentación/observación y la hidrología/hidro meteorología.</w:t>
      </w:r>
    </w:p>
    <w:p w14:paraId="4D364764" w14:textId="77777777" w:rsidR="00AF363B" w:rsidRPr="00F879ED" w:rsidRDefault="00AF363B" w:rsidP="00AF363B">
      <w:pPr>
        <w:pStyle w:val="ListParagraph"/>
        <w:numPr>
          <w:ilvl w:val="0"/>
          <w:numId w:val="50"/>
        </w:numPr>
        <w:tabs>
          <w:tab w:val="clear" w:pos="1134"/>
        </w:tabs>
        <w:autoSpaceDE w:val="0"/>
        <w:autoSpaceDN w:val="0"/>
        <w:adjustRightInd w:val="0"/>
        <w:spacing w:before="120"/>
        <w:ind w:left="567" w:hanging="567"/>
        <w:contextualSpacing w:val="0"/>
        <w:jc w:val="left"/>
        <w:rPr>
          <w:rFonts w:eastAsia="MS Mincho" w:cs="StoneSansITC-Medium"/>
          <w:lang w:val="es-ES"/>
        </w:rPr>
      </w:pPr>
      <w:r>
        <w:rPr>
          <w:lang w:val="es-ES"/>
        </w:rPr>
        <w:t>También era importante la Agrometeorología; Meteorología aeronáutica; Habilidades de gestión y administración, e informática y procesamiento de datos</w:t>
      </w:r>
    </w:p>
    <w:p w14:paraId="365DA4FD" w14:textId="77777777" w:rsidR="00AF363B" w:rsidRPr="00F879ED" w:rsidRDefault="00AF363B" w:rsidP="00AF363B">
      <w:pPr>
        <w:pStyle w:val="ListParagraph"/>
        <w:numPr>
          <w:ilvl w:val="0"/>
          <w:numId w:val="50"/>
        </w:numPr>
        <w:tabs>
          <w:tab w:val="clear" w:pos="1134"/>
        </w:tabs>
        <w:autoSpaceDE w:val="0"/>
        <w:autoSpaceDN w:val="0"/>
        <w:adjustRightInd w:val="0"/>
        <w:spacing w:before="120"/>
        <w:ind w:left="567" w:hanging="567"/>
        <w:contextualSpacing w:val="0"/>
        <w:jc w:val="left"/>
        <w:rPr>
          <w:lang w:val="es-ES"/>
        </w:rPr>
      </w:pPr>
      <w:r>
        <w:rPr>
          <w:lang w:val="es-ES"/>
        </w:rPr>
        <w:t>La meteorología marina y la oceanografía también figuran entre los temas de formación más importantes según los encuestados de 2021.</w:t>
      </w:r>
    </w:p>
    <w:p w14:paraId="418F59B3" w14:textId="77777777" w:rsidR="00AF363B" w:rsidRPr="00F879ED" w:rsidRDefault="00AF363B" w:rsidP="00AF363B">
      <w:pPr>
        <w:tabs>
          <w:tab w:val="clear" w:pos="1134"/>
        </w:tabs>
        <w:autoSpaceDE w:val="0"/>
        <w:autoSpaceDN w:val="0"/>
        <w:adjustRightInd w:val="0"/>
        <w:jc w:val="center"/>
        <w:rPr>
          <w:lang w:val="es-ES"/>
        </w:rPr>
      </w:pPr>
    </w:p>
    <w:p w14:paraId="3370EF0F" w14:textId="77777777" w:rsidR="00AF363B" w:rsidRDefault="00AF363B" w:rsidP="00AF363B">
      <w:pPr>
        <w:tabs>
          <w:tab w:val="clear" w:pos="1134"/>
        </w:tabs>
        <w:autoSpaceDE w:val="0"/>
        <w:autoSpaceDN w:val="0"/>
        <w:adjustRightInd w:val="0"/>
        <w:jc w:val="center"/>
      </w:pPr>
      <w:r w:rsidRPr="0037536C">
        <w:rPr>
          <w:noProof/>
        </w:rPr>
        <w:drawing>
          <wp:inline distT="0" distB="0" distL="0" distR="0" wp14:anchorId="1E3839AD" wp14:editId="6E09747E">
            <wp:extent cx="3778250" cy="2516056"/>
            <wp:effectExtent l="0" t="0" r="0" b="0"/>
            <wp:docPr id="12893131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0907" cy="2517825"/>
                    </a:xfrm>
                    <a:prstGeom prst="rect">
                      <a:avLst/>
                    </a:prstGeom>
                    <a:noFill/>
                    <a:ln>
                      <a:noFill/>
                    </a:ln>
                  </pic:spPr>
                </pic:pic>
              </a:graphicData>
            </a:graphic>
          </wp:inline>
        </w:drawing>
      </w:r>
    </w:p>
    <w:p w14:paraId="0E8FF3C9" w14:textId="77777777" w:rsidR="00AF363B" w:rsidRPr="00CE068A" w:rsidRDefault="00AF363B" w:rsidP="00AF363B">
      <w:pPr>
        <w:pStyle w:val="Heading3"/>
        <w:numPr>
          <w:ilvl w:val="0"/>
          <w:numId w:val="54"/>
        </w:numPr>
        <w:tabs>
          <w:tab w:val="num" w:pos="495"/>
        </w:tabs>
        <w:ind w:left="567" w:hanging="567"/>
      </w:pPr>
      <w:r>
        <w:rPr>
          <w:lang w:val="es-ES"/>
        </w:rPr>
        <w:t>Aplicación de las competencias</w:t>
      </w:r>
    </w:p>
    <w:p w14:paraId="4388179F" w14:textId="77777777" w:rsidR="00AF363B" w:rsidRPr="00F879ED" w:rsidRDefault="00AF363B" w:rsidP="00AF363B">
      <w:pPr>
        <w:tabs>
          <w:tab w:val="clear" w:pos="1134"/>
        </w:tabs>
        <w:autoSpaceDE w:val="0"/>
        <w:autoSpaceDN w:val="0"/>
        <w:adjustRightInd w:val="0"/>
        <w:spacing w:before="120"/>
        <w:jc w:val="left"/>
        <w:rPr>
          <w:lang w:val="es-ES"/>
        </w:rPr>
      </w:pPr>
      <w:r>
        <w:rPr>
          <w:lang w:val="es-ES"/>
        </w:rPr>
        <w:t>Esta información es preocupante, al menos para la meteorología aeronáutica, para la cual la implementación de la competencia era obligatoria desde 2013, el porcentaje de implementación sigue siendo bajo en la Región VI.</w:t>
      </w:r>
    </w:p>
    <w:p w14:paraId="56FF120A" w14:textId="77777777" w:rsidR="00AF363B" w:rsidRDefault="00AF363B" w:rsidP="00AF363B">
      <w:pPr>
        <w:tabs>
          <w:tab w:val="clear" w:pos="1134"/>
        </w:tabs>
        <w:autoSpaceDE w:val="0"/>
        <w:autoSpaceDN w:val="0"/>
        <w:adjustRightInd w:val="0"/>
        <w:spacing w:before="120"/>
        <w:jc w:val="center"/>
      </w:pPr>
      <w:r>
        <w:rPr>
          <w:noProof/>
        </w:rPr>
        <w:lastRenderedPageBreak/>
        <w:drawing>
          <wp:inline distT="0" distB="0" distL="0" distR="0" wp14:anchorId="7BC6ED05" wp14:editId="197FE4B6">
            <wp:extent cx="4429125" cy="2981325"/>
            <wp:effectExtent l="0" t="0" r="9525" b="9525"/>
            <wp:docPr id="1308537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537158" name=""/>
                    <pic:cNvPicPr/>
                  </pic:nvPicPr>
                  <pic:blipFill>
                    <a:blip r:embed="rId26"/>
                    <a:stretch>
                      <a:fillRect/>
                    </a:stretch>
                  </pic:blipFill>
                  <pic:spPr>
                    <a:xfrm>
                      <a:off x="0" y="0"/>
                      <a:ext cx="4429125" cy="2981325"/>
                    </a:xfrm>
                    <a:prstGeom prst="rect">
                      <a:avLst/>
                    </a:prstGeom>
                  </pic:spPr>
                </pic:pic>
              </a:graphicData>
            </a:graphic>
          </wp:inline>
        </w:drawing>
      </w:r>
    </w:p>
    <w:p w14:paraId="1263FD53" w14:textId="77777777" w:rsidR="00AF363B" w:rsidRPr="00F879ED" w:rsidRDefault="00AF363B" w:rsidP="00AF363B">
      <w:pPr>
        <w:pStyle w:val="Heading3"/>
        <w:numPr>
          <w:ilvl w:val="0"/>
          <w:numId w:val="54"/>
        </w:numPr>
        <w:tabs>
          <w:tab w:val="num" w:pos="495"/>
        </w:tabs>
        <w:ind w:left="567" w:hanging="567"/>
        <w:rPr>
          <w:i/>
          <w:iCs/>
          <w:lang w:val="es-ES"/>
        </w:rPr>
      </w:pPr>
      <w:r>
        <w:rPr>
          <w:lang w:val="es-ES"/>
        </w:rPr>
        <w:t>Implantación de los Paquetes de Instrucción Básica para Meteorólogos y Técnicos Meteorológicos</w:t>
      </w:r>
    </w:p>
    <w:p w14:paraId="20FA1E03" w14:textId="77777777" w:rsidR="00AF363B" w:rsidRPr="00F879ED" w:rsidRDefault="00AF363B" w:rsidP="00AF363B">
      <w:pPr>
        <w:pStyle w:val="WMOBodyText"/>
        <w:spacing w:before="120"/>
        <w:rPr>
          <w:lang w:val="es-ES"/>
        </w:rPr>
      </w:pPr>
      <w:r>
        <w:rPr>
          <w:lang w:val="es-ES"/>
        </w:rPr>
        <w:t>Los nuevos PIF-M y PIF-MT fueron aprobados por el Congreso en 2023.</w:t>
      </w:r>
    </w:p>
    <w:p w14:paraId="365E3028" w14:textId="4640DE4E" w:rsidR="00AF363B" w:rsidRPr="00F879ED" w:rsidRDefault="00AF363B" w:rsidP="00AF363B">
      <w:pPr>
        <w:pStyle w:val="WMOBodyText"/>
        <w:spacing w:before="120"/>
        <w:rPr>
          <w:rStyle w:val="eop"/>
          <w:color w:val="000000"/>
          <w:shd w:val="clear" w:color="auto" w:fill="FFFFFF"/>
          <w:lang w:val="es-ES"/>
        </w:rPr>
      </w:pPr>
      <w:r>
        <w:rPr>
          <w:lang w:val="es-ES"/>
        </w:rPr>
        <w:t xml:space="preserve">La </w:t>
      </w:r>
      <w:hyperlink r:id="rId27" w:history="1">
        <w:r w:rsidRPr="00AF363B">
          <w:rPr>
            <w:rStyle w:val="Hyperlink"/>
            <w:lang w:val="es-ES"/>
          </w:rPr>
          <w:t>Guía</w:t>
        </w:r>
      </w:hyperlink>
      <w:r>
        <w:rPr>
          <w:lang w:val="es-ES"/>
        </w:rPr>
        <w:t xml:space="preserve"> presenta el PIB-M y el PIB-TM, y facilita un entendimiento común de las cualificaciones que se exigen a las personas que aspiren a ser consideradas meteorólogos o técnicos en meteorología, según se definen en el Reglamento Técnico (OMM-</w:t>
      </w:r>
      <w:proofErr w:type="spellStart"/>
      <w:r>
        <w:rPr>
          <w:lang w:val="es-ES"/>
        </w:rPr>
        <w:t>Nº</w:t>
      </w:r>
      <w:proofErr w:type="spellEnd"/>
      <w:r>
        <w:rPr>
          <w:lang w:val="es-ES"/>
        </w:rPr>
        <w:t xml:space="preserve"> 49), Volumen I — Normas meteorológicas de carácter general y prácticas recomendadas. Asimismo, ayuda a los Servicios Meteorológicos e Hidrológicos Nacionales (SMHN) a establecer sus respectivos sistemas de clasificación del personal y programas de enseñanza, a fin de cumplir las normas internacionales. </w:t>
      </w:r>
    </w:p>
    <w:p w14:paraId="566A4AEB" w14:textId="1BA3BD8B" w:rsidR="00AF363B" w:rsidRPr="00F879ED" w:rsidRDefault="00AF363B" w:rsidP="00AF363B">
      <w:pPr>
        <w:pStyle w:val="WMOBodyText"/>
        <w:spacing w:before="120"/>
        <w:rPr>
          <w:rStyle w:val="eop"/>
          <w:color w:val="000000"/>
          <w:lang w:val="es-ES"/>
        </w:rPr>
      </w:pPr>
      <w:r>
        <w:rPr>
          <w:lang w:val="es-ES"/>
        </w:rPr>
        <w:t xml:space="preserve">Los nuevos PIF son más flexibles en su aplicación y están creando una profunda conexión con el </w:t>
      </w:r>
      <w:hyperlink r:id="rId28" w:history="1">
        <w:r w:rsidRPr="00AF363B">
          <w:rPr>
            <w:rStyle w:val="Hyperlink"/>
            <w:i/>
            <w:iCs/>
            <w:lang w:val="es-ES"/>
          </w:rPr>
          <w:t>Compendio de marcos de competencias de la OMM</w:t>
        </w:r>
      </w:hyperlink>
      <w:r>
        <w:rPr>
          <w:lang w:val="es-ES"/>
        </w:rPr>
        <w:t xml:space="preserve"> (OMM-</w:t>
      </w:r>
      <w:proofErr w:type="spellStart"/>
      <w:r>
        <w:rPr>
          <w:lang w:val="es-ES"/>
        </w:rPr>
        <w:t>Nº</w:t>
      </w:r>
      <w:proofErr w:type="spellEnd"/>
      <w:r>
        <w:rPr>
          <w:lang w:val="es-ES"/>
        </w:rPr>
        <w:t xml:space="preserve"> 1209). Los PIF describen los conocimientos subyacentes para adquirir habilidades comunes a todos los profesionales de las categorías descritas, que pueden utilizar como plataforma para desarrollar las competencias necesarias para funciones específicas y seguir aprendiendo a lo largo de su carrera, y hace referencia a los marcos de competencias para las necesidades de formación de la especialidad.</w:t>
      </w:r>
    </w:p>
    <w:p w14:paraId="46C8F1C9" w14:textId="77777777" w:rsidR="00AF363B" w:rsidRPr="00F879ED" w:rsidRDefault="00AF363B" w:rsidP="00AF363B">
      <w:pPr>
        <w:pStyle w:val="Heading3"/>
        <w:numPr>
          <w:ilvl w:val="0"/>
          <w:numId w:val="54"/>
        </w:numPr>
        <w:tabs>
          <w:tab w:val="num" w:pos="495"/>
        </w:tabs>
        <w:ind w:left="567" w:hanging="567"/>
        <w:rPr>
          <w:lang w:val="es-ES"/>
        </w:rPr>
      </w:pPr>
      <w:r>
        <w:rPr>
          <w:lang w:val="es-ES"/>
        </w:rPr>
        <w:t>Centros Regionales de Formación de la Organización Meteorológica Mundial</w:t>
      </w:r>
    </w:p>
    <w:p w14:paraId="25F092C0" w14:textId="77777777" w:rsidR="00AF363B" w:rsidRPr="00F879ED" w:rsidRDefault="00AF363B" w:rsidP="00AF363B">
      <w:pPr>
        <w:pStyle w:val="WMOBodyText"/>
        <w:spacing w:before="120"/>
        <w:rPr>
          <w:rFonts w:cs="Segoe UI"/>
          <w:color w:val="000000"/>
          <w:lang w:val="es-ES"/>
        </w:rPr>
      </w:pPr>
      <w:r>
        <w:rPr>
          <w:lang w:val="es-ES"/>
        </w:rPr>
        <w:t>La Región VI cuenta con el apoyo de cinco Centros Regionales de Formación de la OMM en Israel, Italia, la Federación de Rusia, España y Turquía. Estos centros tienen siete componentes y ofrecieron unos 260 cursos de corta duración, larga duración y a distancia en 2023, formando a unos 900 participantes internacionales.</w:t>
      </w:r>
    </w:p>
    <w:p w14:paraId="193A845A" w14:textId="77777777" w:rsidR="00AF363B" w:rsidRPr="00F879ED" w:rsidRDefault="00AF363B" w:rsidP="00AF363B">
      <w:pPr>
        <w:pStyle w:val="WMOBodyText"/>
        <w:spacing w:before="120"/>
        <w:rPr>
          <w:rFonts w:cs="Segoe UI"/>
          <w:color w:val="000000"/>
          <w:lang w:val="es-ES"/>
        </w:rPr>
      </w:pPr>
      <w:r>
        <w:rPr>
          <w:lang w:val="es-ES"/>
        </w:rPr>
        <w:t xml:space="preserve">Los Centros Regionales de Formación (CRF) de Turquía e Israel tuvieron dificultades para acoger cursos el año pasado, pero han empezado a ofrecerlos este año. </w:t>
      </w:r>
    </w:p>
    <w:p w14:paraId="74F437CD" w14:textId="77777777" w:rsidR="00AF363B" w:rsidRPr="00F879ED" w:rsidRDefault="00AF363B" w:rsidP="00AF363B">
      <w:pPr>
        <w:pStyle w:val="WMOBodyText"/>
        <w:spacing w:before="120"/>
        <w:rPr>
          <w:rFonts w:cs="Segoe UI"/>
          <w:color w:val="000000"/>
          <w:lang w:val="es-ES"/>
        </w:rPr>
      </w:pPr>
      <w:r>
        <w:rPr>
          <w:lang w:val="es-ES"/>
        </w:rPr>
        <w:t xml:space="preserve">El RTC en España </w:t>
      </w:r>
      <w:proofErr w:type="gramStart"/>
      <w:r>
        <w:rPr>
          <w:lang w:val="es-ES"/>
        </w:rPr>
        <w:t>se centra principalmente en</w:t>
      </w:r>
      <w:proofErr w:type="gramEnd"/>
      <w:r>
        <w:rPr>
          <w:lang w:val="es-ES"/>
        </w:rPr>
        <w:t xml:space="preserve"> los cursos BIP-M y de Liderazgo y Gestión, principalmente para los SMHN iberoamericanos.</w:t>
      </w:r>
    </w:p>
    <w:p w14:paraId="580D9BC6" w14:textId="77777777" w:rsidR="00AF363B" w:rsidRPr="00F879ED" w:rsidRDefault="00AF363B" w:rsidP="00AF363B">
      <w:pPr>
        <w:pStyle w:val="WMOBodyText"/>
        <w:spacing w:before="120"/>
        <w:rPr>
          <w:rFonts w:cs="Segoe UI"/>
          <w:color w:val="000000"/>
          <w:lang w:val="es-ES"/>
        </w:rPr>
      </w:pPr>
      <w:r>
        <w:rPr>
          <w:lang w:val="es-ES"/>
        </w:rPr>
        <w:t>Cabe destacar que en 2023 y 2024, los Miembros de la Región VI no solicitaron becas de la OMM, y las solicitudes de formación fueron mínimas.</w:t>
      </w:r>
    </w:p>
    <w:p w14:paraId="1D1DCEC7" w14:textId="77777777" w:rsidR="00AF363B" w:rsidRPr="00F879ED" w:rsidRDefault="00AF363B" w:rsidP="00AF363B">
      <w:pPr>
        <w:pStyle w:val="WMOBodyText"/>
        <w:spacing w:before="120"/>
        <w:rPr>
          <w:rFonts w:cs="Segoe UI"/>
          <w:color w:val="000000"/>
          <w:lang w:val="es-ES"/>
        </w:rPr>
      </w:pPr>
      <w:r>
        <w:rPr>
          <w:lang w:val="es-ES"/>
        </w:rPr>
        <w:t xml:space="preserve">En 2024 RTC Israel y </w:t>
      </w:r>
      <w:proofErr w:type="spellStart"/>
      <w:r>
        <w:rPr>
          <w:lang w:val="es-ES"/>
        </w:rPr>
        <w:t>Türkiye</w:t>
      </w:r>
      <w:proofErr w:type="spellEnd"/>
      <w:r>
        <w:rPr>
          <w:lang w:val="es-ES"/>
        </w:rPr>
        <w:t xml:space="preserve"> han sido revisados externamente y reconfirmados por EC-78.</w:t>
      </w:r>
    </w:p>
    <w:p w14:paraId="1B926596" w14:textId="77777777" w:rsidR="00AF363B" w:rsidRPr="00F879ED" w:rsidRDefault="00AF363B" w:rsidP="00AF363B">
      <w:pPr>
        <w:pStyle w:val="WMOBodyText"/>
        <w:spacing w:before="120"/>
        <w:rPr>
          <w:lang w:val="es-ES"/>
        </w:rPr>
      </w:pPr>
      <w:r>
        <w:rPr>
          <w:lang w:val="es-ES"/>
        </w:rPr>
        <w:lastRenderedPageBreak/>
        <w:t>El Compendio de oportunidades de becas de la OMM pone de relieve el apoyo prestado en la Región en términos de oportunidades de educación y formación distintas de los Centros Regionales de Formación de la OMM. Las propuestas proceden de Francia (</w:t>
      </w:r>
      <w:proofErr w:type="spellStart"/>
      <w:r>
        <w:rPr>
          <w:lang w:val="es-ES"/>
        </w:rPr>
        <w:t>Ecole</w:t>
      </w:r>
      <w:proofErr w:type="spellEnd"/>
      <w:r>
        <w:rPr>
          <w:lang w:val="es-ES"/>
        </w:rPr>
        <w:t xml:space="preserve"> </w:t>
      </w:r>
      <w:proofErr w:type="spellStart"/>
      <w:r>
        <w:rPr>
          <w:lang w:val="es-ES"/>
        </w:rPr>
        <w:t>Nationale</w:t>
      </w:r>
      <w:proofErr w:type="spellEnd"/>
      <w:r>
        <w:rPr>
          <w:lang w:val="es-ES"/>
        </w:rPr>
        <w:t xml:space="preserve"> de </w:t>
      </w:r>
      <w:proofErr w:type="spellStart"/>
      <w:r>
        <w:rPr>
          <w:lang w:val="es-ES"/>
        </w:rPr>
        <w:t>Météorologie</w:t>
      </w:r>
      <w:proofErr w:type="spellEnd"/>
      <w:r>
        <w:rPr>
          <w:lang w:val="es-ES"/>
        </w:rPr>
        <w:t xml:space="preserve">), Alemania (Leibniz </w:t>
      </w:r>
      <w:proofErr w:type="spellStart"/>
      <w:r>
        <w:rPr>
          <w:lang w:val="es-ES"/>
        </w:rPr>
        <w:t>Universität</w:t>
      </w:r>
      <w:proofErr w:type="spellEnd"/>
      <w:r>
        <w:rPr>
          <w:lang w:val="es-ES"/>
        </w:rPr>
        <w:t xml:space="preserve"> Hannover), los Países Bajos (IHE-Delft), Rumanía (Universidad de Bucarest), la Federación Rusa (RSHU-San Petersburgo) y el Reino Unido (Universidad de Reading y Centro Europeo de Previsiones Meteorológicas a Medio Plazo (ECMWF)).</w:t>
      </w:r>
    </w:p>
    <w:p w14:paraId="5A4FF54C" w14:textId="77777777" w:rsidR="00AF363B" w:rsidRPr="00F879ED" w:rsidRDefault="00AF363B" w:rsidP="00AF363B">
      <w:pPr>
        <w:pStyle w:val="WMOBodyText"/>
        <w:spacing w:before="120"/>
        <w:rPr>
          <w:rFonts w:cs="Segoe UI"/>
          <w:color w:val="000000"/>
          <w:lang w:val="es-ES"/>
        </w:rPr>
      </w:pPr>
      <w:r>
        <w:rPr>
          <w:lang w:val="es-ES"/>
        </w:rPr>
        <w:t>El apoyo financiero a las actividades de educación y formación procede de distintos fondos fiduciarios y programas de cooperación voluntaria, como el Programa de Cooperación Voluntaria (PCV) de Francia, el Fondo Fiduciario de España y el PCV del Reino Unido.</w:t>
      </w:r>
    </w:p>
    <w:p w14:paraId="48823B3A" w14:textId="77777777" w:rsidR="00AF363B" w:rsidRPr="00F879ED" w:rsidRDefault="00AF363B" w:rsidP="00AF363B">
      <w:pPr>
        <w:pStyle w:val="Heading3"/>
        <w:numPr>
          <w:ilvl w:val="0"/>
          <w:numId w:val="54"/>
        </w:numPr>
        <w:tabs>
          <w:tab w:val="num" w:pos="495"/>
        </w:tabs>
        <w:ind w:left="567" w:hanging="567"/>
        <w:rPr>
          <w:lang w:val="es-ES"/>
        </w:rPr>
      </w:pPr>
      <w:r>
        <w:rPr>
          <w:lang w:val="es-ES"/>
        </w:rPr>
        <w:t>Movilización de recursos para el PEFP</w:t>
      </w:r>
    </w:p>
    <w:p w14:paraId="4726F903" w14:textId="77777777" w:rsidR="00AF363B" w:rsidRPr="00F879ED" w:rsidRDefault="00AF363B" w:rsidP="00AF363B">
      <w:pPr>
        <w:pStyle w:val="ListParagraph"/>
        <w:tabs>
          <w:tab w:val="clear" w:pos="1134"/>
        </w:tabs>
        <w:kinsoku w:val="0"/>
        <w:overflowPunct w:val="0"/>
        <w:autoSpaceDE w:val="0"/>
        <w:autoSpaceDN w:val="0"/>
        <w:adjustRightInd w:val="0"/>
        <w:spacing w:before="120"/>
        <w:ind w:left="0"/>
        <w:contextualSpacing w:val="0"/>
        <w:jc w:val="left"/>
        <w:rPr>
          <w:rFonts w:eastAsia="Calibri"/>
          <w:lang w:val="es-ES"/>
        </w:rPr>
      </w:pPr>
      <w:r>
        <w:rPr>
          <w:lang w:val="es-ES"/>
        </w:rPr>
        <w:t>La CE-78 aprobó una nueva descripción del ETRP de la OMM, que contiene requisitos actualizados para el programa, teniendo en cuenta la evolución de las necesidades asociadas al desarrollo de la tecnología y al nuevo papel de los recursos humanos, relacionado con el valor añadido, y definió las competencias del personal.</w:t>
      </w:r>
    </w:p>
    <w:p w14:paraId="3D2BB2DE" w14:textId="77777777" w:rsidR="00AF363B" w:rsidRPr="00F879ED" w:rsidRDefault="00AF363B" w:rsidP="00AF363B">
      <w:pPr>
        <w:pStyle w:val="ListParagraph"/>
        <w:tabs>
          <w:tab w:val="clear" w:pos="1134"/>
        </w:tabs>
        <w:kinsoku w:val="0"/>
        <w:overflowPunct w:val="0"/>
        <w:autoSpaceDE w:val="0"/>
        <w:autoSpaceDN w:val="0"/>
        <w:adjustRightInd w:val="0"/>
        <w:spacing w:before="120"/>
        <w:ind w:left="0"/>
        <w:contextualSpacing w:val="0"/>
        <w:jc w:val="left"/>
        <w:rPr>
          <w:lang w:val="es-ES"/>
        </w:rPr>
      </w:pPr>
      <w:r>
        <w:rPr>
          <w:lang w:val="es-ES"/>
        </w:rPr>
        <w:t>Según la nueva descripción, los objetivos generales del ETRP son:</w:t>
      </w:r>
    </w:p>
    <w:p w14:paraId="5079D320" w14:textId="77777777" w:rsidR="00AF363B" w:rsidRPr="00F879ED" w:rsidRDefault="00AF363B" w:rsidP="00AF363B">
      <w:pPr>
        <w:pStyle w:val="ListParagraph"/>
        <w:numPr>
          <w:ilvl w:val="0"/>
          <w:numId w:val="51"/>
        </w:numPr>
        <w:tabs>
          <w:tab w:val="clear" w:pos="1134"/>
        </w:tabs>
        <w:kinsoku w:val="0"/>
        <w:overflowPunct w:val="0"/>
        <w:autoSpaceDE w:val="0"/>
        <w:autoSpaceDN w:val="0"/>
        <w:adjustRightInd w:val="0"/>
        <w:spacing w:before="120"/>
        <w:ind w:left="567" w:hanging="567"/>
        <w:contextualSpacing w:val="0"/>
        <w:jc w:val="left"/>
        <w:rPr>
          <w:lang w:val="es-ES"/>
        </w:rPr>
      </w:pPr>
      <w:r>
        <w:rPr>
          <w:lang w:val="es-ES"/>
        </w:rPr>
        <w:t>Ayudar a los SMHN a formar personal con las competencias necesarias para prestar los servicios meteorológicos, hidrológicos y medioambientales conexos que les encomienden sus gobiernos y que les ayuden a cumplir sus obligaciones internacionales;</w:t>
      </w:r>
    </w:p>
    <w:p w14:paraId="6CA562B7" w14:textId="77777777" w:rsidR="00AF363B" w:rsidRPr="00F879ED" w:rsidRDefault="00AF363B" w:rsidP="00AF363B">
      <w:pPr>
        <w:pStyle w:val="ListParagraph"/>
        <w:numPr>
          <w:ilvl w:val="0"/>
          <w:numId w:val="51"/>
        </w:numPr>
        <w:tabs>
          <w:tab w:val="clear" w:pos="1134"/>
        </w:tabs>
        <w:kinsoku w:val="0"/>
        <w:overflowPunct w:val="0"/>
        <w:autoSpaceDE w:val="0"/>
        <w:autoSpaceDN w:val="0"/>
        <w:adjustRightInd w:val="0"/>
        <w:spacing w:before="120"/>
        <w:ind w:left="567" w:hanging="567"/>
        <w:contextualSpacing w:val="0"/>
        <w:jc w:val="left"/>
        <w:rPr>
          <w:lang w:val="es-ES"/>
        </w:rPr>
      </w:pPr>
      <w:r>
        <w:rPr>
          <w:lang w:val="es-ES"/>
        </w:rPr>
        <w:t>Promover el desarrollo de capacidades ayudando a los SMHN a alcanzar un nivel adecuado de autosuficiencia para satisfacer sus necesidades de educación y formación y desarrollar sus recursos humanos;</w:t>
      </w:r>
    </w:p>
    <w:p w14:paraId="1FC8FC7F" w14:textId="77777777" w:rsidR="00AF363B" w:rsidRPr="00F879ED" w:rsidRDefault="00AF363B" w:rsidP="00AF363B">
      <w:pPr>
        <w:pStyle w:val="ListParagraph"/>
        <w:numPr>
          <w:ilvl w:val="0"/>
          <w:numId w:val="51"/>
        </w:numPr>
        <w:tabs>
          <w:tab w:val="clear" w:pos="1134"/>
        </w:tabs>
        <w:kinsoku w:val="0"/>
        <w:overflowPunct w:val="0"/>
        <w:autoSpaceDE w:val="0"/>
        <w:autoSpaceDN w:val="0"/>
        <w:adjustRightInd w:val="0"/>
        <w:spacing w:before="120"/>
        <w:ind w:left="567" w:hanging="567"/>
        <w:contextualSpacing w:val="0"/>
        <w:jc w:val="left"/>
        <w:rPr>
          <w:lang w:val="es-ES"/>
        </w:rPr>
      </w:pPr>
      <w:r>
        <w:rPr>
          <w:lang w:val="es-ES"/>
        </w:rPr>
        <w:t>Coordinar las actividades de educación y formación en toda la OMM para evitar el solapamiento de esfuerzos y aumentar la rentabilidad y el impacto de los eventos de educación y formación utilizando los conocimientos y la experiencia de la Oficina de ETR de la OMM;</w:t>
      </w:r>
    </w:p>
    <w:p w14:paraId="7C8B4AE8" w14:textId="77777777" w:rsidR="00AF363B" w:rsidRPr="00F879ED" w:rsidRDefault="00AF363B" w:rsidP="00AF363B">
      <w:pPr>
        <w:pStyle w:val="ListParagraph"/>
        <w:numPr>
          <w:ilvl w:val="0"/>
          <w:numId w:val="51"/>
        </w:numPr>
        <w:tabs>
          <w:tab w:val="clear" w:pos="1134"/>
        </w:tabs>
        <w:kinsoku w:val="0"/>
        <w:overflowPunct w:val="0"/>
        <w:autoSpaceDE w:val="0"/>
        <w:autoSpaceDN w:val="0"/>
        <w:adjustRightInd w:val="0"/>
        <w:spacing w:before="120"/>
        <w:ind w:left="567" w:hanging="567"/>
        <w:contextualSpacing w:val="0"/>
        <w:jc w:val="left"/>
        <w:rPr>
          <w:lang w:val="es-ES"/>
        </w:rPr>
      </w:pPr>
      <w:r>
        <w:rPr>
          <w:lang w:val="es-ES"/>
        </w:rPr>
        <w:t>Apoyar el desarrollo de los recursos humanos en los SMHN mediante un enfoque coordinado y orientado a las prioridades, basado en los resultados de la aplicación de las competencias;</w:t>
      </w:r>
    </w:p>
    <w:p w14:paraId="06C59E05" w14:textId="77777777" w:rsidR="00AF363B" w:rsidRPr="00F879ED" w:rsidRDefault="00AF363B" w:rsidP="00AF363B">
      <w:pPr>
        <w:pStyle w:val="ListParagraph"/>
        <w:numPr>
          <w:ilvl w:val="0"/>
          <w:numId w:val="51"/>
        </w:numPr>
        <w:tabs>
          <w:tab w:val="clear" w:pos="1134"/>
        </w:tabs>
        <w:kinsoku w:val="0"/>
        <w:overflowPunct w:val="0"/>
        <w:autoSpaceDE w:val="0"/>
        <w:autoSpaceDN w:val="0"/>
        <w:adjustRightInd w:val="0"/>
        <w:spacing w:before="120"/>
        <w:ind w:left="567" w:hanging="567"/>
        <w:contextualSpacing w:val="0"/>
        <w:jc w:val="left"/>
        <w:rPr>
          <w:lang w:val="es-ES"/>
        </w:rPr>
      </w:pPr>
      <w:r>
        <w:rPr>
          <w:lang w:val="es-ES"/>
        </w:rPr>
        <w:t>Alentar y apoyar a los SMHN en el desarrollo de sus propias estructuras de aprendizaje y reforzar el intercambio de conocimientos, recursos y experiencia en materia de formación;</w:t>
      </w:r>
    </w:p>
    <w:p w14:paraId="664BE37B" w14:textId="77777777" w:rsidR="00AF363B" w:rsidRPr="00F879ED" w:rsidRDefault="00AF363B" w:rsidP="00AF363B">
      <w:pPr>
        <w:pStyle w:val="ListParagraph"/>
        <w:numPr>
          <w:ilvl w:val="0"/>
          <w:numId w:val="51"/>
        </w:numPr>
        <w:tabs>
          <w:tab w:val="clear" w:pos="1134"/>
        </w:tabs>
        <w:kinsoku w:val="0"/>
        <w:overflowPunct w:val="0"/>
        <w:autoSpaceDE w:val="0"/>
        <w:autoSpaceDN w:val="0"/>
        <w:adjustRightInd w:val="0"/>
        <w:spacing w:before="120"/>
        <w:ind w:left="567" w:hanging="567"/>
        <w:contextualSpacing w:val="0"/>
        <w:jc w:val="left"/>
        <w:rPr>
          <w:lang w:val="es-ES"/>
        </w:rPr>
      </w:pPr>
      <w:r>
        <w:rPr>
          <w:lang w:val="es-ES"/>
        </w:rPr>
        <w:t>Promover la educación, formación e investigación continuas de alta calidad para mantener al personal pertinente de los Miembros al día de los últimos avances científicos e innovaciones tecnológicas y respaldar las competencias necesarias.</w:t>
      </w:r>
    </w:p>
    <w:p w14:paraId="0862D255" w14:textId="77777777" w:rsidR="00AF363B" w:rsidRPr="00F879ED" w:rsidRDefault="00AF363B" w:rsidP="00AF363B">
      <w:pPr>
        <w:pStyle w:val="WMOBodyText"/>
        <w:spacing w:before="120"/>
        <w:rPr>
          <w:lang w:val="es-ES"/>
        </w:rPr>
      </w:pPr>
      <w:r>
        <w:rPr>
          <w:lang w:val="es-ES"/>
        </w:rPr>
        <w:t>Según la información facilitada a través de la encuesta y los resultados de las reuniones regionales, existe una gran necesidad de apoyo para aplicar el enfoque por competencias. A este respecto, la Oficina de Educación y Formación puso en marcha actividades de formación de apoyo específicas.</w:t>
      </w:r>
    </w:p>
    <w:p w14:paraId="522BC8E4" w14:textId="77777777" w:rsidR="00AF363B" w:rsidRPr="00F879ED" w:rsidRDefault="00AF363B" w:rsidP="00AF363B">
      <w:pPr>
        <w:pStyle w:val="Heading3"/>
        <w:numPr>
          <w:ilvl w:val="0"/>
          <w:numId w:val="54"/>
        </w:numPr>
        <w:tabs>
          <w:tab w:val="num" w:pos="495"/>
        </w:tabs>
        <w:ind w:left="567" w:hanging="567"/>
        <w:rPr>
          <w:lang w:val="es-ES"/>
        </w:rPr>
      </w:pPr>
      <w:r>
        <w:rPr>
          <w:lang w:val="es-ES"/>
        </w:rPr>
        <w:t>El marco de desarrollo de capacidades de la OMM</w:t>
      </w:r>
    </w:p>
    <w:p w14:paraId="74C6ADA3" w14:textId="77777777" w:rsidR="00AF363B" w:rsidRPr="00F879ED" w:rsidRDefault="00AF363B" w:rsidP="00AF363B">
      <w:pPr>
        <w:pStyle w:val="WMOBodyText"/>
        <w:spacing w:before="120"/>
        <w:rPr>
          <w:rStyle w:val="normaltextrun"/>
          <w:color w:val="000000"/>
          <w:shd w:val="clear" w:color="auto" w:fill="FFFFFF"/>
          <w:lang w:val="es-ES"/>
        </w:rPr>
      </w:pPr>
      <w:r>
        <w:rPr>
          <w:lang w:val="es-ES"/>
        </w:rPr>
        <w:t>El Marco revisado de desarrollo de capacidades de la OMM (WCDF) brinda la oportunidad de analizar el cambiante panorama del desarrollo de capacidades, evaluar las prácticas actuales y futuras, y aprender de otros que trabajan en el mismo ámbito. También se espera que contribuya al éxito del proceso de reforma de la OMM mediante la introducción de un mayor enfoque, innovación, responsabilidad y coherencia de las acciones de desarrollo de capacidades entre todas las partes interesadas pertinentes.</w:t>
      </w:r>
    </w:p>
    <w:p w14:paraId="05004C1E" w14:textId="77777777" w:rsidR="00AF363B" w:rsidRDefault="00AF363B" w:rsidP="00AF363B">
      <w:pPr>
        <w:pStyle w:val="WMOBodyText"/>
        <w:spacing w:before="120"/>
        <w:rPr>
          <w:rStyle w:val="eop"/>
          <w:color w:val="000000"/>
          <w:shd w:val="clear" w:color="auto" w:fill="FFFFFF"/>
        </w:rPr>
      </w:pPr>
      <w:r w:rsidRPr="00AA7102">
        <w:rPr>
          <w:noProof/>
        </w:rPr>
        <w:lastRenderedPageBreak/>
        <w:drawing>
          <wp:inline distT="0" distB="0" distL="0" distR="0" wp14:anchorId="5A75D263" wp14:editId="7515099C">
            <wp:extent cx="6120765" cy="3443605"/>
            <wp:effectExtent l="0" t="0" r="0" b="4445"/>
            <wp:docPr id="1196734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120765" cy="3443605"/>
                    </a:xfrm>
                    <a:prstGeom prst="rect">
                      <a:avLst/>
                    </a:prstGeom>
                  </pic:spPr>
                </pic:pic>
              </a:graphicData>
            </a:graphic>
          </wp:inline>
        </w:drawing>
      </w:r>
    </w:p>
    <w:p w14:paraId="7774BEC9" w14:textId="77777777" w:rsidR="00AF363B" w:rsidRPr="00F879ED" w:rsidRDefault="00AF363B" w:rsidP="00AF363B">
      <w:pPr>
        <w:pStyle w:val="WMOBodyText"/>
        <w:spacing w:before="120"/>
        <w:rPr>
          <w:rStyle w:val="eop"/>
          <w:color w:val="000000"/>
          <w:shd w:val="clear" w:color="auto" w:fill="FFFFFF"/>
          <w:lang w:val="es-ES"/>
        </w:rPr>
      </w:pPr>
      <w:r>
        <w:rPr>
          <w:lang w:val="es-ES"/>
        </w:rPr>
        <w:t xml:space="preserve">Uno de los principales avances del WCDF está relacionado con la necesidad del desarrollo de los recursos humanos, destacando las áreas de resultados clave en el desarrollo de la capacidad de los recursos humanos: WCDF promueve acciones de desarrollo de capacidades que empoderan a las personas en los SMHN y mejoran los procesos y la cultura de gestión, a través de programas de educación y formación dedicados y sostenibles, tanto formales como informales, incluyendo: </w:t>
      </w:r>
    </w:p>
    <w:p w14:paraId="54C82572" w14:textId="77777777" w:rsidR="00AF363B" w:rsidRPr="00F879ED" w:rsidRDefault="00AF363B" w:rsidP="00AF363B">
      <w:pPr>
        <w:pStyle w:val="WMOBodyText"/>
        <w:spacing w:before="120"/>
        <w:ind w:left="1134" w:hanging="567"/>
        <w:rPr>
          <w:rStyle w:val="eop"/>
          <w:color w:val="000000"/>
          <w:shd w:val="clear" w:color="auto" w:fill="FFFFFF"/>
          <w:lang w:val="es-ES"/>
        </w:rPr>
      </w:pPr>
      <w:r>
        <w:rPr>
          <w:lang w:val="es-ES"/>
        </w:rPr>
        <w:t xml:space="preserve">a) </w:t>
      </w:r>
      <w:r>
        <w:rPr>
          <w:lang w:val="es-ES"/>
        </w:rPr>
        <w:tab/>
        <w:t xml:space="preserve">Programas de formación sobre gestión del cambio; </w:t>
      </w:r>
    </w:p>
    <w:p w14:paraId="1D516D25" w14:textId="77777777" w:rsidR="00AF363B" w:rsidRPr="00F879ED" w:rsidRDefault="00AF363B" w:rsidP="00AF363B">
      <w:pPr>
        <w:pStyle w:val="WMOBodyText"/>
        <w:spacing w:before="120"/>
        <w:ind w:left="1134" w:hanging="567"/>
        <w:rPr>
          <w:rStyle w:val="eop"/>
          <w:color w:val="000000"/>
          <w:shd w:val="clear" w:color="auto" w:fill="FFFFFF"/>
          <w:lang w:val="es-ES"/>
        </w:rPr>
      </w:pPr>
      <w:r>
        <w:rPr>
          <w:lang w:val="es-ES"/>
        </w:rPr>
        <w:t xml:space="preserve">b) </w:t>
      </w:r>
      <w:r>
        <w:rPr>
          <w:lang w:val="es-ES"/>
        </w:rPr>
        <w:tab/>
        <w:t xml:space="preserve">Proporcionar nuevas oportunidades de formación en nuevas áreas de tecnología de la información como inteligencia artificial/aprendizaje automático, tecnología en la nube, utilización de API y aplicaciones inteligentes, </w:t>
      </w:r>
      <w:proofErr w:type="spellStart"/>
      <w:r>
        <w:rPr>
          <w:lang w:val="es-ES"/>
        </w:rPr>
        <w:t>etc</w:t>
      </w:r>
      <w:proofErr w:type="spellEnd"/>
      <w:r>
        <w:rPr>
          <w:lang w:val="es-ES"/>
        </w:rPr>
        <w:t xml:space="preserve">; </w:t>
      </w:r>
    </w:p>
    <w:p w14:paraId="57D4D90A" w14:textId="77777777" w:rsidR="00AF363B" w:rsidRPr="00F879ED" w:rsidRDefault="00AF363B" w:rsidP="00AF363B">
      <w:pPr>
        <w:pStyle w:val="WMOBodyText"/>
        <w:spacing w:before="120"/>
        <w:ind w:left="1134" w:hanging="567"/>
        <w:rPr>
          <w:rStyle w:val="eop"/>
          <w:color w:val="000000"/>
          <w:shd w:val="clear" w:color="auto" w:fill="FFFFFF"/>
          <w:lang w:val="es-ES"/>
        </w:rPr>
      </w:pPr>
      <w:r>
        <w:rPr>
          <w:lang w:val="es-ES"/>
        </w:rPr>
        <w:t xml:space="preserve">c) </w:t>
      </w:r>
      <w:r>
        <w:rPr>
          <w:lang w:val="es-ES"/>
        </w:rPr>
        <w:tab/>
        <w:t xml:space="preserve">Mejorar el cumplimiento de los requisitos de competencia en evolución de la OMM; </w:t>
      </w:r>
    </w:p>
    <w:p w14:paraId="1B97421B" w14:textId="77777777" w:rsidR="00AF363B" w:rsidRPr="00F879ED" w:rsidRDefault="00AF363B" w:rsidP="00AF363B">
      <w:pPr>
        <w:pStyle w:val="WMOBodyText"/>
        <w:spacing w:before="120"/>
        <w:ind w:left="1134" w:hanging="567"/>
        <w:rPr>
          <w:rStyle w:val="eop"/>
          <w:color w:val="000000"/>
          <w:shd w:val="clear" w:color="auto" w:fill="FFFFFF"/>
          <w:lang w:val="es-ES"/>
        </w:rPr>
      </w:pPr>
      <w:r>
        <w:rPr>
          <w:lang w:val="es-ES"/>
        </w:rPr>
        <w:t>d)</w:t>
      </w:r>
      <w:r>
        <w:rPr>
          <w:lang w:val="es-ES"/>
        </w:rPr>
        <w:tab/>
        <w:t xml:space="preserve">Fortalecimiento de los Centros regionales de formación de la OMM y de sus instalaciones, mejor utilización de sus recursos por parte de los Miembros y mejora de la coordinación con otros centros regionales de la OMM; </w:t>
      </w:r>
    </w:p>
    <w:p w14:paraId="14CFC7C0" w14:textId="77777777" w:rsidR="00AF363B" w:rsidRPr="00F879ED" w:rsidRDefault="00AF363B" w:rsidP="00AF363B">
      <w:pPr>
        <w:pStyle w:val="WMOBodyText"/>
        <w:spacing w:before="120"/>
        <w:ind w:left="1134" w:hanging="567"/>
        <w:rPr>
          <w:rStyle w:val="eop"/>
          <w:color w:val="000000"/>
          <w:shd w:val="clear" w:color="auto" w:fill="FFFFFF"/>
          <w:lang w:val="es-ES"/>
        </w:rPr>
      </w:pPr>
      <w:r>
        <w:rPr>
          <w:lang w:val="es-ES"/>
        </w:rPr>
        <w:t xml:space="preserve">e) </w:t>
      </w:r>
      <w:r>
        <w:rPr>
          <w:lang w:val="es-ES"/>
        </w:rPr>
        <w:tab/>
        <w:t xml:space="preserve">Mejora de las asociaciones con instituciones educativas nacionales e internacionales; </w:t>
      </w:r>
    </w:p>
    <w:p w14:paraId="022EBE3C" w14:textId="77777777" w:rsidR="00AF363B" w:rsidRPr="00F879ED" w:rsidRDefault="00AF363B" w:rsidP="00AF363B">
      <w:pPr>
        <w:pStyle w:val="WMOBodyText"/>
        <w:spacing w:before="120"/>
        <w:ind w:left="1134" w:hanging="567"/>
        <w:rPr>
          <w:rStyle w:val="eop"/>
          <w:color w:val="000000"/>
          <w:shd w:val="clear" w:color="auto" w:fill="FFFFFF"/>
          <w:lang w:val="es-ES"/>
        </w:rPr>
      </w:pPr>
      <w:r>
        <w:rPr>
          <w:lang w:val="es-ES"/>
        </w:rPr>
        <w:t xml:space="preserve">f) </w:t>
      </w:r>
      <w:r>
        <w:rPr>
          <w:lang w:val="es-ES"/>
        </w:rPr>
        <w:tab/>
        <w:t xml:space="preserve">Eficaces modalidades de formación basadas en la tecnología moderna; </w:t>
      </w:r>
    </w:p>
    <w:p w14:paraId="5644C116" w14:textId="77777777" w:rsidR="00AF363B" w:rsidRPr="00F879ED" w:rsidRDefault="00AF363B" w:rsidP="00AF363B">
      <w:pPr>
        <w:pStyle w:val="WMOBodyText"/>
        <w:spacing w:before="120"/>
        <w:ind w:left="1134" w:hanging="567"/>
        <w:rPr>
          <w:rStyle w:val="eop"/>
          <w:color w:val="000000"/>
          <w:shd w:val="clear" w:color="auto" w:fill="FFFFFF"/>
          <w:lang w:val="es-ES"/>
        </w:rPr>
      </w:pPr>
      <w:r>
        <w:rPr>
          <w:lang w:val="es-ES"/>
        </w:rPr>
        <w:t xml:space="preserve">g) </w:t>
      </w:r>
      <w:r>
        <w:rPr>
          <w:lang w:val="es-ES"/>
        </w:rPr>
        <w:tab/>
        <w:t>Promover trayectorias profesionales atractivas, reconocimiento y recompensas por los logros.</w:t>
      </w:r>
    </w:p>
    <w:p w14:paraId="26B0592A" w14:textId="77777777" w:rsidR="00AF363B" w:rsidRPr="00F879ED" w:rsidRDefault="00AF363B" w:rsidP="00AF363B">
      <w:pPr>
        <w:pStyle w:val="WMOBodyText"/>
        <w:spacing w:before="120"/>
        <w:rPr>
          <w:rStyle w:val="eop"/>
          <w:color w:val="000000"/>
          <w:shd w:val="clear" w:color="auto" w:fill="FFFFFF"/>
          <w:lang w:val="es-ES"/>
        </w:rPr>
      </w:pPr>
      <w:r>
        <w:rPr>
          <w:lang w:val="es-ES"/>
        </w:rPr>
        <w:t xml:space="preserve">El Grupo de Desarrollo de Capacidades de la CE está proporcionando orientación para la aplicación y está elaborando ejemplos auténticos de aplicación. </w:t>
      </w:r>
    </w:p>
    <w:p w14:paraId="56596783" w14:textId="77777777" w:rsidR="00AF363B" w:rsidRPr="00F879ED" w:rsidRDefault="00AF363B" w:rsidP="00AF363B">
      <w:pPr>
        <w:pStyle w:val="WMOBodyText"/>
        <w:spacing w:before="120"/>
        <w:rPr>
          <w:rStyle w:val="eop"/>
          <w:color w:val="000000"/>
          <w:shd w:val="clear" w:color="auto" w:fill="FFFFFF"/>
          <w:lang w:val="es-ES"/>
        </w:rPr>
      </w:pPr>
      <w:r>
        <w:rPr>
          <w:lang w:val="es-ES"/>
        </w:rPr>
        <w:t>Uno de los objetivos del Programa de desarrollo de capacidades recientemente revisado (aprobado por la CE-78) es mantener el WCDF bajo revisión y proponer actualizaciones y ajustes según sea necesario, y garantizar que la comunicación del WCDF y de la Política de igualdad de género de la OMM a las partes interesadas pertinentes se lleve a cabo de manera efectiva, informando a la CE sobre la aceptación y el uso.</w:t>
      </w:r>
    </w:p>
    <w:p w14:paraId="3EE502D4" w14:textId="77777777" w:rsidR="00AF363B" w:rsidRDefault="00AF363B" w:rsidP="00AF363B">
      <w:pPr>
        <w:pStyle w:val="Heading3"/>
        <w:numPr>
          <w:ilvl w:val="0"/>
          <w:numId w:val="54"/>
        </w:numPr>
        <w:tabs>
          <w:tab w:val="num" w:pos="495"/>
        </w:tabs>
        <w:ind w:left="567" w:hanging="567"/>
      </w:pPr>
      <w:r>
        <w:rPr>
          <w:lang w:val="es-ES"/>
        </w:rPr>
        <w:lastRenderedPageBreak/>
        <w:t>Conclusiones</w:t>
      </w:r>
    </w:p>
    <w:p w14:paraId="72AA4A9E" w14:textId="77777777" w:rsidR="00AF363B" w:rsidRPr="00F879ED" w:rsidRDefault="00AF363B" w:rsidP="00AF363B">
      <w:pPr>
        <w:pStyle w:val="WMOBodyText"/>
        <w:rPr>
          <w:lang w:val="es-ES"/>
        </w:rPr>
      </w:pPr>
      <w:r>
        <w:rPr>
          <w:lang w:val="es-ES"/>
        </w:rPr>
        <w:t xml:space="preserve">Es necesaria una mayor comunicación con la Secretaría de la OMM para identificar las necesidades de educación y formación y el apoyo y la orientación que se pueden proporcionar. </w:t>
      </w:r>
    </w:p>
    <w:p w14:paraId="09FD73CE" w14:textId="77777777" w:rsidR="00AF363B" w:rsidRPr="00F879ED" w:rsidRDefault="00AF363B" w:rsidP="00AF363B">
      <w:pPr>
        <w:pStyle w:val="WMOBodyText"/>
        <w:rPr>
          <w:lang w:val="es-ES"/>
        </w:rPr>
      </w:pPr>
      <w:r>
        <w:rPr>
          <w:lang w:val="es-ES"/>
        </w:rPr>
        <w:t>Existen disparidades en las necesidades de formación, los PIF y la aplicación de las competencias entre los miembros de la Región.</w:t>
      </w:r>
    </w:p>
    <w:p w14:paraId="5B506899" w14:textId="77777777" w:rsidR="00AF363B" w:rsidRPr="00F879ED" w:rsidRDefault="00AF363B" w:rsidP="00AF363B">
      <w:pPr>
        <w:pStyle w:val="WMOBodyText"/>
        <w:rPr>
          <w:lang w:val="es-ES"/>
        </w:rPr>
      </w:pPr>
      <w:r>
        <w:rPr>
          <w:lang w:val="es-ES"/>
        </w:rPr>
        <w:t>La Secretaría debe prestar más apoyo a la aplicación del enfoque por competencias y al desarrollo de la capacidad de los recursos humanos.</w:t>
      </w:r>
    </w:p>
    <w:p w14:paraId="36C9895A" w14:textId="77777777" w:rsidR="00AF363B" w:rsidRPr="00F879ED" w:rsidRDefault="00AF363B" w:rsidP="00AF363B">
      <w:pPr>
        <w:pStyle w:val="WMOBodyText"/>
        <w:rPr>
          <w:lang w:val="es-ES" w:eastAsia="en-US"/>
        </w:rPr>
      </w:pPr>
    </w:p>
    <w:p w14:paraId="66629C89" w14:textId="77777777" w:rsidR="001A25F0" w:rsidRPr="00AF363B" w:rsidRDefault="001A25F0" w:rsidP="00AF363B">
      <w:pPr>
        <w:pStyle w:val="WMOBodyText"/>
        <w:ind w:left="3969" w:hanging="3969"/>
        <w:rPr>
          <w:lang w:val="es-ES"/>
        </w:rPr>
      </w:pPr>
    </w:p>
    <w:sectPr w:rsidR="001A25F0" w:rsidRPr="00AF363B" w:rsidSect="00472D8C">
      <w:headerReference w:type="default" r:id="rId3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F8CBD" w14:textId="77777777" w:rsidR="00793D30" w:rsidRDefault="00793D30">
      <w:r>
        <w:separator/>
      </w:r>
    </w:p>
    <w:p w14:paraId="1506D9C0" w14:textId="77777777" w:rsidR="00793D30" w:rsidRDefault="00793D30"/>
    <w:p w14:paraId="42DC4FDD" w14:textId="77777777" w:rsidR="00793D30" w:rsidRDefault="00793D30"/>
  </w:endnote>
  <w:endnote w:type="continuationSeparator" w:id="0">
    <w:p w14:paraId="661972CA" w14:textId="77777777" w:rsidR="00793D30" w:rsidRDefault="00793D30">
      <w:r>
        <w:continuationSeparator/>
      </w:r>
    </w:p>
    <w:p w14:paraId="7955AA56" w14:textId="77777777" w:rsidR="00793D30" w:rsidRDefault="00793D30"/>
    <w:p w14:paraId="6674A837" w14:textId="77777777" w:rsidR="00793D30" w:rsidRDefault="00793D30"/>
  </w:endnote>
  <w:endnote w:type="continuationNotice" w:id="1">
    <w:p w14:paraId="7FCAEB55" w14:textId="77777777" w:rsidR="00793D30" w:rsidRDefault="00793D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StoneSansITC-Medium">
    <w:altName w:val="Calibri"/>
    <w:panose1 w:val="00000000000000000000"/>
    <w:charset w:val="00"/>
    <w:family w:val="swiss"/>
    <w:notTrueType/>
    <w:pitch w:val="default"/>
    <w:sig w:usb0="00000003" w:usb1="00000000" w:usb2="00000000" w:usb3="00000000" w:csb0="00000001" w:csb1="00000000"/>
  </w:font>
  <w:font w:name="StoneSansITC-MediumItalic">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90C98D" w14:textId="77777777" w:rsidR="00793D30" w:rsidRDefault="00793D30">
      <w:r>
        <w:separator/>
      </w:r>
    </w:p>
  </w:footnote>
  <w:footnote w:type="continuationSeparator" w:id="0">
    <w:p w14:paraId="59C58523" w14:textId="77777777" w:rsidR="00793D30" w:rsidRDefault="00793D30">
      <w:r>
        <w:continuationSeparator/>
      </w:r>
    </w:p>
    <w:p w14:paraId="09916609" w14:textId="77777777" w:rsidR="00793D30" w:rsidRDefault="00793D30"/>
    <w:p w14:paraId="2A042456" w14:textId="77777777" w:rsidR="00793D30" w:rsidRDefault="00793D30"/>
  </w:footnote>
  <w:footnote w:type="continuationNotice" w:id="1">
    <w:p w14:paraId="2D8281D8" w14:textId="77777777" w:rsidR="00793D30" w:rsidRDefault="00793D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EB58" w14:textId="609E8054" w:rsidR="003143C9" w:rsidRPr="00472D8C" w:rsidRDefault="00FC2996" w:rsidP="00B72444">
    <w:pPr>
      <w:pStyle w:val="Header"/>
      <w:rPr>
        <w:sz w:val="18"/>
        <w:szCs w:val="18"/>
        <w:lang w:val="it-IT"/>
      </w:rPr>
    </w:pPr>
    <w:r w:rsidRPr="003D423B">
      <w:rPr>
        <w:sz w:val="18"/>
        <w:szCs w:val="18"/>
        <w:lang w:val="it-IT"/>
      </w:rPr>
      <w:t>A</w:t>
    </w:r>
    <w:r w:rsidR="0069167A">
      <w:rPr>
        <w:sz w:val="18"/>
        <w:szCs w:val="18"/>
        <w:lang w:val="it-IT"/>
      </w:rPr>
      <w:t>R</w:t>
    </w:r>
    <w:r w:rsidRPr="003D423B">
      <w:rPr>
        <w:sz w:val="18"/>
        <w:szCs w:val="18"/>
        <w:lang w:val="it-IT"/>
      </w:rPr>
      <w:t xml:space="preserve"> </w:t>
    </w:r>
    <w:r w:rsidR="0069167A">
      <w:rPr>
        <w:sz w:val="18"/>
        <w:szCs w:val="18"/>
        <w:lang w:val="it-IT"/>
      </w:rPr>
      <w:t>V</w:t>
    </w:r>
    <w:r w:rsidRPr="003D423B">
      <w:rPr>
        <w:sz w:val="18"/>
        <w:szCs w:val="18"/>
        <w:lang w:val="it-IT"/>
      </w:rPr>
      <w:t>I-1</w:t>
    </w:r>
    <w:r w:rsidR="00EA6A2D" w:rsidRPr="003D423B">
      <w:rPr>
        <w:sz w:val="18"/>
        <w:szCs w:val="18"/>
        <w:lang w:val="it-IT"/>
      </w:rPr>
      <w:t>9(I)</w:t>
    </w:r>
    <w:r w:rsidRPr="003D423B">
      <w:rPr>
        <w:sz w:val="18"/>
        <w:szCs w:val="18"/>
        <w:lang w:val="it-IT"/>
      </w:rPr>
      <w:t>/</w:t>
    </w:r>
    <w:r w:rsidR="00796C63">
      <w:rPr>
        <w:sz w:val="18"/>
        <w:szCs w:val="18"/>
        <w:lang w:val="it-IT"/>
      </w:rPr>
      <w:t>INF. 3.4(3)</w:t>
    </w:r>
    <w:r w:rsidR="003143C9" w:rsidRPr="003D423B">
      <w:rPr>
        <w:sz w:val="18"/>
        <w:szCs w:val="18"/>
        <w:lang w:val="it-IT"/>
      </w:rPr>
      <w:t xml:space="preserve">, </w:t>
    </w:r>
    <w:r w:rsidR="00595ED4" w:rsidRPr="008C11BE">
      <w:rPr>
        <w:sz w:val="18"/>
        <w:szCs w:val="18"/>
        <w:lang w:val="it-IT"/>
      </w:rPr>
      <w:t>VERSI</w:t>
    </w:r>
    <w:r w:rsidR="00472D8C">
      <w:rPr>
        <w:sz w:val="18"/>
        <w:szCs w:val="18"/>
        <w:lang w:val="it-IT"/>
      </w:rPr>
      <w:t>Ó</w:t>
    </w:r>
    <w:r w:rsidR="00595ED4" w:rsidRPr="008C11BE">
      <w:rPr>
        <w:sz w:val="18"/>
        <w:szCs w:val="18"/>
        <w:lang w:val="it-IT"/>
      </w:rPr>
      <w:t>N</w:t>
    </w:r>
    <w:r w:rsidR="003143C9" w:rsidRPr="003D423B">
      <w:rPr>
        <w:sz w:val="18"/>
        <w:szCs w:val="18"/>
        <w:lang w:val="it-IT"/>
      </w:rPr>
      <w:t xml:space="preserve"> 1, p. </w:t>
    </w:r>
    <w:r w:rsidR="003143C9" w:rsidRPr="00595ED4">
      <w:rPr>
        <w:rStyle w:val="PageNumber"/>
        <w:sz w:val="18"/>
        <w:szCs w:val="18"/>
      </w:rPr>
      <w:fldChar w:fldCharType="begin"/>
    </w:r>
    <w:r w:rsidR="003143C9" w:rsidRPr="003D423B">
      <w:rPr>
        <w:rStyle w:val="PageNumber"/>
        <w:sz w:val="18"/>
        <w:szCs w:val="18"/>
        <w:lang w:val="it-IT"/>
      </w:rPr>
      <w:instrText xml:space="preserve"> PAGE </w:instrText>
    </w:r>
    <w:r w:rsidR="003143C9" w:rsidRPr="00595ED4">
      <w:rPr>
        <w:rStyle w:val="PageNumber"/>
        <w:sz w:val="18"/>
        <w:szCs w:val="18"/>
      </w:rPr>
      <w:fldChar w:fldCharType="separate"/>
    </w:r>
    <w:r w:rsidR="003143C9" w:rsidRPr="00472D8C">
      <w:rPr>
        <w:rStyle w:val="PageNumber"/>
        <w:noProof/>
        <w:sz w:val="18"/>
        <w:szCs w:val="18"/>
        <w:lang w:val="it-IT"/>
      </w:rPr>
      <w:t>6</w:t>
    </w:r>
    <w:r w:rsidR="003143C9" w:rsidRPr="00595ED4">
      <w:rPr>
        <w:rStyle w:val="PageNumbe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30A3674"/>
    <w:multiLevelType w:val="hybridMultilevel"/>
    <w:tmpl w:val="50264B56"/>
    <w:lvl w:ilvl="0" w:tplc="200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1C412B13"/>
    <w:multiLevelType w:val="multilevel"/>
    <w:tmpl w:val="3A8EC0C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4D248CE"/>
    <w:multiLevelType w:val="hybridMultilevel"/>
    <w:tmpl w:val="AE84760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4"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6"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1AA7453"/>
    <w:multiLevelType w:val="hybridMultilevel"/>
    <w:tmpl w:val="E6CCD8C2"/>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36BB6AA6"/>
    <w:multiLevelType w:val="multilevel"/>
    <w:tmpl w:val="4B2EADBC"/>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3B3F2979"/>
    <w:multiLevelType w:val="hybridMultilevel"/>
    <w:tmpl w:val="9B404BC8"/>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15:restartNumberingAfterBreak="0">
    <w:nsid w:val="564E33DB"/>
    <w:multiLevelType w:val="multilevel"/>
    <w:tmpl w:val="3A8EC516"/>
    <w:lvl w:ilvl="0">
      <w:start w:val="1"/>
      <w:numFmt w:val="lowerLetter"/>
      <w:lvlText w:val="(%1)"/>
      <w:lvlJc w:val="left"/>
      <w:pPr>
        <w:ind w:left="360" w:hanging="360"/>
      </w:pPr>
      <w:rPr>
        <w:rFonts w:ascii="Calibri" w:hAnsi="Calibri" w:cs="Century" w:hint="default"/>
        <w:b w:val="0"/>
        <w:bCs w:val="0"/>
        <w:i w:val="0"/>
        <w:iCs w:val="0"/>
        <w:color w:val="231F20"/>
        <w:w w:val="105"/>
        <w:sz w:val="22"/>
        <w:szCs w:val="18"/>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2"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43"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60E32D86"/>
    <w:multiLevelType w:val="hybridMultilevel"/>
    <w:tmpl w:val="6696E8C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7" w15:restartNumberingAfterBreak="0">
    <w:nsid w:val="64DC2657"/>
    <w:multiLevelType w:val="hybridMultilevel"/>
    <w:tmpl w:val="261E9AB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408117710">
    <w:abstractNumId w:val="35"/>
  </w:num>
  <w:num w:numId="2" w16cid:durableId="395132351">
    <w:abstractNumId w:val="53"/>
  </w:num>
  <w:num w:numId="3" w16cid:durableId="683485111">
    <w:abstractNumId w:val="32"/>
  </w:num>
  <w:num w:numId="4" w16cid:durableId="888303166">
    <w:abstractNumId w:val="43"/>
  </w:num>
  <w:num w:numId="5" w16cid:durableId="937755136">
    <w:abstractNumId w:val="19"/>
  </w:num>
  <w:num w:numId="6" w16cid:durableId="770706160">
    <w:abstractNumId w:val="25"/>
  </w:num>
  <w:num w:numId="7" w16cid:durableId="1912621405">
    <w:abstractNumId w:val="21"/>
  </w:num>
  <w:num w:numId="8" w16cid:durableId="180946254">
    <w:abstractNumId w:val="36"/>
  </w:num>
  <w:num w:numId="9" w16cid:durableId="483395811">
    <w:abstractNumId w:val="24"/>
  </w:num>
  <w:num w:numId="10" w16cid:durableId="843129939">
    <w:abstractNumId w:val="23"/>
  </w:num>
  <w:num w:numId="11" w16cid:durableId="829566723">
    <w:abstractNumId w:val="42"/>
  </w:num>
  <w:num w:numId="12" w16cid:durableId="439373003">
    <w:abstractNumId w:val="12"/>
  </w:num>
  <w:num w:numId="13" w16cid:durableId="1394966300">
    <w:abstractNumId w:val="28"/>
  </w:num>
  <w:num w:numId="14" w16cid:durableId="1083793167">
    <w:abstractNumId w:val="49"/>
  </w:num>
  <w:num w:numId="15" w16cid:durableId="41289554">
    <w:abstractNumId w:val="22"/>
  </w:num>
  <w:num w:numId="16" w16cid:durableId="79370841">
    <w:abstractNumId w:val="9"/>
  </w:num>
  <w:num w:numId="17" w16cid:durableId="1571118888">
    <w:abstractNumId w:val="7"/>
  </w:num>
  <w:num w:numId="18" w16cid:durableId="2116052669">
    <w:abstractNumId w:val="6"/>
  </w:num>
  <w:num w:numId="19" w16cid:durableId="817764028">
    <w:abstractNumId w:val="5"/>
  </w:num>
  <w:num w:numId="20" w16cid:durableId="230042971">
    <w:abstractNumId w:val="4"/>
  </w:num>
  <w:num w:numId="21" w16cid:durableId="1769546142">
    <w:abstractNumId w:val="8"/>
  </w:num>
  <w:num w:numId="22" w16cid:durableId="2098364357">
    <w:abstractNumId w:val="3"/>
  </w:num>
  <w:num w:numId="23" w16cid:durableId="45028411">
    <w:abstractNumId w:val="2"/>
  </w:num>
  <w:num w:numId="24" w16cid:durableId="899246484">
    <w:abstractNumId w:val="1"/>
  </w:num>
  <w:num w:numId="25" w16cid:durableId="976648262">
    <w:abstractNumId w:val="0"/>
  </w:num>
  <w:num w:numId="26" w16cid:durableId="1624851051">
    <w:abstractNumId w:val="51"/>
  </w:num>
  <w:num w:numId="27" w16cid:durableId="284893697">
    <w:abstractNumId w:val="37"/>
  </w:num>
  <w:num w:numId="28" w16cid:durableId="112556197">
    <w:abstractNumId w:val="26"/>
  </w:num>
  <w:num w:numId="29" w16cid:durableId="1826781198">
    <w:abstractNumId w:val="38"/>
  </w:num>
  <w:num w:numId="30" w16cid:durableId="40599064">
    <w:abstractNumId w:val="39"/>
  </w:num>
  <w:num w:numId="31" w16cid:durableId="874587545">
    <w:abstractNumId w:val="15"/>
  </w:num>
  <w:num w:numId="32" w16cid:durableId="1794666580">
    <w:abstractNumId w:val="48"/>
  </w:num>
  <w:num w:numId="33" w16cid:durableId="614749954">
    <w:abstractNumId w:val="45"/>
  </w:num>
  <w:num w:numId="34" w16cid:durableId="2077586355">
    <w:abstractNumId w:val="27"/>
  </w:num>
  <w:num w:numId="35" w16cid:durableId="1884560045">
    <w:abstractNumId w:val="30"/>
  </w:num>
  <w:num w:numId="36" w16cid:durableId="1154374151">
    <w:abstractNumId w:val="52"/>
  </w:num>
  <w:num w:numId="37" w16cid:durableId="1827430313">
    <w:abstractNumId w:val="40"/>
  </w:num>
  <w:num w:numId="38" w16cid:durableId="380323024">
    <w:abstractNumId w:val="13"/>
  </w:num>
  <w:num w:numId="39" w16cid:durableId="1466049558">
    <w:abstractNumId w:val="14"/>
  </w:num>
  <w:num w:numId="40" w16cid:durableId="117652511">
    <w:abstractNumId w:val="16"/>
  </w:num>
  <w:num w:numId="41" w16cid:durableId="311764002">
    <w:abstractNumId w:val="10"/>
  </w:num>
  <w:num w:numId="42" w16cid:durableId="1118449087">
    <w:abstractNumId w:val="50"/>
  </w:num>
  <w:num w:numId="43" w16cid:durableId="173421731">
    <w:abstractNumId w:val="18"/>
  </w:num>
  <w:num w:numId="44" w16cid:durableId="280694128">
    <w:abstractNumId w:val="34"/>
  </w:num>
  <w:num w:numId="45" w16cid:durableId="2084912840">
    <w:abstractNumId w:val="46"/>
  </w:num>
  <w:num w:numId="46" w16cid:durableId="1020663516">
    <w:abstractNumId w:val="11"/>
  </w:num>
  <w:num w:numId="47" w16cid:durableId="1485462636">
    <w:abstractNumId w:val="47"/>
  </w:num>
  <w:num w:numId="48" w16cid:durableId="1810399135">
    <w:abstractNumId w:val="33"/>
  </w:num>
  <w:num w:numId="49" w16cid:durableId="219362128">
    <w:abstractNumId w:val="29"/>
  </w:num>
  <w:num w:numId="50" w16cid:durableId="1277106311">
    <w:abstractNumId w:val="20"/>
  </w:num>
  <w:num w:numId="51" w16cid:durableId="10774422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339120134">
    <w:abstractNumId w:val="44"/>
  </w:num>
  <w:num w:numId="53" w16cid:durableId="761796785">
    <w:abstractNumId w:val="17"/>
  </w:num>
  <w:num w:numId="54" w16cid:durableId="146115155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63B"/>
    <w:rsid w:val="00001CF5"/>
    <w:rsid w:val="0000459E"/>
    <w:rsid w:val="000133EE"/>
    <w:rsid w:val="00014820"/>
    <w:rsid w:val="000206A8"/>
    <w:rsid w:val="0003137A"/>
    <w:rsid w:val="00041171"/>
    <w:rsid w:val="00041727"/>
    <w:rsid w:val="0004226F"/>
    <w:rsid w:val="00050060"/>
    <w:rsid w:val="00050F8E"/>
    <w:rsid w:val="000518BB"/>
    <w:rsid w:val="000573AD"/>
    <w:rsid w:val="0006123B"/>
    <w:rsid w:val="00064F6B"/>
    <w:rsid w:val="00067325"/>
    <w:rsid w:val="000708A5"/>
    <w:rsid w:val="00071D6D"/>
    <w:rsid w:val="00072F17"/>
    <w:rsid w:val="000750D0"/>
    <w:rsid w:val="000806D8"/>
    <w:rsid w:val="00082C80"/>
    <w:rsid w:val="00083099"/>
    <w:rsid w:val="00083847"/>
    <w:rsid w:val="00083C36"/>
    <w:rsid w:val="00092CAE"/>
    <w:rsid w:val="00095E48"/>
    <w:rsid w:val="000A067F"/>
    <w:rsid w:val="000A0762"/>
    <w:rsid w:val="000A4F1C"/>
    <w:rsid w:val="000A5190"/>
    <w:rsid w:val="000A51EC"/>
    <w:rsid w:val="000A69BF"/>
    <w:rsid w:val="000C225A"/>
    <w:rsid w:val="000C6781"/>
    <w:rsid w:val="000C6A11"/>
    <w:rsid w:val="000D0753"/>
    <w:rsid w:val="000F5E49"/>
    <w:rsid w:val="000F7A87"/>
    <w:rsid w:val="00102EAE"/>
    <w:rsid w:val="001047DC"/>
    <w:rsid w:val="00105D2E"/>
    <w:rsid w:val="00110CE0"/>
    <w:rsid w:val="00111BFD"/>
    <w:rsid w:val="0011498B"/>
    <w:rsid w:val="00120147"/>
    <w:rsid w:val="00123140"/>
    <w:rsid w:val="00123D94"/>
    <w:rsid w:val="001242AE"/>
    <w:rsid w:val="00146195"/>
    <w:rsid w:val="00155527"/>
    <w:rsid w:val="001564E9"/>
    <w:rsid w:val="00156F9B"/>
    <w:rsid w:val="00163BA3"/>
    <w:rsid w:val="00166B31"/>
    <w:rsid w:val="00167D54"/>
    <w:rsid w:val="001732E7"/>
    <w:rsid w:val="00180771"/>
    <w:rsid w:val="00190854"/>
    <w:rsid w:val="001930A3"/>
    <w:rsid w:val="00195AD9"/>
    <w:rsid w:val="00196EB8"/>
    <w:rsid w:val="001A25F0"/>
    <w:rsid w:val="001A341E"/>
    <w:rsid w:val="001B0EA6"/>
    <w:rsid w:val="001B1CDF"/>
    <w:rsid w:val="001B38BB"/>
    <w:rsid w:val="001B56F4"/>
    <w:rsid w:val="001C5462"/>
    <w:rsid w:val="001D265C"/>
    <w:rsid w:val="001D3062"/>
    <w:rsid w:val="001D3CFB"/>
    <w:rsid w:val="001D559B"/>
    <w:rsid w:val="001D6302"/>
    <w:rsid w:val="001E2C22"/>
    <w:rsid w:val="001E4565"/>
    <w:rsid w:val="001E740C"/>
    <w:rsid w:val="001E7DD0"/>
    <w:rsid w:val="001F1BDA"/>
    <w:rsid w:val="001F48A5"/>
    <w:rsid w:val="0020095E"/>
    <w:rsid w:val="00207AA6"/>
    <w:rsid w:val="00210BFE"/>
    <w:rsid w:val="00210D30"/>
    <w:rsid w:val="002204FD"/>
    <w:rsid w:val="00221020"/>
    <w:rsid w:val="0022455A"/>
    <w:rsid w:val="002308B5"/>
    <w:rsid w:val="00233C0B"/>
    <w:rsid w:val="00234A34"/>
    <w:rsid w:val="0025255D"/>
    <w:rsid w:val="00253070"/>
    <w:rsid w:val="00255EE3"/>
    <w:rsid w:val="00256B3D"/>
    <w:rsid w:val="0026409B"/>
    <w:rsid w:val="00264678"/>
    <w:rsid w:val="0026743C"/>
    <w:rsid w:val="00270480"/>
    <w:rsid w:val="002713E9"/>
    <w:rsid w:val="002779AF"/>
    <w:rsid w:val="002823D8"/>
    <w:rsid w:val="0028531A"/>
    <w:rsid w:val="00285446"/>
    <w:rsid w:val="00295593"/>
    <w:rsid w:val="002A29BD"/>
    <w:rsid w:val="002A354F"/>
    <w:rsid w:val="002A386C"/>
    <w:rsid w:val="002A3B7E"/>
    <w:rsid w:val="002B540D"/>
    <w:rsid w:val="002B7A7E"/>
    <w:rsid w:val="002C30BC"/>
    <w:rsid w:val="002C37B7"/>
    <w:rsid w:val="002C3987"/>
    <w:rsid w:val="002C5965"/>
    <w:rsid w:val="002C7A88"/>
    <w:rsid w:val="002C7AB9"/>
    <w:rsid w:val="002D232B"/>
    <w:rsid w:val="002D2759"/>
    <w:rsid w:val="002D5E00"/>
    <w:rsid w:val="002D6DAC"/>
    <w:rsid w:val="002E261D"/>
    <w:rsid w:val="002E3FAD"/>
    <w:rsid w:val="002E4E16"/>
    <w:rsid w:val="002F6DAC"/>
    <w:rsid w:val="00301E8C"/>
    <w:rsid w:val="00306057"/>
    <w:rsid w:val="00312177"/>
    <w:rsid w:val="003143C9"/>
    <w:rsid w:val="003146E9"/>
    <w:rsid w:val="00314D5D"/>
    <w:rsid w:val="00320009"/>
    <w:rsid w:val="0032424A"/>
    <w:rsid w:val="003245D3"/>
    <w:rsid w:val="00330AA3"/>
    <w:rsid w:val="00331584"/>
    <w:rsid w:val="00331964"/>
    <w:rsid w:val="00334987"/>
    <w:rsid w:val="00340C69"/>
    <w:rsid w:val="00342E34"/>
    <w:rsid w:val="00345FAA"/>
    <w:rsid w:val="00347201"/>
    <w:rsid w:val="0035567E"/>
    <w:rsid w:val="003638A1"/>
    <w:rsid w:val="00371CF1"/>
    <w:rsid w:val="00372211"/>
    <w:rsid w:val="00373128"/>
    <w:rsid w:val="003750C1"/>
    <w:rsid w:val="0038051E"/>
    <w:rsid w:val="003809E1"/>
    <w:rsid w:val="00380AF7"/>
    <w:rsid w:val="00394A05"/>
    <w:rsid w:val="003955F5"/>
    <w:rsid w:val="00397770"/>
    <w:rsid w:val="00397880"/>
    <w:rsid w:val="003A5894"/>
    <w:rsid w:val="003A7016"/>
    <w:rsid w:val="003A70AE"/>
    <w:rsid w:val="003B0C08"/>
    <w:rsid w:val="003B4908"/>
    <w:rsid w:val="003B5A74"/>
    <w:rsid w:val="003C17A5"/>
    <w:rsid w:val="003C1843"/>
    <w:rsid w:val="003C5D19"/>
    <w:rsid w:val="003D1552"/>
    <w:rsid w:val="003D423B"/>
    <w:rsid w:val="003E381F"/>
    <w:rsid w:val="003E4046"/>
    <w:rsid w:val="003F003A"/>
    <w:rsid w:val="003F125B"/>
    <w:rsid w:val="003F5943"/>
    <w:rsid w:val="003F7B3F"/>
    <w:rsid w:val="004058AD"/>
    <w:rsid w:val="0041078D"/>
    <w:rsid w:val="00416F97"/>
    <w:rsid w:val="0043039B"/>
    <w:rsid w:val="00436197"/>
    <w:rsid w:val="004423FE"/>
    <w:rsid w:val="00445C35"/>
    <w:rsid w:val="0045053B"/>
    <w:rsid w:val="00454B41"/>
    <w:rsid w:val="0045663A"/>
    <w:rsid w:val="0046344E"/>
    <w:rsid w:val="004654FB"/>
    <w:rsid w:val="004667E7"/>
    <w:rsid w:val="004672CF"/>
    <w:rsid w:val="00472B40"/>
    <w:rsid w:val="00472D8C"/>
    <w:rsid w:val="00475797"/>
    <w:rsid w:val="00476D0A"/>
    <w:rsid w:val="00482BF7"/>
    <w:rsid w:val="0049002F"/>
    <w:rsid w:val="0049253B"/>
    <w:rsid w:val="004A140B"/>
    <w:rsid w:val="004A4B47"/>
    <w:rsid w:val="004B0EC9"/>
    <w:rsid w:val="004B7BAA"/>
    <w:rsid w:val="004C2DF7"/>
    <w:rsid w:val="004C4E0B"/>
    <w:rsid w:val="004D497E"/>
    <w:rsid w:val="004E4809"/>
    <w:rsid w:val="004E4CC3"/>
    <w:rsid w:val="004E5985"/>
    <w:rsid w:val="004E6352"/>
    <w:rsid w:val="004E6460"/>
    <w:rsid w:val="004F6B46"/>
    <w:rsid w:val="0050425E"/>
    <w:rsid w:val="005072C4"/>
    <w:rsid w:val="00511999"/>
    <w:rsid w:val="005145D6"/>
    <w:rsid w:val="005206E5"/>
    <w:rsid w:val="00520824"/>
    <w:rsid w:val="00521EA5"/>
    <w:rsid w:val="00525B80"/>
    <w:rsid w:val="0053098F"/>
    <w:rsid w:val="00536065"/>
    <w:rsid w:val="00536B2E"/>
    <w:rsid w:val="00546D8E"/>
    <w:rsid w:val="00553738"/>
    <w:rsid w:val="0056646F"/>
    <w:rsid w:val="00571AE1"/>
    <w:rsid w:val="00581B28"/>
    <w:rsid w:val="00590010"/>
    <w:rsid w:val="00592267"/>
    <w:rsid w:val="0059421F"/>
    <w:rsid w:val="00595ED4"/>
    <w:rsid w:val="005A136D"/>
    <w:rsid w:val="005A1B09"/>
    <w:rsid w:val="005B0AE2"/>
    <w:rsid w:val="005B1F2C"/>
    <w:rsid w:val="005B5F3C"/>
    <w:rsid w:val="005C41F2"/>
    <w:rsid w:val="005C5DDD"/>
    <w:rsid w:val="005C5EA3"/>
    <w:rsid w:val="005D03D9"/>
    <w:rsid w:val="005D1EE8"/>
    <w:rsid w:val="005D51CF"/>
    <w:rsid w:val="005D56AE"/>
    <w:rsid w:val="005D666D"/>
    <w:rsid w:val="005E3A59"/>
    <w:rsid w:val="005E6AA1"/>
    <w:rsid w:val="00604802"/>
    <w:rsid w:val="006125F8"/>
    <w:rsid w:val="00615AB0"/>
    <w:rsid w:val="00616247"/>
    <w:rsid w:val="0061778C"/>
    <w:rsid w:val="00636B90"/>
    <w:rsid w:val="00644CD5"/>
    <w:rsid w:val="0064738B"/>
    <w:rsid w:val="006508EA"/>
    <w:rsid w:val="006530BB"/>
    <w:rsid w:val="00667E86"/>
    <w:rsid w:val="006703D7"/>
    <w:rsid w:val="00681336"/>
    <w:rsid w:val="0068392D"/>
    <w:rsid w:val="0069167A"/>
    <w:rsid w:val="00696663"/>
    <w:rsid w:val="00697DB5"/>
    <w:rsid w:val="006A0216"/>
    <w:rsid w:val="006A161B"/>
    <w:rsid w:val="006A1B33"/>
    <w:rsid w:val="006A492A"/>
    <w:rsid w:val="006B5C72"/>
    <w:rsid w:val="006B7710"/>
    <w:rsid w:val="006C289D"/>
    <w:rsid w:val="006C2F46"/>
    <w:rsid w:val="006C452C"/>
    <w:rsid w:val="006D0310"/>
    <w:rsid w:val="006D2009"/>
    <w:rsid w:val="006D5576"/>
    <w:rsid w:val="006E766D"/>
    <w:rsid w:val="006F4B29"/>
    <w:rsid w:val="006F6CE9"/>
    <w:rsid w:val="006F6F80"/>
    <w:rsid w:val="0070517C"/>
    <w:rsid w:val="00705C9F"/>
    <w:rsid w:val="00716951"/>
    <w:rsid w:val="00720F6B"/>
    <w:rsid w:val="0072317C"/>
    <w:rsid w:val="00730ADA"/>
    <w:rsid w:val="00732C37"/>
    <w:rsid w:val="00735D9E"/>
    <w:rsid w:val="00740EE4"/>
    <w:rsid w:val="007415B4"/>
    <w:rsid w:val="00745A09"/>
    <w:rsid w:val="00751667"/>
    <w:rsid w:val="00751EAF"/>
    <w:rsid w:val="00753C6D"/>
    <w:rsid w:val="00754CF7"/>
    <w:rsid w:val="00757B0D"/>
    <w:rsid w:val="00761320"/>
    <w:rsid w:val="00762050"/>
    <w:rsid w:val="007651B1"/>
    <w:rsid w:val="00767CE1"/>
    <w:rsid w:val="00771A68"/>
    <w:rsid w:val="007744D2"/>
    <w:rsid w:val="00786136"/>
    <w:rsid w:val="00793D30"/>
    <w:rsid w:val="007968E6"/>
    <w:rsid w:val="00796C63"/>
    <w:rsid w:val="007A7D5F"/>
    <w:rsid w:val="007B05CF"/>
    <w:rsid w:val="007B4E8D"/>
    <w:rsid w:val="007C212A"/>
    <w:rsid w:val="007E7D21"/>
    <w:rsid w:val="007E7DBD"/>
    <w:rsid w:val="007F482F"/>
    <w:rsid w:val="007F7C94"/>
    <w:rsid w:val="0080398D"/>
    <w:rsid w:val="00805174"/>
    <w:rsid w:val="00806385"/>
    <w:rsid w:val="00807CC5"/>
    <w:rsid w:val="00807ED7"/>
    <w:rsid w:val="00814CC6"/>
    <w:rsid w:val="00826D53"/>
    <w:rsid w:val="00826E06"/>
    <w:rsid w:val="00831751"/>
    <w:rsid w:val="00833369"/>
    <w:rsid w:val="00835B42"/>
    <w:rsid w:val="00842A4E"/>
    <w:rsid w:val="00847D99"/>
    <w:rsid w:val="0085038E"/>
    <w:rsid w:val="0085230A"/>
    <w:rsid w:val="0086271D"/>
    <w:rsid w:val="0086420B"/>
    <w:rsid w:val="00864DBF"/>
    <w:rsid w:val="00865AE2"/>
    <w:rsid w:val="008663C8"/>
    <w:rsid w:val="00876FDC"/>
    <w:rsid w:val="0088163A"/>
    <w:rsid w:val="00887090"/>
    <w:rsid w:val="00893963"/>
    <w:rsid w:val="0089601F"/>
    <w:rsid w:val="008970B8"/>
    <w:rsid w:val="008A7313"/>
    <w:rsid w:val="008A7D91"/>
    <w:rsid w:val="008B7FC7"/>
    <w:rsid w:val="008C11BE"/>
    <w:rsid w:val="008C4337"/>
    <w:rsid w:val="008C4F06"/>
    <w:rsid w:val="008E1E4A"/>
    <w:rsid w:val="008F0615"/>
    <w:rsid w:val="008F103E"/>
    <w:rsid w:val="008F1FDB"/>
    <w:rsid w:val="008F36FB"/>
    <w:rsid w:val="008F7A8B"/>
    <w:rsid w:val="00900181"/>
    <w:rsid w:val="00902EA9"/>
    <w:rsid w:val="0090427F"/>
    <w:rsid w:val="009065CD"/>
    <w:rsid w:val="00920506"/>
    <w:rsid w:val="009319E8"/>
    <w:rsid w:val="00931DEB"/>
    <w:rsid w:val="009332D2"/>
    <w:rsid w:val="00933957"/>
    <w:rsid w:val="009356FA"/>
    <w:rsid w:val="0094022A"/>
    <w:rsid w:val="00945B8E"/>
    <w:rsid w:val="009473DB"/>
    <w:rsid w:val="009504A1"/>
    <w:rsid w:val="00950605"/>
    <w:rsid w:val="00952233"/>
    <w:rsid w:val="00954D66"/>
    <w:rsid w:val="00963F8F"/>
    <w:rsid w:val="00970BD5"/>
    <w:rsid w:val="00973C62"/>
    <w:rsid w:val="00975D76"/>
    <w:rsid w:val="00982E51"/>
    <w:rsid w:val="009874B9"/>
    <w:rsid w:val="00993581"/>
    <w:rsid w:val="009A288C"/>
    <w:rsid w:val="009A64C1"/>
    <w:rsid w:val="009B3D5A"/>
    <w:rsid w:val="009B6697"/>
    <w:rsid w:val="009B6C78"/>
    <w:rsid w:val="009C2B43"/>
    <w:rsid w:val="009C2EA4"/>
    <w:rsid w:val="009C4C04"/>
    <w:rsid w:val="009D5213"/>
    <w:rsid w:val="009E06B2"/>
    <w:rsid w:val="009E1C95"/>
    <w:rsid w:val="009F196A"/>
    <w:rsid w:val="009F3498"/>
    <w:rsid w:val="009F669B"/>
    <w:rsid w:val="009F7566"/>
    <w:rsid w:val="009F7F18"/>
    <w:rsid w:val="00A02A72"/>
    <w:rsid w:val="00A06BFE"/>
    <w:rsid w:val="00A10F5D"/>
    <w:rsid w:val="00A12254"/>
    <w:rsid w:val="00A1243C"/>
    <w:rsid w:val="00A135AE"/>
    <w:rsid w:val="00A14AF1"/>
    <w:rsid w:val="00A16891"/>
    <w:rsid w:val="00A25B99"/>
    <w:rsid w:val="00A268CE"/>
    <w:rsid w:val="00A332E8"/>
    <w:rsid w:val="00A35AF5"/>
    <w:rsid w:val="00A35DDF"/>
    <w:rsid w:val="00A36CBA"/>
    <w:rsid w:val="00A45741"/>
    <w:rsid w:val="00A50291"/>
    <w:rsid w:val="00A530E4"/>
    <w:rsid w:val="00A54C0E"/>
    <w:rsid w:val="00A604CD"/>
    <w:rsid w:val="00A60FE6"/>
    <w:rsid w:val="00A622F5"/>
    <w:rsid w:val="00A654BE"/>
    <w:rsid w:val="00A66DD6"/>
    <w:rsid w:val="00A75EC2"/>
    <w:rsid w:val="00A771FD"/>
    <w:rsid w:val="00A80767"/>
    <w:rsid w:val="00A861A3"/>
    <w:rsid w:val="00A874EF"/>
    <w:rsid w:val="00A9109D"/>
    <w:rsid w:val="00A95415"/>
    <w:rsid w:val="00AA131A"/>
    <w:rsid w:val="00AA3C89"/>
    <w:rsid w:val="00AB32BD"/>
    <w:rsid w:val="00AB4723"/>
    <w:rsid w:val="00AC4CDB"/>
    <w:rsid w:val="00AC70FE"/>
    <w:rsid w:val="00AD3AA3"/>
    <w:rsid w:val="00AD4358"/>
    <w:rsid w:val="00AF363B"/>
    <w:rsid w:val="00AF61E1"/>
    <w:rsid w:val="00AF638A"/>
    <w:rsid w:val="00AF7567"/>
    <w:rsid w:val="00B00141"/>
    <w:rsid w:val="00B009AA"/>
    <w:rsid w:val="00B00ECE"/>
    <w:rsid w:val="00B030C8"/>
    <w:rsid w:val="00B039C0"/>
    <w:rsid w:val="00B056E7"/>
    <w:rsid w:val="00B05B71"/>
    <w:rsid w:val="00B10035"/>
    <w:rsid w:val="00B15C76"/>
    <w:rsid w:val="00B165E6"/>
    <w:rsid w:val="00B235DB"/>
    <w:rsid w:val="00B24C31"/>
    <w:rsid w:val="00B411AF"/>
    <w:rsid w:val="00B447C0"/>
    <w:rsid w:val="00B53E53"/>
    <w:rsid w:val="00B548A2"/>
    <w:rsid w:val="00B56934"/>
    <w:rsid w:val="00B62F03"/>
    <w:rsid w:val="00B72444"/>
    <w:rsid w:val="00B93B62"/>
    <w:rsid w:val="00B953D1"/>
    <w:rsid w:val="00B96D93"/>
    <w:rsid w:val="00BA30D0"/>
    <w:rsid w:val="00BA77FB"/>
    <w:rsid w:val="00BB0D32"/>
    <w:rsid w:val="00BC76B5"/>
    <w:rsid w:val="00BD5420"/>
    <w:rsid w:val="00BE241E"/>
    <w:rsid w:val="00BF2233"/>
    <w:rsid w:val="00C023AF"/>
    <w:rsid w:val="00C04BD2"/>
    <w:rsid w:val="00C13EEC"/>
    <w:rsid w:val="00C14689"/>
    <w:rsid w:val="00C156A4"/>
    <w:rsid w:val="00C16356"/>
    <w:rsid w:val="00C20032"/>
    <w:rsid w:val="00C20BCE"/>
    <w:rsid w:val="00C20FAA"/>
    <w:rsid w:val="00C23509"/>
    <w:rsid w:val="00C2459D"/>
    <w:rsid w:val="00C2755A"/>
    <w:rsid w:val="00C316F1"/>
    <w:rsid w:val="00C42C95"/>
    <w:rsid w:val="00C4470F"/>
    <w:rsid w:val="00C50727"/>
    <w:rsid w:val="00C50A41"/>
    <w:rsid w:val="00C55E5B"/>
    <w:rsid w:val="00C62739"/>
    <w:rsid w:val="00C720A4"/>
    <w:rsid w:val="00C7611C"/>
    <w:rsid w:val="00C93FF2"/>
    <w:rsid w:val="00C94097"/>
    <w:rsid w:val="00CA4269"/>
    <w:rsid w:val="00CA48CA"/>
    <w:rsid w:val="00CA7330"/>
    <w:rsid w:val="00CB1C84"/>
    <w:rsid w:val="00CB5363"/>
    <w:rsid w:val="00CB64F0"/>
    <w:rsid w:val="00CC2909"/>
    <w:rsid w:val="00CD0549"/>
    <w:rsid w:val="00CE6B3C"/>
    <w:rsid w:val="00CF5E4B"/>
    <w:rsid w:val="00D03E49"/>
    <w:rsid w:val="00D05E6F"/>
    <w:rsid w:val="00D16D05"/>
    <w:rsid w:val="00D178D6"/>
    <w:rsid w:val="00D20296"/>
    <w:rsid w:val="00D2231A"/>
    <w:rsid w:val="00D27929"/>
    <w:rsid w:val="00D302CD"/>
    <w:rsid w:val="00D33442"/>
    <w:rsid w:val="00D419C6"/>
    <w:rsid w:val="00D44BAD"/>
    <w:rsid w:val="00D45B55"/>
    <w:rsid w:val="00D64A62"/>
    <w:rsid w:val="00D664D7"/>
    <w:rsid w:val="00D7097B"/>
    <w:rsid w:val="00D72207"/>
    <w:rsid w:val="00D72BC4"/>
    <w:rsid w:val="00D815FC"/>
    <w:rsid w:val="00D8517B"/>
    <w:rsid w:val="00D91DFA"/>
    <w:rsid w:val="00D94FED"/>
    <w:rsid w:val="00DA159A"/>
    <w:rsid w:val="00DB1AB2"/>
    <w:rsid w:val="00DC17C2"/>
    <w:rsid w:val="00DC4210"/>
    <w:rsid w:val="00DC4FDF"/>
    <w:rsid w:val="00DC66F0"/>
    <w:rsid w:val="00DD3A65"/>
    <w:rsid w:val="00DD62C6"/>
    <w:rsid w:val="00DD6576"/>
    <w:rsid w:val="00DD6CF7"/>
    <w:rsid w:val="00DD6DC4"/>
    <w:rsid w:val="00DE3B92"/>
    <w:rsid w:val="00DE48B4"/>
    <w:rsid w:val="00DE7137"/>
    <w:rsid w:val="00DF18E4"/>
    <w:rsid w:val="00E00498"/>
    <w:rsid w:val="00E1464C"/>
    <w:rsid w:val="00E14ADB"/>
    <w:rsid w:val="00E20D32"/>
    <w:rsid w:val="00E22F78"/>
    <w:rsid w:val="00E2425D"/>
    <w:rsid w:val="00E24F87"/>
    <w:rsid w:val="00E2617A"/>
    <w:rsid w:val="00E273FB"/>
    <w:rsid w:val="00E31CD4"/>
    <w:rsid w:val="00E4497F"/>
    <w:rsid w:val="00E538E6"/>
    <w:rsid w:val="00E64CBD"/>
    <w:rsid w:val="00E71C45"/>
    <w:rsid w:val="00E74332"/>
    <w:rsid w:val="00E802A2"/>
    <w:rsid w:val="00E80F02"/>
    <w:rsid w:val="00E8410F"/>
    <w:rsid w:val="00E85C0B"/>
    <w:rsid w:val="00E86BFA"/>
    <w:rsid w:val="00EA4EDD"/>
    <w:rsid w:val="00EA6A2D"/>
    <w:rsid w:val="00EA7089"/>
    <w:rsid w:val="00EB13D7"/>
    <w:rsid w:val="00EB1E83"/>
    <w:rsid w:val="00EB21B6"/>
    <w:rsid w:val="00ED22CB"/>
    <w:rsid w:val="00ED67AF"/>
    <w:rsid w:val="00EE11F0"/>
    <w:rsid w:val="00EE128C"/>
    <w:rsid w:val="00EE2B19"/>
    <w:rsid w:val="00EE4C48"/>
    <w:rsid w:val="00EE5D2E"/>
    <w:rsid w:val="00EE7E6F"/>
    <w:rsid w:val="00EF66D9"/>
    <w:rsid w:val="00EF68E3"/>
    <w:rsid w:val="00EF6BA5"/>
    <w:rsid w:val="00EF780D"/>
    <w:rsid w:val="00EF7A98"/>
    <w:rsid w:val="00F0267E"/>
    <w:rsid w:val="00F071B2"/>
    <w:rsid w:val="00F075C1"/>
    <w:rsid w:val="00F11B47"/>
    <w:rsid w:val="00F2412D"/>
    <w:rsid w:val="00F25D8D"/>
    <w:rsid w:val="00F3069C"/>
    <w:rsid w:val="00F30BF8"/>
    <w:rsid w:val="00F330A1"/>
    <w:rsid w:val="00F3603E"/>
    <w:rsid w:val="00F44CCB"/>
    <w:rsid w:val="00F474C9"/>
    <w:rsid w:val="00F5126B"/>
    <w:rsid w:val="00F54EA3"/>
    <w:rsid w:val="00F61675"/>
    <w:rsid w:val="00F6686B"/>
    <w:rsid w:val="00F67F74"/>
    <w:rsid w:val="00F712B3"/>
    <w:rsid w:val="00F71E9F"/>
    <w:rsid w:val="00F73DE3"/>
    <w:rsid w:val="00F744BF"/>
    <w:rsid w:val="00F7632C"/>
    <w:rsid w:val="00F77219"/>
    <w:rsid w:val="00F802F3"/>
    <w:rsid w:val="00F84DD2"/>
    <w:rsid w:val="00F906B8"/>
    <w:rsid w:val="00F94E44"/>
    <w:rsid w:val="00FA7307"/>
    <w:rsid w:val="00FB0872"/>
    <w:rsid w:val="00FB1F7A"/>
    <w:rsid w:val="00FB54CC"/>
    <w:rsid w:val="00FC2996"/>
    <w:rsid w:val="00FC362F"/>
    <w:rsid w:val="00FD0351"/>
    <w:rsid w:val="00FD1A37"/>
    <w:rsid w:val="00FD4E5B"/>
    <w:rsid w:val="00FE4EE0"/>
    <w:rsid w:val="00FE56C4"/>
    <w:rsid w:val="00FF0F9A"/>
    <w:rsid w:val="163D43EF"/>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C2614E"/>
  <w15:docId w15:val="{C18A6233-E74D-4FFE-96D0-75C392305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StyleWMOBodyTextBold">
    <w:name w:val="Style WMO_BodyText + Bold"/>
    <w:basedOn w:val="WMOBodyText"/>
    <w:rsid w:val="0035567E"/>
    <w:rPr>
      <w:b/>
      <w:bCs/>
      <w:lang w:val="es-ES_tradnl"/>
    </w:rPr>
  </w:style>
  <w:style w:type="character" w:customStyle="1" w:styleId="normaltextrun">
    <w:name w:val="normaltextrun"/>
    <w:basedOn w:val="DefaultParagraphFont"/>
    <w:rsid w:val="00AF363B"/>
  </w:style>
  <w:style w:type="paragraph" w:styleId="ListParagraph">
    <w:name w:val="List Paragraph"/>
    <w:basedOn w:val="Normal"/>
    <w:uiPriority w:val="1"/>
    <w:qFormat/>
    <w:rsid w:val="00AF363B"/>
    <w:pPr>
      <w:ind w:left="720"/>
      <w:contextualSpacing/>
    </w:pPr>
  </w:style>
  <w:style w:type="character" w:customStyle="1" w:styleId="eop">
    <w:name w:val="eop"/>
    <w:basedOn w:val="DefaultParagraphFont"/>
    <w:rsid w:val="00AF36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28035926">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idurl/4/32576"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hyperlink" Target="https://library.wmo.int/idurl/4/32655" TargetMode="External"/><Relationship Id="rId17" Type="http://schemas.openxmlformats.org/officeDocument/2006/relationships/hyperlink" Target="https://library.wmo.int/idurl/4/58386" TargetMode="Externa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library.wmo.int/idurl/4/58175" TargetMode="External"/><Relationship Id="rId20" Type="http://schemas.openxmlformats.org/officeDocument/2006/relationships/image" Target="media/image4.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library.wmo.int/idurl/4/28046" TargetMode="External"/><Relationship Id="rId23" Type="http://schemas.openxmlformats.org/officeDocument/2006/relationships/image" Target="media/image7.emf"/><Relationship Id="rId28" Type="http://schemas.openxmlformats.org/officeDocument/2006/relationships/hyperlink" Target="https://library.wmo.int/idurl/4/56877"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idurl/4/56877" TargetMode="External"/><Relationship Id="rId22" Type="http://schemas.openxmlformats.org/officeDocument/2006/relationships/image" Target="media/image6.png"/><Relationship Id="rId27" Type="http://schemas.openxmlformats.org/officeDocument/2006/relationships/hyperlink" Target="https://library.wmo.int/idurl/4/32576" TargetMode="External"/><Relationship Id="rId30" Type="http://schemas.openxmlformats.org/officeDocument/2006/relationships/image" Target="media/image12.sv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BuesaLalueza\Downloads\RA-VI-19(I)-dxx-Template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5062742951A54785FC5883805E6DC1" ma:contentTypeVersion="" ma:contentTypeDescription="Create a new document." ma:contentTypeScope="" ma:versionID="27629f2e7c90046e9d8eb8fdf5af5286">
  <xsd:schema xmlns:xsd="http://www.w3.org/2001/XMLSchema" xmlns:xs="http://www.w3.org/2001/XMLSchema" xmlns:p="http://schemas.microsoft.com/office/2006/metadata/properties" xmlns:ns2="d34343af-28c4-4431-8b96-d735d539fd00" targetNamespace="http://schemas.microsoft.com/office/2006/metadata/properties" ma:root="true" ma:fieldsID="402f2ef1d294f7c3fb9c773681361db2" ns2:_="">
    <xsd:import namespace="d34343af-28c4-4431-8b96-d735d539fd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343af-28c4-4431-8b96-d735d539fd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2.xml><?xml version="1.0" encoding="utf-8"?>
<ds:datastoreItem xmlns:ds="http://schemas.openxmlformats.org/officeDocument/2006/customXml" ds:itemID="{8887CC43-A981-4440-8186-6147BAE5F4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4343af-28c4-4431-8b96-d735d539fd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BAD02DA-5DFD-425C-9FAD-89F3BF31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RA-VI-19(I)-dxx-Template_es</Template>
  <TotalTime>1</TotalTime>
  <Pages>9</Pages>
  <Words>2621</Words>
  <Characters>14945</Characters>
  <Application>Microsoft Office Word</Application>
  <DocSecurity>0</DocSecurity>
  <Lines>124</Lines>
  <Paragraphs>35</Paragraphs>
  <ScaleCrop>false</ScaleCrop>
  <Company>WMO</Company>
  <LinksUpToDate>false</LinksUpToDate>
  <CharactersWithSpaces>17531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David Buesa Lalueza</dc:creator>
  <cp:lastModifiedBy>David Buesa Lalueza</cp:lastModifiedBy>
  <cp:revision>3</cp:revision>
  <cp:lastPrinted>2013-03-12T09:27:00Z</cp:lastPrinted>
  <dcterms:created xsi:type="dcterms:W3CDTF">2024-09-24T14:19:00Z</dcterms:created>
  <dcterms:modified xsi:type="dcterms:W3CDTF">2024-09-25T08:25:00Z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0x0101006B5062742951A54785FC5883805E6DC1</vt:lpwstr>
  </property>
  <property fmtid="{D5CDD505-2E9C-101B-9397-08002B2CF9AE}" pid="3" name="MediaServiceImageTags">
    <vt:lpwstr/>
  </property>
</Properties>
</file>