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622"/>
        <w:gridCol w:w="3192"/>
      </w:tblGrid>
      <w:tr w:rsidR="00436C05" w:rsidRPr="00CA7814" w14:paraId="3F0F580A" w14:textId="77777777" w:rsidTr="003D0474">
        <w:trPr>
          <w:trHeight w:val="282"/>
        </w:trPr>
        <w:tc>
          <w:tcPr>
            <w:tcW w:w="500" w:type="dxa"/>
            <w:vMerge w:val="restart"/>
            <w:tcBorders>
              <w:bottom w:val="nil"/>
            </w:tcBorders>
            <w:textDirection w:val="btLr"/>
          </w:tcPr>
          <w:p w14:paraId="74675D09" w14:textId="77777777" w:rsidR="00436C05" w:rsidRPr="00CA7814" w:rsidRDefault="00436C05" w:rsidP="003D0474">
            <w:pPr>
              <w:tabs>
                <w:tab w:val="clear" w:pos="1134"/>
                <w:tab w:val="left" w:pos="6946"/>
              </w:tabs>
              <w:suppressAutoHyphens/>
              <w:spacing w:after="120" w:line="252" w:lineRule="auto"/>
              <w:ind w:right="57"/>
              <w:jc w:val="right"/>
              <w:rPr>
                <w:color w:val="1F497D" w:themeColor="text2"/>
                <w:sz w:val="12"/>
                <w:szCs w:val="12"/>
              </w:rPr>
            </w:pPr>
            <w:bookmarkStart w:id="0" w:name="_Hlk176524359"/>
            <w:r w:rsidRPr="00CA7814">
              <w:rPr>
                <w:color w:val="1F497D" w:themeColor="text2"/>
                <w:sz w:val="12"/>
                <w:szCs w:val="12"/>
                <w:lang w:val="ru-RU"/>
              </w:rPr>
              <w:t>ПОГОДА КЛИМАТ ВОДА</w:t>
            </w:r>
          </w:p>
        </w:tc>
        <w:tc>
          <w:tcPr>
            <w:tcW w:w="6622" w:type="dxa"/>
            <w:vMerge w:val="restart"/>
          </w:tcPr>
          <w:p w14:paraId="3C690A1F" w14:textId="77777777" w:rsidR="00436C05" w:rsidRPr="00CA7814" w:rsidRDefault="00436C05" w:rsidP="003D0474">
            <w:pPr>
              <w:tabs>
                <w:tab w:val="left" w:pos="6946"/>
              </w:tabs>
              <w:suppressAutoHyphens/>
              <w:spacing w:after="120" w:line="252" w:lineRule="auto"/>
              <w:ind w:left="1134"/>
              <w:jc w:val="left"/>
              <w:rPr>
                <w:rFonts w:cs="Tahoma"/>
                <w:b/>
                <w:bCs/>
                <w:color w:val="1F497D" w:themeColor="text2"/>
                <w:szCs w:val="22"/>
                <w:lang w:val="ru-RU"/>
              </w:rPr>
            </w:pPr>
            <w:r w:rsidRPr="00CA7814">
              <w:rPr>
                <w:noProof/>
                <w:color w:val="1F497D" w:themeColor="text2"/>
                <w:szCs w:val="22"/>
                <w:lang w:val="ru-RU" w:eastAsia="zh-CN"/>
              </w:rPr>
              <w:drawing>
                <wp:anchor distT="0" distB="0" distL="114300" distR="114300" simplePos="0" relativeHeight="251661312" behindDoc="1" locked="1" layoutInCell="1" allowOverlap="1" wp14:anchorId="6D4F6C90" wp14:editId="1B04C31B">
                  <wp:simplePos x="0" y="0"/>
                  <wp:positionH relativeFrom="page">
                    <wp:posOffset>8255</wp:posOffset>
                  </wp:positionH>
                  <wp:positionV relativeFrom="page">
                    <wp:posOffset>-13970</wp:posOffset>
                  </wp:positionV>
                  <wp:extent cx="613410" cy="673100"/>
                  <wp:effectExtent l="0" t="0" r="0" b="0"/>
                  <wp:wrapNone/>
                  <wp:docPr id="1215065632" name="Picture 1215065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7814">
              <w:rPr>
                <w:b/>
                <w:bCs/>
                <w:color w:val="1F497D" w:themeColor="text2"/>
                <w:lang w:val="ru-RU"/>
              </w:rPr>
              <w:t>Всемирная метеорологическая организация</w:t>
            </w:r>
          </w:p>
          <w:p w14:paraId="24B617D0" w14:textId="77777777" w:rsidR="00436C05" w:rsidRPr="00CA7814" w:rsidRDefault="00436C05" w:rsidP="003D0474">
            <w:pPr>
              <w:tabs>
                <w:tab w:val="left" w:pos="6946"/>
              </w:tabs>
              <w:suppressAutoHyphens/>
              <w:spacing w:after="120" w:line="252" w:lineRule="auto"/>
              <w:ind w:left="1134"/>
              <w:jc w:val="left"/>
              <w:rPr>
                <w:rFonts w:cs="Tahoma"/>
                <w:b/>
                <w:color w:val="1F497D" w:themeColor="text2"/>
                <w:spacing w:val="-2"/>
                <w:szCs w:val="22"/>
                <w:lang w:val="ru-RU"/>
              </w:rPr>
            </w:pPr>
            <w:r w:rsidRPr="00CA7814">
              <w:rPr>
                <w:b/>
                <w:bCs/>
                <w:color w:val="1F497D" w:themeColor="text2"/>
                <w:lang w:val="ru-RU"/>
              </w:rPr>
              <w:t>РЕГИОНАЛЬНАЯ АССОЦИАЦИЯ VI (ЕВРОПА)</w:t>
            </w:r>
          </w:p>
          <w:p w14:paraId="78BC4427" w14:textId="77777777" w:rsidR="00436C05" w:rsidRPr="00CA7814" w:rsidRDefault="00436C05" w:rsidP="003D0474">
            <w:pPr>
              <w:tabs>
                <w:tab w:val="left" w:pos="6946"/>
              </w:tabs>
              <w:suppressAutoHyphens/>
              <w:spacing w:after="120" w:line="252" w:lineRule="auto"/>
              <w:ind w:left="1134"/>
              <w:jc w:val="left"/>
              <w:rPr>
                <w:rFonts w:cs="Tahoma"/>
                <w:b/>
                <w:bCs/>
                <w:color w:val="1F497D" w:themeColor="text2"/>
                <w:szCs w:val="22"/>
                <w:lang w:val="ru-RU"/>
              </w:rPr>
            </w:pPr>
            <w:r w:rsidRPr="00CA7814">
              <w:rPr>
                <w:color w:val="1F497D" w:themeColor="text2"/>
                <w:lang w:val="ru-RU"/>
              </w:rPr>
              <w:t xml:space="preserve">Девятнадцатая сессия (этап I) </w:t>
            </w:r>
            <w:r>
              <w:rPr>
                <w:color w:val="1F497D" w:themeColor="text2"/>
                <w:lang w:val="ru-RU"/>
              </w:rPr>
              <w:br/>
            </w:r>
            <w:r w:rsidRPr="00CA7814">
              <w:rPr>
                <w:color w:val="1F497D" w:themeColor="text2"/>
                <w:lang w:val="ru-RU"/>
              </w:rPr>
              <w:t>15-16 октября 2024 года, виртуальная сессия</w:t>
            </w:r>
          </w:p>
        </w:tc>
        <w:tc>
          <w:tcPr>
            <w:tcW w:w="3192" w:type="dxa"/>
          </w:tcPr>
          <w:p w14:paraId="698F71D8" w14:textId="11A2EFE5" w:rsidR="00436C05" w:rsidRPr="00CA7814" w:rsidRDefault="00436C05" w:rsidP="003D0474">
            <w:pPr>
              <w:tabs>
                <w:tab w:val="clear" w:pos="1134"/>
              </w:tabs>
              <w:spacing w:after="60"/>
              <w:ind w:right="-108"/>
              <w:jc w:val="right"/>
              <w:rPr>
                <w:rFonts w:cs="Tahoma"/>
                <w:b/>
                <w:bCs/>
                <w:color w:val="1F497D" w:themeColor="text2"/>
                <w:szCs w:val="22"/>
              </w:rPr>
            </w:pPr>
            <w:proofErr w:type="spellStart"/>
            <w:r w:rsidRPr="00CA7814">
              <w:rPr>
                <w:b/>
                <w:bCs/>
                <w:color w:val="1F497D" w:themeColor="text2"/>
                <w:lang w:val="ru-RU"/>
              </w:rPr>
              <w:t>RA</w:t>
            </w:r>
            <w:proofErr w:type="spellEnd"/>
            <w:r w:rsidRPr="00CA7814">
              <w:rPr>
                <w:b/>
                <w:bCs/>
                <w:color w:val="1F497D" w:themeColor="text2"/>
                <w:lang w:val="ru-RU"/>
              </w:rPr>
              <w:t xml:space="preserve"> VI-19(I)/</w:t>
            </w:r>
            <w:proofErr w:type="spellStart"/>
            <w:r w:rsidRPr="00CA7814">
              <w:rPr>
                <w:b/>
                <w:bCs/>
                <w:color w:val="1F497D" w:themeColor="text2"/>
                <w:lang w:val="ru-RU"/>
              </w:rPr>
              <w:t>INF</w:t>
            </w:r>
            <w:proofErr w:type="spellEnd"/>
            <w:r w:rsidRPr="00CA7814">
              <w:rPr>
                <w:b/>
                <w:bCs/>
                <w:color w:val="1F497D" w:themeColor="text2"/>
                <w:lang w:val="ru-RU"/>
              </w:rPr>
              <w:t xml:space="preserve">. </w:t>
            </w:r>
            <w:r w:rsidRPr="00436C05">
              <w:rPr>
                <w:b/>
                <w:bCs/>
                <w:color w:val="1F497D" w:themeColor="text2"/>
                <w:lang w:val="ru-RU"/>
              </w:rPr>
              <w:t>3.4(2)</w:t>
            </w:r>
          </w:p>
        </w:tc>
      </w:tr>
      <w:tr w:rsidR="00436C05" w:rsidRPr="00436C05" w14:paraId="64EFA393" w14:textId="77777777" w:rsidTr="003D0474">
        <w:trPr>
          <w:trHeight w:val="730"/>
        </w:trPr>
        <w:tc>
          <w:tcPr>
            <w:tcW w:w="500" w:type="dxa"/>
            <w:vMerge/>
            <w:tcBorders>
              <w:bottom w:val="nil"/>
            </w:tcBorders>
          </w:tcPr>
          <w:p w14:paraId="4AB1590A" w14:textId="77777777" w:rsidR="00436C05" w:rsidRPr="00CA7814" w:rsidRDefault="00436C05" w:rsidP="003D0474">
            <w:pPr>
              <w:tabs>
                <w:tab w:val="left" w:pos="6946"/>
              </w:tabs>
              <w:suppressAutoHyphens/>
              <w:spacing w:after="120" w:line="252" w:lineRule="auto"/>
              <w:ind w:left="1134"/>
              <w:jc w:val="left"/>
              <w:rPr>
                <w:color w:val="1F497D" w:themeColor="text2"/>
                <w:szCs w:val="22"/>
                <w:lang w:eastAsia="zh-CN"/>
              </w:rPr>
            </w:pPr>
          </w:p>
        </w:tc>
        <w:tc>
          <w:tcPr>
            <w:tcW w:w="6622" w:type="dxa"/>
            <w:vMerge/>
          </w:tcPr>
          <w:p w14:paraId="10B1B392" w14:textId="77777777" w:rsidR="00436C05" w:rsidRPr="00CA7814" w:rsidRDefault="00436C05" w:rsidP="003D0474">
            <w:pPr>
              <w:tabs>
                <w:tab w:val="left" w:pos="6946"/>
              </w:tabs>
              <w:suppressAutoHyphens/>
              <w:spacing w:after="120" w:line="252" w:lineRule="auto"/>
              <w:ind w:left="1134"/>
              <w:jc w:val="left"/>
              <w:rPr>
                <w:color w:val="1F497D" w:themeColor="text2"/>
                <w:szCs w:val="22"/>
                <w:lang w:eastAsia="zh-CN"/>
              </w:rPr>
            </w:pPr>
          </w:p>
        </w:tc>
        <w:tc>
          <w:tcPr>
            <w:tcW w:w="3192" w:type="dxa"/>
          </w:tcPr>
          <w:p w14:paraId="0C42A0D7" w14:textId="794E40DB" w:rsidR="00436C05" w:rsidRPr="00CA7814" w:rsidRDefault="00436C05" w:rsidP="003D0474">
            <w:pPr>
              <w:tabs>
                <w:tab w:val="clear" w:pos="1134"/>
              </w:tabs>
              <w:spacing w:before="120" w:after="60"/>
              <w:ind w:right="-108"/>
              <w:jc w:val="right"/>
              <w:rPr>
                <w:rFonts w:cs="Tahoma"/>
                <w:color w:val="1F497D" w:themeColor="text2"/>
                <w:szCs w:val="22"/>
                <w:lang w:val="ru-RU"/>
              </w:rPr>
            </w:pPr>
            <w:r w:rsidRPr="00CA7814">
              <w:rPr>
                <w:color w:val="1F497D" w:themeColor="text2"/>
                <w:lang w:val="ru-RU"/>
              </w:rPr>
              <w:t xml:space="preserve">Представлен: </w:t>
            </w:r>
            <w:r>
              <w:rPr>
                <w:color w:val="1F497D" w:themeColor="text2"/>
                <w:lang w:val="ru-RU"/>
              </w:rPr>
              <w:br/>
            </w:r>
            <w:r w:rsidRPr="00436C05">
              <w:rPr>
                <w:color w:val="1F497D" w:themeColor="text2"/>
                <w:lang w:val="ru-RU"/>
              </w:rPr>
              <w:t>Генеральным секретарем</w:t>
            </w:r>
          </w:p>
          <w:p w14:paraId="7320FF71" w14:textId="77777777" w:rsidR="00436C05" w:rsidRPr="00CA7814" w:rsidRDefault="00436C05" w:rsidP="003D0474">
            <w:pPr>
              <w:tabs>
                <w:tab w:val="clear" w:pos="1134"/>
              </w:tabs>
              <w:spacing w:before="120" w:after="60"/>
              <w:ind w:right="-108"/>
              <w:jc w:val="right"/>
              <w:rPr>
                <w:rFonts w:cs="Tahoma"/>
                <w:color w:val="1F497D" w:themeColor="text2"/>
                <w:szCs w:val="22"/>
                <w:lang w:val="ru-RU"/>
              </w:rPr>
            </w:pPr>
            <w:r w:rsidRPr="00CA7814">
              <w:rPr>
                <w:color w:val="1F497D" w:themeColor="text2"/>
                <w:lang w:val="ru-RU"/>
              </w:rPr>
              <w:t>9.IX.2024 г.</w:t>
            </w:r>
          </w:p>
          <w:p w14:paraId="53F479C0" w14:textId="77777777" w:rsidR="00436C05" w:rsidRPr="00CA7814" w:rsidRDefault="00436C05" w:rsidP="003D0474">
            <w:pPr>
              <w:tabs>
                <w:tab w:val="clear" w:pos="1134"/>
              </w:tabs>
              <w:spacing w:before="120" w:after="60"/>
              <w:ind w:right="-108"/>
              <w:jc w:val="right"/>
              <w:rPr>
                <w:rFonts w:cs="Tahoma"/>
                <w:b/>
                <w:bCs/>
                <w:color w:val="1F497D" w:themeColor="text2"/>
                <w:szCs w:val="22"/>
                <w:lang w:val="ru-RU"/>
              </w:rPr>
            </w:pPr>
          </w:p>
        </w:tc>
      </w:tr>
    </w:tbl>
    <w:p w14:paraId="58631CA9" w14:textId="77777777" w:rsidR="00436C05" w:rsidRPr="008C3BE3" w:rsidRDefault="00436C05" w:rsidP="00436C05">
      <w:pPr>
        <w:pStyle w:val="Heading2"/>
        <w:jc w:val="left"/>
        <w:rPr>
          <w:b w:val="0"/>
          <w:bCs w:val="0"/>
          <w:i/>
          <w:iCs w:val="0"/>
          <w:color w:val="FF0000"/>
          <w:sz w:val="20"/>
          <w:szCs w:val="20"/>
          <w:lang w:val="ru-RU"/>
        </w:rPr>
      </w:pPr>
      <w:r w:rsidRPr="00875532">
        <w:rPr>
          <w:rStyle w:val="normaltextrun"/>
          <w:b w:val="0"/>
          <w:bCs w:val="0"/>
          <w:i/>
          <w:iCs w:val="0"/>
          <w:color w:val="FF0000"/>
          <w:sz w:val="20"/>
          <w:szCs w:val="20"/>
          <w:shd w:val="clear" w:color="auto" w:fill="FFFFFF"/>
          <w:lang w:val="ru-RU"/>
        </w:rPr>
        <w:t>[Этот документ был переведен для вашего удобства с использованием технологий машинного перевода без постредактирования. Не дается никаких гарантий какого-либо рода, явных или подразумеваемых, в отношении его точности, надежности или правильности. Любые расхождения или различия, которые могли возникнуть при переводе содержания оригинального документа на русский язык, не являются обязательными и не имеют юридической силы для соблюдения, исполнения или любой другой цели. Некоторые материалы (например, изображения) могут быть не переведены из-за технических ограничений системы. В случае возникновения вопросов, связанных с точностью информации, содержащейся в переведенном документе, просим обращаться к английскому оригиналу, который является официальной версией документа.</w:t>
      </w:r>
      <w:r w:rsidRPr="00875532">
        <w:rPr>
          <w:rStyle w:val="eop"/>
          <w:b w:val="0"/>
          <w:bCs w:val="0"/>
          <w:i/>
          <w:iCs w:val="0"/>
          <w:color w:val="FF0000"/>
          <w:sz w:val="20"/>
          <w:szCs w:val="20"/>
          <w:shd w:val="clear" w:color="auto" w:fill="FFFFFF"/>
          <w:lang w:val="ru-RU"/>
        </w:rPr>
        <w:t>]</w:t>
      </w:r>
    </w:p>
    <w:p w14:paraId="69EA12CA" w14:textId="63732B55" w:rsidR="00513EBA" w:rsidRPr="00436C05" w:rsidRDefault="00513EBA" w:rsidP="00513EBA">
      <w:pPr>
        <w:pStyle w:val="Heading2"/>
        <w:rPr>
          <w:lang w:val="ru-RU"/>
        </w:rPr>
      </w:pPr>
      <w:r>
        <w:rPr>
          <w:lang w:val="ru-RU"/>
        </w:rPr>
        <w:t>МОБИЛИЗАЦИЯ РЕСУРСОВ</w:t>
      </w:r>
    </w:p>
    <w:p w14:paraId="53DFB6EF" w14:textId="09CFA9A7" w:rsidR="00513EBA" w:rsidRPr="00436C05" w:rsidRDefault="0024064B" w:rsidP="00513EBA">
      <w:pPr>
        <w:pStyle w:val="Heading2"/>
        <w:rPr>
          <w:sz w:val="20"/>
          <w:szCs w:val="20"/>
          <w:lang w:val="ru-RU"/>
        </w:rPr>
      </w:pPr>
      <w:r>
        <w:rPr>
          <w:lang w:val="ru-RU"/>
        </w:rPr>
        <w:t>СТРАТЕГИЯ МОБИЛИЗАЦИИ РЕСУРСОВ ВМО И ПОДДЕРЖКА ЧЛЕНОВ В РАМКАХ ФЛАГМАНСКИХ ИНИЦИАТИВ (ЗПДВ, ГОСН/ФФСН И ГСНПЗ), ПРОГРАММЫ ДОБРОВОЛЬНОГО СОТРУДНИЧЕСТВА (ПДС) И ПРОЕКТОВ, ФИНАНСИРУЕМЫХ ЗА СЧЕТ ДОБРОВОЛЬНЫХ ВЗНОСОВ</w:t>
      </w:r>
    </w:p>
    <w:p w14:paraId="4879C9B6" w14:textId="77777777" w:rsidR="00513EBA" w:rsidRPr="00436C05" w:rsidRDefault="00513EBA" w:rsidP="00513EBA">
      <w:pPr>
        <w:pStyle w:val="Heading3"/>
        <w:rPr>
          <w:lang w:val="ru-RU"/>
        </w:rPr>
      </w:pPr>
      <w:r>
        <w:rPr>
          <w:lang w:val="ru-RU"/>
        </w:rPr>
        <w:t>Введение</w:t>
      </w:r>
    </w:p>
    <w:p w14:paraId="033C31A0" w14:textId="77777777" w:rsidR="00513EBA" w:rsidRPr="00436C05" w:rsidRDefault="00513EBA" w:rsidP="00513EBA">
      <w:pPr>
        <w:spacing w:before="240" w:after="120"/>
        <w:jc w:val="left"/>
        <w:rPr>
          <w:rFonts w:eastAsia="Verdana" w:cs="Verdana"/>
          <w:color w:val="0D0D0D" w:themeColor="text1" w:themeTint="F2"/>
          <w:lang w:val="ru-RU"/>
        </w:rPr>
      </w:pPr>
      <w:r>
        <w:rPr>
          <w:lang w:val="ru-RU"/>
        </w:rPr>
        <w:t>Мобилизация ресурсов имеет решающее значение для модернизации и укрепления операционного потенциала, услуг и устойчивости национальных метеорологических и гидрологических служб (НМГС) во всем мире. Эта необходимость присутствует и в РА VI, которая включает в себя разнообразную группу членов ВМО, находящихся на разных стадиях развития. Необходимость расширения масштабов мобилизации ресурсов обусловлена быстро растущим спросом на метеорологические, климатические и водные услуги и соответствующим стремлением ликвидировать дефицит потенциала (Стратегическая цель 4, Стратегический план ВМО на 2024-2027 годы). В то же время возможности для более масштабной мобилизации ресурсов расширяются, учитывая растущий политический импульс, направленный на увеличение объема и расширение доступа к льготному финансированию в области климата и развития для усиления управления климатическими рисками, адаптации и смягчения последствий.</w:t>
      </w:r>
    </w:p>
    <w:p w14:paraId="374866D2" w14:textId="77777777" w:rsidR="00513EBA" w:rsidRPr="00436C05" w:rsidRDefault="00513EBA" w:rsidP="00513EBA">
      <w:pPr>
        <w:shd w:val="clear" w:color="auto" w:fill="FFFFFF" w:themeFill="background1"/>
        <w:spacing w:before="240" w:after="120"/>
        <w:jc w:val="left"/>
        <w:rPr>
          <w:lang w:val="ru-RU"/>
        </w:rPr>
      </w:pPr>
      <w:r>
        <w:rPr>
          <w:lang w:val="ru-RU"/>
        </w:rPr>
        <w:t>Внебюджетные ресурсы, называемые в ВМО "добровольными взносами", предоставляются партнерами по развитию, многосторонними климатическими фондами, исследовательскими организациями, фондами, коммерческими структурами и другими. Взносы, включая гранты на проекты, предоставляются ВМО и ее партнерам и членам для реализации проектов развития, технической помощи, наращивания потенциала и тематических программ. Поддержка не только финансовая, но и заключается в предоставлении экспертных знаний, прикомандировании специалистов и других формах натуральной помощи.</w:t>
      </w:r>
    </w:p>
    <w:p w14:paraId="6F9D59C2" w14:textId="77777777" w:rsidR="00513EBA" w:rsidRPr="00436C05" w:rsidRDefault="00513EBA" w:rsidP="00513EBA">
      <w:pPr>
        <w:spacing w:before="240" w:after="120"/>
        <w:jc w:val="left"/>
        <w:rPr>
          <w:rFonts w:eastAsia="Verdana" w:cs="Verdana"/>
          <w:color w:val="0D0D0D" w:themeColor="text1" w:themeTint="F2"/>
          <w:lang w:val="ru-RU"/>
        </w:rPr>
      </w:pPr>
      <w:r>
        <w:rPr>
          <w:lang w:val="ru-RU"/>
        </w:rPr>
        <w:t xml:space="preserve">В этом документе кратко излагается стратегия ВМО по мобилизации ресурсов и подчеркивается ключевая роль, которую могут играть НМГС в мобилизации средств на финансирование климатических программ и программ развития. Кроме того, в нем описаны конкретные механизмы поддержки членов, включая флагманские инициативы ВМО «Заблаговременные предупреждения для всех» (ЗПДВ), Глобальную базовую сеть наблюдений и связанный с ней Механизм финансирования систематических наблюдений </w:t>
      </w:r>
      <w:r>
        <w:rPr>
          <w:lang w:val="ru-RU"/>
        </w:rPr>
        <w:lastRenderedPageBreak/>
        <w:t>(ГОСН / ФФСН), а также Глобальную службу наблюдения за парниковыми газами (ГСНПЗ) - наряду с Программой добровольного сотрудничества (ПДС) и другими источниками финансирования внебюджетных проектов.</w:t>
      </w:r>
    </w:p>
    <w:p w14:paraId="028965A9" w14:textId="77777777" w:rsidR="00513EBA" w:rsidRPr="00436C05" w:rsidRDefault="00513EBA" w:rsidP="0024064B">
      <w:pPr>
        <w:pStyle w:val="Heading3"/>
        <w:spacing w:after="120"/>
        <w:rPr>
          <w:lang w:val="ru-RU"/>
        </w:rPr>
      </w:pPr>
      <w:r>
        <w:rPr>
          <w:lang w:val="ru-RU"/>
        </w:rPr>
        <w:t>Обзор стратегии ВМО по мобилизации ресурсов</w:t>
      </w:r>
      <w:r w:rsidRPr="008845D7">
        <w:rPr>
          <w:vertAlign w:val="superscript"/>
          <w:lang w:val="ru-RU"/>
        </w:rPr>
        <w:footnoteReference w:id="2"/>
      </w:r>
    </w:p>
    <w:p w14:paraId="6C0DB35F" w14:textId="77777777" w:rsidR="00513EBA" w:rsidRPr="00436C05" w:rsidRDefault="00513EBA" w:rsidP="00513EBA">
      <w:pPr>
        <w:shd w:val="clear" w:color="auto" w:fill="FFFFFF" w:themeFill="background1"/>
        <w:spacing w:before="240" w:after="120"/>
        <w:jc w:val="left"/>
        <w:rPr>
          <w:rFonts w:eastAsia="Verdana" w:cs="Verdana"/>
          <w:color w:val="000000" w:themeColor="text1"/>
          <w:lang w:val="ru-RU"/>
        </w:rPr>
      </w:pPr>
      <w:r>
        <w:rPr>
          <w:lang w:val="ru-RU"/>
        </w:rPr>
        <w:t xml:space="preserve">Девятнадцатый Всемирный метеорологический конгресс (Кг-19) утвердил Стратегический план на </w:t>
      </w:r>
      <w:proofErr w:type="gramStart"/>
      <w:r>
        <w:rPr>
          <w:lang w:val="ru-RU"/>
        </w:rPr>
        <w:t>2024-2027</w:t>
      </w:r>
      <w:proofErr w:type="gramEnd"/>
      <w:r>
        <w:rPr>
          <w:lang w:val="ru-RU"/>
        </w:rPr>
        <w:t xml:space="preserve"> годы, в котором определены главные стратегические приоритеты, которыми ВМО будет руководствоваться в течение следующих четырех лет в условиях быстрых климатических, социальных и технологических изменений. Стратегический план устанавливает пять долгосрочных целей, направленных на реализацию концепции ВМО, согласно которой "к 2030 году мы увидим мир, в котором все страны, особенно наиболее уязвимые, будут более устойчивы к социально-экономическим последствиям экстремальных погодных, климатических, водных и других экологических явлений".</w:t>
      </w:r>
    </w:p>
    <w:p w14:paraId="64A73F72" w14:textId="77777777" w:rsidR="00513EBA" w:rsidRPr="00436C05" w:rsidRDefault="00513EBA" w:rsidP="00513EBA">
      <w:pPr>
        <w:shd w:val="clear" w:color="auto" w:fill="FFFFFF" w:themeFill="background1"/>
        <w:spacing w:before="240" w:after="120"/>
        <w:jc w:val="left"/>
        <w:rPr>
          <w:rFonts w:eastAsia="Verdana" w:cs="Verdana"/>
          <w:color w:val="000000" w:themeColor="text1"/>
          <w:lang w:val="ru-RU"/>
        </w:rPr>
      </w:pPr>
      <w:r>
        <w:rPr>
          <w:lang w:val="ru-RU"/>
        </w:rPr>
        <w:t>Чтобы помочь в реализации этого видения, мобилизация ресурсов будет осуществляться в трех сферах деятельности, причем все они будут направлены на поддержку членов ВМО:</w:t>
      </w:r>
    </w:p>
    <w:p w14:paraId="7F39D399" w14:textId="0F6CE464" w:rsidR="00513EBA" w:rsidRPr="00436C05" w:rsidRDefault="00513EBA" w:rsidP="00054C8F">
      <w:pPr>
        <w:pStyle w:val="ListParagraph"/>
        <w:numPr>
          <w:ilvl w:val="0"/>
          <w:numId w:val="1"/>
        </w:numPr>
        <w:shd w:val="clear" w:color="auto" w:fill="FFFFFF" w:themeFill="background1"/>
        <w:spacing w:before="240" w:after="120"/>
        <w:ind w:left="567" w:hanging="567"/>
        <w:contextualSpacing w:val="0"/>
        <w:jc w:val="left"/>
        <w:rPr>
          <w:rFonts w:eastAsia="Verdana" w:cs="Verdana"/>
          <w:color w:val="000000" w:themeColor="text1"/>
          <w:lang w:val="ru-RU"/>
        </w:rPr>
      </w:pPr>
      <w:r>
        <w:rPr>
          <w:lang w:val="ru-RU"/>
        </w:rPr>
        <w:t>Внебюджетные проекты и мероприятия Секретариата, включая техническую помощь, развитие потенциала, проекты развития, мероприятия, основанные на исследованиях и инновациях, а также расширение глобальных программ ВМО, требующих ресурсов сверх обычного бюджета;</w:t>
      </w:r>
    </w:p>
    <w:p w14:paraId="687796F5" w14:textId="371B7D24" w:rsidR="00513EBA" w:rsidRPr="00436C05" w:rsidRDefault="00513EBA" w:rsidP="00054C8F">
      <w:pPr>
        <w:pStyle w:val="ListParagraph"/>
        <w:numPr>
          <w:ilvl w:val="0"/>
          <w:numId w:val="1"/>
        </w:numPr>
        <w:shd w:val="clear" w:color="auto" w:fill="FFFFFF" w:themeFill="background1"/>
        <w:spacing w:before="240" w:after="120"/>
        <w:ind w:left="567" w:hanging="567"/>
        <w:contextualSpacing w:val="0"/>
        <w:jc w:val="left"/>
        <w:rPr>
          <w:rFonts w:eastAsia="Verdana" w:cs="Verdana"/>
          <w:color w:val="000000" w:themeColor="text1"/>
          <w:lang w:val="ru-RU"/>
        </w:rPr>
      </w:pPr>
      <w:r>
        <w:rPr>
          <w:lang w:val="ru-RU"/>
        </w:rPr>
        <w:t>Флагманские инициативы ВМО, а именно ЗПДВ, ГСНПЗ и ГОСН, для которых большая часть инвестиций и реализации будет осуществляться вне Секретариата ВМО;</w:t>
      </w:r>
    </w:p>
    <w:p w14:paraId="4EE710F1" w14:textId="77777777" w:rsidR="00513EBA" w:rsidRPr="00436C05" w:rsidRDefault="00513EBA" w:rsidP="00054C8F">
      <w:pPr>
        <w:pStyle w:val="ListParagraph"/>
        <w:numPr>
          <w:ilvl w:val="0"/>
          <w:numId w:val="1"/>
        </w:numPr>
        <w:shd w:val="clear" w:color="auto" w:fill="FFFFFF" w:themeFill="background1"/>
        <w:spacing w:before="240" w:after="120"/>
        <w:ind w:left="567" w:hanging="567"/>
        <w:contextualSpacing w:val="0"/>
        <w:jc w:val="left"/>
        <w:rPr>
          <w:rFonts w:eastAsia="Verdana" w:cs="Verdana"/>
          <w:color w:val="000000" w:themeColor="text1"/>
          <w:lang w:val="ru-RU"/>
        </w:rPr>
      </w:pPr>
      <w:r>
        <w:rPr>
          <w:lang w:val="ru-RU"/>
        </w:rPr>
        <w:t>Более широкая поддержка членов, включая поддержку партнеров по развитию в осуществлении технически обоснованных инвестиций с учетом потребностей и оказание помощи членам в прямой мобилизации ресурсов.</w:t>
      </w:r>
    </w:p>
    <w:p w14:paraId="1181C286" w14:textId="77777777" w:rsidR="00513EBA" w:rsidRPr="008845D7" w:rsidRDefault="00513EBA" w:rsidP="00513EBA">
      <w:pPr>
        <w:shd w:val="clear" w:color="auto" w:fill="FFFFFF" w:themeFill="background1"/>
        <w:spacing w:before="240" w:after="120"/>
        <w:jc w:val="left"/>
        <w:rPr>
          <w:rFonts w:eastAsia="Verdana" w:cs="Verdana"/>
          <w:color w:val="000000" w:themeColor="text1"/>
        </w:rPr>
      </w:pPr>
      <w:r>
        <w:rPr>
          <w:lang w:val="ru-RU"/>
        </w:rPr>
        <w:t>Многие инициативы и проекты осуществляются сразу в нескольких из этих сфер, что позволяет повысить эффективность и усилить воздействие. Три цели мобилизации ресурсов:</w:t>
      </w:r>
    </w:p>
    <w:p w14:paraId="3A104168" w14:textId="22FA7323" w:rsidR="00513EBA" w:rsidRPr="00436C05" w:rsidRDefault="00513EBA" w:rsidP="00054C8F">
      <w:pPr>
        <w:pStyle w:val="ListParagraph"/>
        <w:numPr>
          <w:ilvl w:val="0"/>
          <w:numId w:val="6"/>
        </w:numPr>
        <w:shd w:val="clear" w:color="auto" w:fill="FFFFFF" w:themeFill="background1"/>
        <w:spacing w:before="240" w:after="120"/>
        <w:contextualSpacing w:val="0"/>
        <w:jc w:val="left"/>
        <w:rPr>
          <w:rFonts w:eastAsia="Verdana" w:cs="Verdana"/>
          <w:color w:val="000000" w:themeColor="text1"/>
          <w:lang w:val="ru-RU"/>
        </w:rPr>
      </w:pPr>
      <w:r>
        <w:rPr>
          <w:lang w:val="ru-RU"/>
        </w:rPr>
        <w:t>Содействие глобальному общественному благу и научным достижениям;</w:t>
      </w:r>
    </w:p>
    <w:p w14:paraId="1CAA0B80" w14:textId="4746C644" w:rsidR="00DC2E94" w:rsidRPr="00436C05" w:rsidRDefault="00513EBA" w:rsidP="00DC2E94">
      <w:pPr>
        <w:pStyle w:val="ListParagraph"/>
        <w:numPr>
          <w:ilvl w:val="0"/>
          <w:numId w:val="6"/>
        </w:numPr>
        <w:shd w:val="clear" w:color="auto" w:fill="FFFFFF" w:themeFill="background1"/>
        <w:spacing w:before="240" w:after="120"/>
        <w:contextualSpacing w:val="0"/>
        <w:jc w:val="left"/>
        <w:rPr>
          <w:rFonts w:eastAsia="Verdana" w:cs="Verdana"/>
          <w:color w:val="000000" w:themeColor="text1"/>
          <w:lang w:val="ru-RU"/>
        </w:rPr>
      </w:pPr>
      <w:r>
        <w:rPr>
          <w:lang w:val="ru-RU"/>
        </w:rPr>
        <w:t>Оказание поддержки членам всего института;</w:t>
      </w:r>
    </w:p>
    <w:p w14:paraId="4287E360" w14:textId="77777777" w:rsidR="00513EBA" w:rsidRPr="00436C05" w:rsidRDefault="00513EBA" w:rsidP="00054C8F">
      <w:pPr>
        <w:pStyle w:val="ListParagraph"/>
        <w:numPr>
          <w:ilvl w:val="0"/>
          <w:numId w:val="6"/>
        </w:numPr>
        <w:shd w:val="clear" w:color="auto" w:fill="FFFFFF" w:themeFill="background1"/>
        <w:spacing w:before="240" w:after="120"/>
        <w:contextualSpacing w:val="0"/>
        <w:jc w:val="left"/>
        <w:rPr>
          <w:rFonts w:eastAsia="Verdana" w:cs="Verdana"/>
          <w:color w:val="000000" w:themeColor="text1"/>
          <w:lang w:val="ru-RU"/>
        </w:rPr>
      </w:pPr>
      <w:r>
        <w:rPr>
          <w:lang w:val="ru-RU"/>
        </w:rPr>
        <w:t>Как показано на рисунке 1, использование рычагов воздействия затрагивает все три сферы деятельности ВМО по мобилизации ресурсов.</w:t>
      </w:r>
    </w:p>
    <w:p w14:paraId="722AA45A" w14:textId="77777777" w:rsidR="00513EBA" w:rsidRPr="008845D7" w:rsidRDefault="00513EBA" w:rsidP="00513EBA">
      <w:pPr>
        <w:spacing w:before="240" w:after="120"/>
        <w:jc w:val="center"/>
        <w:rPr>
          <w:rStyle w:val="normaltextrun"/>
          <w:color w:val="000000" w:themeColor="text1"/>
        </w:rPr>
      </w:pPr>
      <w:r w:rsidRPr="008845D7">
        <w:rPr>
          <w:rFonts w:eastAsia="Verdana" w:cs="Verdana"/>
          <w:noProof/>
          <w:color w:val="2B579A"/>
          <w:shd w:val="clear" w:color="auto" w:fill="E6E6E6"/>
        </w:rPr>
        <w:lastRenderedPageBreak/>
        <w:drawing>
          <wp:inline distT="0" distB="0" distL="0" distR="0" wp14:anchorId="4D2611CC" wp14:editId="48859966">
            <wp:extent cx="4729995" cy="3370989"/>
            <wp:effectExtent l="0" t="0" r="0" b="1270"/>
            <wp:docPr id="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company&#10;&#10;Description automatically generated"/>
                    <pic:cNvPicPr/>
                  </pic:nvPicPr>
                  <pic:blipFill rotWithShape="1">
                    <a:blip r:embed="rId12" cstate="print">
                      <a:extLst>
                        <a:ext uri="{28A0092B-C50C-407E-A947-70E740481C1C}">
                          <a14:useLocalDpi xmlns:a14="http://schemas.microsoft.com/office/drawing/2010/main" val="0"/>
                        </a:ext>
                      </a:extLst>
                    </a:blip>
                    <a:srcRect t="3392" b="3964"/>
                    <a:stretch/>
                  </pic:blipFill>
                  <pic:spPr bwMode="auto">
                    <a:xfrm>
                      <a:off x="0" y="0"/>
                      <a:ext cx="4750981" cy="3385945"/>
                    </a:xfrm>
                    <a:prstGeom prst="rect">
                      <a:avLst/>
                    </a:prstGeom>
                    <a:ln>
                      <a:noFill/>
                    </a:ln>
                    <a:extLst>
                      <a:ext uri="{53640926-AAD7-44D8-BBD7-CCE9431645EC}">
                        <a14:shadowObscured xmlns:a14="http://schemas.microsoft.com/office/drawing/2010/main"/>
                      </a:ext>
                    </a:extLst>
                  </pic:spPr>
                </pic:pic>
              </a:graphicData>
            </a:graphic>
          </wp:inline>
        </w:drawing>
      </w:r>
    </w:p>
    <w:p w14:paraId="68EFFFA9" w14:textId="77777777" w:rsidR="00513EBA" w:rsidRPr="00436C05" w:rsidRDefault="00513EBA" w:rsidP="00513EBA">
      <w:pPr>
        <w:spacing w:before="240" w:after="120"/>
        <w:jc w:val="center"/>
        <w:rPr>
          <w:b/>
          <w:bCs/>
          <w:color w:val="000000" w:themeColor="text1"/>
          <w:lang w:val="ru-RU"/>
        </w:rPr>
      </w:pPr>
      <w:r>
        <w:rPr>
          <w:b/>
          <w:bCs/>
          <w:lang w:val="ru-RU"/>
        </w:rPr>
        <w:t>Рисунок 1.</w:t>
      </w:r>
      <w:r>
        <w:rPr>
          <w:lang w:val="ru-RU"/>
        </w:rPr>
        <w:t xml:space="preserve"> </w:t>
      </w:r>
      <w:r>
        <w:rPr>
          <w:b/>
          <w:bCs/>
          <w:lang w:val="ru-RU"/>
        </w:rPr>
        <w:t>Сферы и сквозные цели мобилизации ресурсов ВМО.</w:t>
      </w:r>
      <w:r>
        <w:rPr>
          <w:lang w:val="ru-RU"/>
        </w:rPr>
        <w:t xml:space="preserve"> </w:t>
      </w:r>
      <w:r>
        <w:rPr>
          <w:b/>
          <w:bCs/>
          <w:lang w:val="ru-RU"/>
        </w:rPr>
        <w:t>Все сферы и цели пересекаются и усиливают друг друга.</w:t>
      </w:r>
    </w:p>
    <w:p w14:paraId="5A2FF70C" w14:textId="77777777" w:rsidR="00513EBA" w:rsidRPr="00436C05" w:rsidRDefault="00513EBA" w:rsidP="00513EBA">
      <w:pPr>
        <w:spacing w:before="240" w:after="120"/>
        <w:jc w:val="left"/>
        <w:rPr>
          <w:rStyle w:val="normaltextrun"/>
          <w:color w:val="000000" w:themeColor="text1"/>
          <w:lang w:val="ru-RU"/>
        </w:rPr>
      </w:pPr>
      <w:r>
        <w:rPr>
          <w:lang w:val="ru-RU"/>
        </w:rPr>
        <w:t>Исходя из этого контекста и для ускорения достижения долгосрочных целей и задач, Секретариат ВМО будет определять приоритеты и осуществлять мероприятия по мобилизации ресурсов в соответствии с приведенным ниже набором общеорганизационных принципов.</w:t>
      </w:r>
    </w:p>
    <w:p w14:paraId="7D255C79" w14:textId="77777777" w:rsidR="00513EBA" w:rsidRPr="008845D7" w:rsidRDefault="00513EBA" w:rsidP="00513EBA">
      <w:pPr>
        <w:pStyle w:val="WMOSubTitle1"/>
      </w:pPr>
      <w:r>
        <w:rPr>
          <w:bCs/>
          <w:iCs/>
          <w:lang w:val="ru-RU"/>
        </w:rPr>
        <w:t>Принципы мобилизации ресурсов ВМО</w:t>
      </w:r>
    </w:p>
    <w:p w14:paraId="1D599B59" w14:textId="17ED10AF" w:rsidR="00513EBA" w:rsidRPr="00436C05" w:rsidRDefault="00513EBA" w:rsidP="00054C8F">
      <w:pPr>
        <w:pStyle w:val="ListParagraph"/>
        <w:numPr>
          <w:ilvl w:val="0"/>
          <w:numId w:val="2"/>
        </w:numPr>
        <w:spacing w:before="240" w:after="120"/>
        <w:ind w:left="567" w:hanging="567"/>
        <w:contextualSpacing w:val="0"/>
        <w:jc w:val="left"/>
        <w:rPr>
          <w:lang w:val="ru-RU"/>
        </w:rPr>
      </w:pPr>
      <w:r>
        <w:rPr>
          <w:lang w:val="ru-RU"/>
        </w:rPr>
        <w:t>Привести мобилизацию ресурсов в соответствие с приоритетами Стратегического плана ВМО и Кг-19, стремясь обеспечить достаточными ресурсами все проекты и мероприятия Организации, флагманские инициативы (ЗПДВ, ГСНПЗ и ГОСН) и более широкую поддержку членов;</w:t>
      </w:r>
    </w:p>
    <w:p w14:paraId="11A975E2" w14:textId="097D56E5" w:rsidR="00513EBA" w:rsidRPr="00436C05" w:rsidRDefault="00513EBA" w:rsidP="00054C8F">
      <w:pPr>
        <w:pStyle w:val="ListParagraph"/>
        <w:numPr>
          <w:ilvl w:val="0"/>
          <w:numId w:val="2"/>
        </w:numPr>
        <w:spacing w:before="240" w:after="120"/>
        <w:ind w:left="567" w:hanging="567"/>
        <w:contextualSpacing w:val="0"/>
        <w:jc w:val="left"/>
        <w:rPr>
          <w:lang w:val="ru-RU"/>
        </w:rPr>
      </w:pPr>
      <w:r>
        <w:rPr>
          <w:lang w:val="ru-RU"/>
        </w:rPr>
        <w:t>Содействовать национальной и региональной ответственности и приверженности путем удовлетворения приоритетных потребностей членов путем расширения поддержки, обеспечивая, чтобы проекты и взносы осуществлялись как можно ближе к членам;</w:t>
      </w:r>
    </w:p>
    <w:p w14:paraId="2D1C1CB2" w14:textId="389329CD" w:rsidR="00513EBA" w:rsidRPr="00436C05" w:rsidRDefault="00513EBA" w:rsidP="00054C8F">
      <w:pPr>
        <w:pStyle w:val="ListParagraph"/>
        <w:numPr>
          <w:ilvl w:val="0"/>
          <w:numId w:val="2"/>
        </w:numPr>
        <w:spacing w:before="240" w:after="120"/>
        <w:ind w:left="567" w:hanging="567"/>
        <w:contextualSpacing w:val="0"/>
        <w:jc w:val="left"/>
        <w:rPr>
          <w:lang w:val="ru-RU"/>
        </w:rPr>
      </w:pPr>
      <w:r>
        <w:rPr>
          <w:lang w:val="ru-RU"/>
        </w:rPr>
        <w:t>Отдавать предпочтение инициативам, поддерживающим широкие регионы, а не локальным мероприятиям;</w:t>
      </w:r>
    </w:p>
    <w:p w14:paraId="2A8597FB" w14:textId="760944E9" w:rsidR="00513EBA" w:rsidRPr="00436C05" w:rsidRDefault="00513EBA" w:rsidP="00054C8F">
      <w:pPr>
        <w:pStyle w:val="ListParagraph"/>
        <w:numPr>
          <w:ilvl w:val="0"/>
          <w:numId w:val="2"/>
        </w:numPr>
        <w:spacing w:before="240" w:after="120"/>
        <w:ind w:left="567" w:hanging="567"/>
        <w:contextualSpacing w:val="0"/>
        <w:jc w:val="left"/>
        <w:rPr>
          <w:lang w:val="ru-RU"/>
        </w:rPr>
      </w:pPr>
      <w:r>
        <w:rPr>
          <w:lang w:val="ru-RU"/>
        </w:rPr>
        <w:t>Эффективно взаимодействовать с региональными отделениями ВМО, региональными ассоциациями и членами ВМО и оказывать им поддержку в мобилизации ресурсов;</w:t>
      </w:r>
    </w:p>
    <w:p w14:paraId="62243E51" w14:textId="3EE3DBA7" w:rsidR="00513EBA" w:rsidRPr="00436C05" w:rsidRDefault="00513EBA" w:rsidP="00054C8F">
      <w:pPr>
        <w:pStyle w:val="ListParagraph"/>
        <w:numPr>
          <w:ilvl w:val="0"/>
          <w:numId w:val="2"/>
        </w:numPr>
        <w:spacing w:before="240" w:after="120"/>
        <w:ind w:left="567" w:hanging="567"/>
        <w:contextualSpacing w:val="0"/>
        <w:jc w:val="left"/>
        <w:rPr>
          <w:lang w:val="ru-RU"/>
        </w:rPr>
      </w:pPr>
      <w:r>
        <w:rPr>
          <w:lang w:val="ru-RU"/>
        </w:rPr>
        <w:t>Согласовывать и координировать деятельность по мобилизации ресурсов посредством четких и эффективных отношений с партнерами, используя партнерские инвестиции в развитие/климат и избегая дублирования;</w:t>
      </w:r>
    </w:p>
    <w:p w14:paraId="237783DE" w14:textId="77DB1BA1" w:rsidR="00513EBA" w:rsidRPr="00436C05" w:rsidRDefault="00513EBA" w:rsidP="00054C8F">
      <w:pPr>
        <w:pStyle w:val="ListParagraph"/>
        <w:numPr>
          <w:ilvl w:val="0"/>
          <w:numId w:val="2"/>
        </w:numPr>
        <w:spacing w:before="240" w:after="120"/>
        <w:ind w:left="567" w:hanging="567"/>
        <w:contextualSpacing w:val="0"/>
        <w:jc w:val="left"/>
        <w:rPr>
          <w:lang w:val="ru-RU"/>
        </w:rPr>
      </w:pPr>
      <w:r>
        <w:rPr>
          <w:lang w:val="ru-RU"/>
        </w:rPr>
        <w:t>Быть признанным надежным, прозрачным и подотчетным партнером, который стремится к устойчивым решениям и воздействию;</w:t>
      </w:r>
    </w:p>
    <w:p w14:paraId="3B0A9857" w14:textId="4551CBDC" w:rsidR="00513EBA" w:rsidRPr="00436C05" w:rsidRDefault="00513EBA" w:rsidP="00054C8F">
      <w:pPr>
        <w:pStyle w:val="ListParagraph"/>
        <w:numPr>
          <w:ilvl w:val="0"/>
          <w:numId w:val="2"/>
        </w:numPr>
        <w:spacing w:before="240" w:after="120"/>
        <w:ind w:left="567" w:hanging="567"/>
        <w:contextualSpacing w:val="0"/>
        <w:jc w:val="left"/>
        <w:rPr>
          <w:lang w:val="ru-RU"/>
        </w:rPr>
      </w:pPr>
      <w:r>
        <w:rPr>
          <w:lang w:val="ru-RU"/>
        </w:rPr>
        <w:t>Поощрять членов ВМО к участию в проектах ВМО посредством породнения и финансовой поддержки для улучшения разработки, реализации и устойчивости;</w:t>
      </w:r>
    </w:p>
    <w:p w14:paraId="20832064" w14:textId="77777777" w:rsidR="00513EBA" w:rsidRPr="00436C05" w:rsidRDefault="00513EBA" w:rsidP="00054C8F">
      <w:pPr>
        <w:pStyle w:val="ListParagraph"/>
        <w:numPr>
          <w:ilvl w:val="0"/>
          <w:numId w:val="2"/>
        </w:numPr>
        <w:spacing w:before="240" w:after="120"/>
        <w:ind w:left="567" w:hanging="567"/>
        <w:contextualSpacing w:val="0"/>
        <w:jc w:val="left"/>
        <w:rPr>
          <w:lang w:val="ru-RU"/>
        </w:rPr>
      </w:pPr>
      <w:r>
        <w:rPr>
          <w:lang w:val="ru-RU"/>
        </w:rPr>
        <w:lastRenderedPageBreak/>
        <w:t xml:space="preserve">Признать роль человеческих ресурсов в качестве фундаментального столпа развития потенциала, играющего важную роль в стратегическом планировании, качестве услуг и устойчивости </w:t>
      </w:r>
      <w:proofErr w:type="spellStart"/>
      <w:r>
        <w:rPr>
          <w:lang w:val="ru-RU"/>
        </w:rPr>
        <w:t>НМГС</w:t>
      </w:r>
      <w:proofErr w:type="spellEnd"/>
      <w:r>
        <w:rPr>
          <w:lang w:val="ru-RU"/>
        </w:rPr>
        <w:t>.</w:t>
      </w:r>
    </w:p>
    <w:p w14:paraId="617E6D8C" w14:textId="77777777" w:rsidR="00513EBA" w:rsidRPr="00436C05" w:rsidRDefault="00513EBA" w:rsidP="0024064B">
      <w:pPr>
        <w:pStyle w:val="Heading3"/>
        <w:spacing w:after="120"/>
        <w:rPr>
          <w:lang w:val="ru-RU"/>
        </w:rPr>
      </w:pPr>
      <w:bookmarkStart w:id="1" w:name="_Hlk175212241"/>
      <w:r>
        <w:rPr>
          <w:lang w:val="ru-RU"/>
        </w:rPr>
        <w:t xml:space="preserve">Расширение возможностей </w:t>
      </w:r>
      <w:proofErr w:type="spellStart"/>
      <w:r>
        <w:rPr>
          <w:lang w:val="ru-RU"/>
        </w:rPr>
        <w:t>НМГС</w:t>
      </w:r>
      <w:proofErr w:type="spellEnd"/>
      <w:r>
        <w:rPr>
          <w:lang w:val="ru-RU"/>
        </w:rPr>
        <w:t xml:space="preserve"> по привлечению финансирования на цели защиты климата и развития</w:t>
      </w:r>
    </w:p>
    <w:bookmarkEnd w:id="1"/>
    <w:p w14:paraId="4A3D902A" w14:textId="77777777" w:rsidR="00513EBA" w:rsidRPr="00436C05" w:rsidRDefault="00513EBA" w:rsidP="00513EBA">
      <w:pPr>
        <w:spacing w:before="240" w:after="120"/>
        <w:jc w:val="left"/>
        <w:rPr>
          <w:rFonts w:eastAsia="Verdana" w:cs="Verdana"/>
          <w:lang w:val="ru-RU"/>
        </w:rPr>
      </w:pPr>
      <w:r>
        <w:rPr>
          <w:lang w:val="ru-RU"/>
        </w:rPr>
        <w:t>Климатические данные и информация имеют решающее значение для процессов принятия решений, связанных с изменением климата, а также для определения и разработки климатических инвестиций, поэтому они служат ключевыми факторами, способствующими мобилизации финансирования для борьбы с изменением климата и развития. Таким образом, данные, знания и опыт НМГС имеют важное значение для обоснования национальных стратегий, процессов и инвестиций, связанных с климатом, и, следовательно, должны быть признаны и расширены, чтобы эффективно выполнять эту ключевую роль.</w:t>
      </w:r>
    </w:p>
    <w:p w14:paraId="36D08236" w14:textId="77777777" w:rsidR="00513EBA" w:rsidRPr="00436C05" w:rsidRDefault="00513EBA" w:rsidP="00513EBA">
      <w:pPr>
        <w:spacing w:before="240" w:after="120"/>
        <w:jc w:val="left"/>
        <w:rPr>
          <w:rFonts w:eastAsia="Verdana" w:cs="Verdana"/>
          <w:color w:val="000000" w:themeColor="text1"/>
          <w:lang w:val="ru-RU"/>
        </w:rPr>
      </w:pPr>
      <w:r>
        <w:rPr>
          <w:lang w:val="ru-RU"/>
        </w:rPr>
        <w:t>Для поддержки этой позиции разрабатывается Руководство по повышению роли НМГС в мобилизации климатического финансирования на национальном уровне, в котором поставлены следующие задачи:</w:t>
      </w:r>
    </w:p>
    <w:p w14:paraId="78201B1E" w14:textId="755BA919" w:rsidR="00513EBA" w:rsidRPr="00436C05" w:rsidRDefault="00513EBA" w:rsidP="00054C8F">
      <w:pPr>
        <w:pStyle w:val="ListParagraph"/>
        <w:numPr>
          <w:ilvl w:val="0"/>
          <w:numId w:val="3"/>
        </w:numPr>
        <w:shd w:val="clear" w:color="auto" w:fill="FFFFFF" w:themeFill="background1"/>
        <w:spacing w:before="240" w:after="120"/>
        <w:ind w:left="567" w:hanging="567"/>
        <w:contextualSpacing w:val="0"/>
        <w:jc w:val="left"/>
        <w:rPr>
          <w:rFonts w:eastAsia="Verdana" w:cs="Verdana"/>
          <w:color w:val="000000" w:themeColor="text1"/>
          <w:lang w:val="ru-RU"/>
        </w:rPr>
      </w:pPr>
      <w:r>
        <w:rPr>
          <w:lang w:val="ru-RU"/>
        </w:rPr>
        <w:t>Предоставить исчерпывающую информацию о заинтересованных сторонах и процессах, связанных с финансированием климата, которые обычно осуществляются на национальном уровне;</w:t>
      </w:r>
    </w:p>
    <w:p w14:paraId="02BD555F" w14:textId="6CDD626F" w:rsidR="00513EBA" w:rsidRPr="00436C05" w:rsidRDefault="00513EBA" w:rsidP="00054C8F">
      <w:pPr>
        <w:pStyle w:val="ListParagraph"/>
        <w:numPr>
          <w:ilvl w:val="0"/>
          <w:numId w:val="3"/>
        </w:numPr>
        <w:shd w:val="clear" w:color="auto" w:fill="FFFFFF" w:themeFill="background1"/>
        <w:spacing w:before="240" w:after="120"/>
        <w:ind w:left="567" w:hanging="567"/>
        <w:contextualSpacing w:val="0"/>
        <w:jc w:val="left"/>
        <w:rPr>
          <w:rFonts w:eastAsia="Verdana" w:cs="Verdana"/>
          <w:color w:val="000000" w:themeColor="text1"/>
          <w:lang w:val="ru-RU"/>
        </w:rPr>
      </w:pPr>
      <w:r>
        <w:rPr>
          <w:lang w:val="ru-RU"/>
        </w:rPr>
        <w:t>Осветить руководящие принципы принятия решений по финансированию климата и подчеркнуть ключевую роль НМГС как основных движущих сил в процессе мобилизации;</w:t>
      </w:r>
    </w:p>
    <w:p w14:paraId="3480E093" w14:textId="6433A010" w:rsidR="00513EBA" w:rsidRPr="00436C05" w:rsidRDefault="00513EBA" w:rsidP="00054C8F">
      <w:pPr>
        <w:pStyle w:val="ListParagraph"/>
        <w:numPr>
          <w:ilvl w:val="0"/>
          <w:numId w:val="3"/>
        </w:numPr>
        <w:shd w:val="clear" w:color="auto" w:fill="FFFFFF" w:themeFill="background1"/>
        <w:spacing w:before="240" w:after="120"/>
        <w:ind w:left="567" w:hanging="567"/>
        <w:contextualSpacing w:val="0"/>
        <w:jc w:val="left"/>
        <w:rPr>
          <w:rFonts w:eastAsia="Verdana" w:cs="Verdana"/>
          <w:color w:val="000000" w:themeColor="text1"/>
          <w:lang w:val="ru-RU"/>
        </w:rPr>
      </w:pPr>
      <w:r>
        <w:rPr>
          <w:lang w:val="ru-RU"/>
        </w:rPr>
        <w:t>Выявить возможности для сотрудничества с финансирующими агентствами и национальными заинтересованными сторонами для предложения проектов, направленных на укрепление инфраструктуры НМГС, что позволит улучшить разработку и использование климатических информационных услуг;</w:t>
      </w:r>
    </w:p>
    <w:p w14:paraId="4F3430AF" w14:textId="77777777" w:rsidR="00513EBA" w:rsidRPr="00436C05" w:rsidRDefault="00513EBA" w:rsidP="00054C8F">
      <w:pPr>
        <w:pStyle w:val="ListParagraph"/>
        <w:numPr>
          <w:ilvl w:val="0"/>
          <w:numId w:val="3"/>
        </w:numPr>
        <w:shd w:val="clear" w:color="auto" w:fill="FFFFFF" w:themeFill="background1"/>
        <w:spacing w:before="240" w:after="120"/>
        <w:ind w:left="567" w:hanging="567"/>
        <w:contextualSpacing w:val="0"/>
        <w:jc w:val="left"/>
        <w:rPr>
          <w:rFonts w:eastAsia="Verdana" w:cs="Verdana"/>
          <w:color w:val="000000" w:themeColor="text1"/>
          <w:lang w:val="ru-RU"/>
        </w:rPr>
      </w:pPr>
      <w:r>
        <w:rPr>
          <w:lang w:val="ru-RU"/>
        </w:rPr>
        <w:t xml:space="preserve">Наметить стратегии расширения возможностей НМГС с помощью целенаправленных инициатив, направленных на формирование видения, разработку стратегии и повышение их способности мобилизовать ресурсы как для реализации климатических амбиций страны, так и для самих </w:t>
      </w:r>
      <w:proofErr w:type="spellStart"/>
      <w:r>
        <w:rPr>
          <w:lang w:val="ru-RU"/>
        </w:rPr>
        <w:t>НМГС</w:t>
      </w:r>
      <w:proofErr w:type="spellEnd"/>
      <w:r>
        <w:rPr>
          <w:lang w:val="ru-RU"/>
        </w:rPr>
        <w:t>.</w:t>
      </w:r>
    </w:p>
    <w:p w14:paraId="203C8CC8" w14:textId="77777777" w:rsidR="00513EBA" w:rsidRPr="00436C05" w:rsidRDefault="00513EBA" w:rsidP="0024064B">
      <w:pPr>
        <w:pStyle w:val="Heading3"/>
        <w:spacing w:after="120"/>
        <w:rPr>
          <w:lang w:val="ru-RU"/>
        </w:rPr>
      </w:pPr>
      <w:r>
        <w:rPr>
          <w:lang w:val="ru-RU"/>
        </w:rPr>
        <w:t xml:space="preserve">Ресурсы финансирования для </w:t>
      </w:r>
      <w:proofErr w:type="spellStart"/>
      <w:r>
        <w:rPr>
          <w:lang w:val="ru-RU"/>
        </w:rPr>
        <w:t>РA</w:t>
      </w:r>
      <w:proofErr w:type="spellEnd"/>
      <w:r>
        <w:rPr>
          <w:lang w:val="ru-RU"/>
        </w:rPr>
        <w:t xml:space="preserve"> VI</w:t>
      </w:r>
    </w:p>
    <w:p w14:paraId="4DF19B03" w14:textId="77777777" w:rsidR="00513EBA" w:rsidRPr="00436C05" w:rsidRDefault="00513EBA" w:rsidP="00513EBA">
      <w:pPr>
        <w:shd w:val="clear" w:color="auto" w:fill="FFFFFF" w:themeFill="background1"/>
        <w:spacing w:before="240" w:after="120"/>
        <w:jc w:val="left"/>
        <w:rPr>
          <w:rFonts w:eastAsia="Verdana" w:cs="Verdana"/>
          <w:color w:val="000000" w:themeColor="text1"/>
          <w:lang w:val="ru-RU"/>
        </w:rPr>
      </w:pPr>
      <w:r>
        <w:rPr>
          <w:lang w:val="ru-RU"/>
        </w:rPr>
        <w:t>Некоторые страны, отвечающие критериям РА VI, имеют доступ к финансированию международных финансовых институтов (МФИ), таких как Европейский инвестиционный банк (ЕИБ), Группа Всемирного банка, Европейский банк реконструкции и развития (ЕБРР), Исламский банк развития и Банк развития Совета Европы (БРСЕ), некоторые из которых также предоставляют знания и консультационные услуги. Кроме того, некоторые страны РА VI имеют право на участие в международных механизмах финансирования климата, таких как Зеленый климатический фонд (ЗКФ), и могут получить доступ к льготному финансированию (гранты и кредиты под низкий или нулевой процент, обычно называемые кредитами) от многосторонних и двусторонних банков и институтов развития. Странам РА VI настоятельно рекомендуется в полной мере использовать эти финансовые и технические ресурсы, предлагаемые МФИ и механизмами климатического финансирования, для укрепления инфраструктуры НМГС, наращивания потенциала и улучшения предоставления услуг, включая Систему заблаговременных предупреждений о многих опасных явлениях (</w:t>
      </w:r>
      <w:proofErr w:type="spellStart"/>
      <w:r>
        <w:rPr>
          <w:lang w:val="ru-RU"/>
        </w:rPr>
        <w:t>СЗПМОЯ</w:t>
      </w:r>
      <w:proofErr w:type="spellEnd"/>
      <w:r>
        <w:rPr>
          <w:lang w:val="ru-RU"/>
        </w:rPr>
        <w:t>) и климатические услуги.</w:t>
      </w:r>
    </w:p>
    <w:p w14:paraId="48D4B16F" w14:textId="77777777" w:rsidR="00513EBA" w:rsidRPr="00436C05" w:rsidRDefault="00513EBA" w:rsidP="00513EBA">
      <w:pPr>
        <w:spacing w:before="240" w:after="120" w:line="259" w:lineRule="auto"/>
        <w:jc w:val="left"/>
        <w:rPr>
          <w:lang w:val="ru-RU"/>
        </w:rPr>
      </w:pPr>
      <w:r>
        <w:rPr>
          <w:lang w:val="ru-RU"/>
        </w:rPr>
        <w:t xml:space="preserve">Некоторые члены РА VI получают официальную помощь в целях развития (ОПР) от двусторонних доноров, в частности, но не ограничиваясь членами Комитета содействия развитию Организации экономического сотрудничества и развития (КСР ОЭСР). В </w:t>
      </w:r>
      <w:r>
        <w:rPr>
          <w:lang w:val="ru-RU"/>
        </w:rPr>
        <w:lastRenderedPageBreak/>
        <w:t>значительной степени обусловленная геополитической ситуацией, большая часть текущей двусторонней поддержки РА VI направлена на обеспечение безопасности, как физической, так и в плане поставок энергоносителей. НМГС можно считать критически важными для обеспечения гуманитарной и экономической безопасности, и некоторые доноры по-прежнему заинтересованы в управлении окружающей средой, водными ресурсами и рисками стихийных бедствий, поэтому существуют возможности для мобилизации двусторонней донорской поддержки.</w:t>
      </w:r>
    </w:p>
    <w:p w14:paraId="22A7C605" w14:textId="77777777" w:rsidR="00513EBA" w:rsidRPr="00436C05" w:rsidRDefault="00513EBA" w:rsidP="00513EBA">
      <w:pPr>
        <w:spacing w:before="240" w:after="120" w:line="259" w:lineRule="auto"/>
        <w:jc w:val="left"/>
        <w:rPr>
          <w:lang w:val="ru-RU"/>
        </w:rPr>
      </w:pPr>
      <w:r>
        <w:rPr>
          <w:lang w:val="ru-RU"/>
        </w:rPr>
        <w:t>ЕС, безусловно, является крупнейшим донором для большинства членов РА VI, который осуществляется через различные генеральные директора (ГД) Европейской комиссии (ЕК). Для государств-членов ЕС и государств, не являющихся членами ЕС, основными источниками финансирования являются ГД по вопросам соседства и переговоров о расширении (ГД NEAR), ГД по международным партнерствам (INTPA) и ГД по исследованиям и инновациям (ГД RTD). В рамках ГД RTD большинство грантов рамочной программы ЕС по исследованиям (Horizon Europe) доступны для организаций, расположенных в странах, не входящих в ЕС, которые либо имеют специальное соглашение об ассоциации, либо включены в список "стран с низким и средним уровнем дохода".</w:t>
      </w:r>
    </w:p>
    <w:p w14:paraId="1964675D" w14:textId="77777777" w:rsidR="00513EBA" w:rsidRPr="00436C05" w:rsidRDefault="00513EBA" w:rsidP="00513EBA">
      <w:pPr>
        <w:spacing w:before="240" w:after="120" w:line="259" w:lineRule="auto"/>
        <w:jc w:val="left"/>
        <w:rPr>
          <w:lang w:val="ru-RU"/>
        </w:rPr>
      </w:pPr>
      <w:r>
        <w:rPr>
          <w:lang w:val="ru-RU"/>
        </w:rPr>
        <w:t>Несколько более технических ГД имеют решающее значение для мобилизации поддержки, оказываемой ЕС государствам, не являющимся членами ЕС, включая Европейскую операцию по гражданской обороне и гуманитарной помощи (ГД ECHO), ГД по климатическим мероприятиям (ГД CLIMA), а также ГД, занимающиеся вопросами окружающей среды, энергетики, сельского хозяйства и других секторов, пользующихся услугами НМГС. В настоящее время Секретариат ВМО наиболее успешно привлекает ресурсы из фондов ЕС, финансирующих прикладные исследования, а именно рамочной программы Horizon Europe под эгидой ГД RTD. Кроме того, ВМО сотрудничает и получает поддержку от ГД, поддерживающих цифровой, технологический и коммуникационный прогресс, таких как ГД по оборонной промышленности и космосу (ГД DEFIS) и ГД по коммуникационным сетям, контенту и технологиям (ГД CONNECT).</w:t>
      </w:r>
    </w:p>
    <w:p w14:paraId="3BDE2171" w14:textId="77777777" w:rsidR="00513EBA" w:rsidRPr="00436C05" w:rsidRDefault="00513EBA" w:rsidP="0024064B">
      <w:pPr>
        <w:pStyle w:val="Heading3"/>
        <w:spacing w:after="120"/>
        <w:rPr>
          <w:lang w:val="ru-RU"/>
        </w:rPr>
      </w:pPr>
      <w:r>
        <w:rPr>
          <w:lang w:val="ru-RU"/>
        </w:rPr>
        <w:t xml:space="preserve">Укрепление систем заблаговременных предупреждений в рамках программы </w:t>
      </w:r>
      <w:proofErr w:type="spellStart"/>
      <w:r>
        <w:rPr>
          <w:lang w:val="ru-RU"/>
        </w:rPr>
        <w:t>ЗПДВ</w:t>
      </w:r>
      <w:proofErr w:type="spellEnd"/>
    </w:p>
    <w:p w14:paraId="53B5D0E7" w14:textId="77777777" w:rsidR="00513EBA" w:rsidRPr="00436C05" w:rsidRDefault="00513EBA" w:rsidP="00513EBA">
      <w:pPr>
        <w:spacing w:before="240" w:after="120"/>
        <w:jc w:val="left"/>
        <w:rPr>
          <w:lang w:val="ru-RU"/>
        </w:rPr>
      </w:pPr>
      <w:r>
        <w:rPr>
          <w:lang w:val="ru-RU"/>
        </w:rPr>
        <w:t xml:space="preserve">Проект </w:t>
      </w:r>
      <w:proofErr w:type="spellStart"/>
      <w:r>
        <w:rPr>
          <w:lang w:val="ru-RU"/>
        </w:rPr>
        <w:t>ЗПДВ</w:t>
      </w:r>
      <w:proofErr w:type="spellEnd"/>
      <w:r>
        <w:rPr>
          <w:lang w:val="ru-RU"/>
        </w:rPr>
        <w:t xml:space="preserve"> был инициирован в 2022 году Генеральным секретарем ООН с целью обеспечения всеобщей защиты от опасных гидрометеорологических, климатических и связанных с ними экологических явлений с помощью жизненно важных систем заблаговременных предупреждений (СЗП) к концу 2027 года. </w:t>
      </w:r>
      <w:proofErr w:type="gramStart"/>
      <w:r>
        <w:rPr>
          <w:lang w:val="ru-RU"/>
        </w:rPr>
        <w:t>В рамках программы ЗПДВ действия,</w:t>
      </w:r>
      <w:proofErr w:type="gramEnd"/>
      <w:r>
        <w:rPr>
          <w:lang w:val="ru-RU"/>
        </w:rPr>
        <w:t xml:space="preserve"> необходимые для достижения этой цели, были разбиты на четыре направления, соответствующие четырем компонентам ЗПМОЯ, которые возглавляют специализированные учреждения:</w:t>
      </w:r>
    </w:p>
    <w:p w14:paraId="011C1A7E" w14:textId="18E41E89" w:rsidR="00513EBA" w:rsidRPr="00436C05" w:rsidRDefault="00513EBA" w:rsidP="00054C8F">
      <w:pPr>
        <w:pStyle w:val="ListParagraph"/>
        <w:numPr>
          <w:ilvl w:val="0"/>
          <w:numId w:val="4"/>
        </w:numPr>
        <w:spacing w:before="240" w:after="120"/>
        <w:ind w:left="567" w:hanging="567"/>
        <w:contextualSpacing w:val="0"/>
        <w:jc w:val="left"/>
        <w:rPr>
          <w:lang w:val="ru-RU"/>
        </w:rPr>
      </w:pPr>
      <w:r>
        <w:rPr>
          <w:lang w:val="ru-RU"/>
        </w:rPr>
        <w:t>Знания о риске бедствий под руководством Управления ООН по снижению риска бедствий (</w:t>
      </w:r>
      <w:proofErr w:type="spellStart"/>
      <w:r>
        <w:rPr>
          <w:lang w:val="ru-RU"/>
        </w:rPr>
        <w:t>УСРБ</w:t>
      </w:r>
      <w:proofErr w:type="spellEnd"/>
      <w:r>
        <w:rPr>
          <w:lang w:val="ru-RU"/>
        </w:rPr>
        <w:t xml:space="preserve"> ООН);</w:t>
      </w:r>
    </w:p>
    <w:p w14:paraId="2E310ED1" w14:textId="6A08DB32" w:rsidR="00513EBA" w:rsidRPr="00436C05" w:rsidRDefault="00513EBA" w:rsidP="00054C8F">
      <w:pPr>
        <w:pStyle w:val="ListParagraph"/>
        <w:numPr>
          <w:ilvl w:val="0"/>
          <w:numId w:val="4"/>
        </w:numPr>
        <w:spacing w:before="240" w:after="120"/>
        <w:ind w:left="567" w:hanging="567"/>
        <w:contextualSpacing w:val="0"/>
        <w:jc w:val="left"/>
        <w:rPr>
          <w:lang w:val="ru-RU"/>
        </w:rPr>
      </w:pPr>
      <w:r>
        <w:rPr>
          <w:lang w:val="ru-RU"/>
        </w:rPr>
        <w:t>Наблюдения и прогнозирование, возглавляемые ВМО;</w:t>
      </w:r>
    </w:p>
    <w:p w14:paraId="2B1246DD" w14:textId="66680CF7" w:rsidR="00513EBA" w:rsidRPr="00436C05" w:rsidRDefault="00513EBA" w:rsidP="00054C8F">
      <w:pPr>
        <w:pStyle w:val="ListParagraph"/>
        <w:numPr>
          <w:ilvl w:val="0"/>
          <w:numId w:val="4"/>
        </w:numPr>
        <w:spacing w:before="240" w:after="120"/>
        <w:ind w:left="567" w:hanging="567"/>
        <w:contextualSpacing w:val="0"/>
        <w:jc w:val="left"/>
        <w:rPr>
          <w:lang w:val="ru-RU"/>
        </w:rPr>
      </w:pPr>
      <w:r>
        <w:rPr>
          <w:lang w:val="ru-RU"/>
        </w:rPr>
        <w:t>Распространение информации и коммуникация, возглавляемая Международным союзом электросвязи (МСЭ);</w:t>
      </w:r>
    </w:p>
    <w:p w14:paraId="77355094" w14:textId="77777777" w:rsidR="00513EBA" w:rsidRPr="00436C05" w:rsidRDefault="00513EBA" w:rsidP="00054C8F">
      <w:pPr>
        <w:pStyle w:val="ListParagraph"/>
        <w:numPr>
          <w:ilvl w:val="0"/>
          <w:numId w:val="4"/>
        </w:numPr>
        <w:spacing w:before="240" w:after="120"/>
        <w:ind w:left="567" w:hanging="567"/>
        <w:contextualSpacing w:val="0"/>
        <w:jc w:val="left"/>
        <w:rPr>
          <w:lang w:val="ru-RU"/>
        </w:rPr>
      </w:pPr>
      <w:r>
        <w:rPr>
          <w:lang w:val="ru-RU"/>
        </w:rPr>
        <w:t>Готовность к реагированию", возглавляемая Международной федерацией обществ Красного Креста и Красного Полумесяца (</w:t>
      </w:r>
      <w:proofErr w:type="spellStart"/>
      <w:r>
        <w:rPr>
          <w:lang w:val="ru-RU"/>
        </w:rPr>
        <w:t>МФКК</w:t>
      </w:r>
      <w:proofErr w:type="spellEnd"/>
      <w:r>
        <w:rPr>
          <w:lang w:val="ru-RU"/>
        </w:rPr>
        <w:t xml:space="preserve"> и КП).</w:t>
      </w:r>
    </w:p>
    <w:p w14:paraId="5361407A" w14:textId="77777777" w:rsidR="00513EBA" w:rsidRPr="00436C05" w:rsidRDefault="00513EBA" w:rsidP="00513EBA">
      <w:pPr>
        <w:spacing w:before="240" w:after="120"/>
        <w:jc w:val="left"/>
        <w:rPr>
          <w:lang w:val="ru-RU"/>
        </w:rPr>
      </w:pPr>
      <w:r>
        <w:rPr>
          <w:lang w:val="ru-RU"/>
        </w:rPr>
        <w:t xml:space="preserve">Инициатива способствует развитию сотрудничества и синергии между всеми партнерами, работающими над реализацией </w:t>
      </w:r>
      <w:proofErr w:type="spellStart"/>
      <w:r>
        <w:rPr>
          <w:lang w:val="ru-RU"/>
        </w:rPr>
        <w:t>ЗПМОЯ</w:t>
      </w:r>
      <w:proofErr w:type="spellEnd"/>
      <w:r>
        <w:rPr>
          <w:lang w:val="ru-RU"/>
        </w:rPr>
        <w:t>.</w:t>
      </w:r>
    </w:p>
    <w:p w14:paraId="54F3708B" w14:textId="77777777" w:rsidR="00513EBA" w:rsidRPr="00436C05" w:rsidRDefault="00513EBA" w:rsidP="00513EBA">
      <w:pPr>
        <w:shd w:val="clear" w:color="auto" w:fill="FFFFFF" w:themeFill="background1"/>
        <w:spacing w:before="240" w:after="120"/>
        <w:jc w:val="left"/>
        <w:rPr>
          <w:rFonts w:eastAsia="Verdana" w:cs="Verdana"/>
          <w:color w:val="000000" w:themeColor="text1"/>
          <w:lang w:val="ru-RU"/>
        </w:rPr>
      </w:pPr>
      <w:r>
        <w:rPr>
          <w:lang w:val="ru-RU"/>
        </w:rPr>
        <w:lastRenderedPageBreak/>
        <w:t xml:space="preserve">Чтобы реализовать это видение, ЗПДВ разработала стратегический план развертывания, состоящий из двух основных этапов: каталитического этапа и этапа последовательных действий. В ходе каталитической фазы страны выявляют пробелы и мобилизуют заинтересованные стороны для ускорения всеобщего охвата ЗПМОЯ с помощью национальных дорожных карт ЗПДВ. Затем следует фаза последовательных действий, которая направлена на коллективную реализацию дорожных карт и укрепление потенциала ЗПМОЯ. Содействие этому процессу оказывает межведомственная техническая координационная группа, в состав которой входят УСРБ ООН, ВМО, МСЭ и МФКК и КП, разработавшая инструментарий и руководство для ориентации национального внедрения в разных странах, включая интерактивную приборную панель для повышения прозрачности и доступности информации, связанной с СЗП. Этот динамичный инструмент позволяет заинтересованным сторонам отслеживать прогресс, распределение финансирования и ключевые показатели эффективности, способствуя совместному и основанному на данных подходу к достижению глобальных целей </w:t>
      </w:r>
      <w:proofErr w:type="spellStart"/>
      <w:r>
        <w:rPr>
          <w:lang w:val="ru-RU"/>
        </w:rPr>
        <w:t>ЗПМОЯ</w:t>
      </w:r>
      <w:proofErr w:type="spellEnd"/>
      <w:r>
        <w:rPr>
          <w:lang w:val="ru-RU"/>
        </w:rPr>
        <w:t>.</w:t>
      </w:r>
    </w:p>
    <w:p w14:paraId="1A3177BD" w14:textId="77777777" w:rsidR="00513EBA" w:rsidRPr="00436C05" w:rsidRDefault="00513EBA" w:rsidP="00513EBA">
      <w:pPr>
        <w:shd w:val="clear" w:color="auto" w:fill="FFFFFF" w:themeFill="background1"/>
        <w:spacing w:before="240" w:after="120"/>
        <w:jc w:val="left"/>
        <w:rPr>
          <w:rFonts w:eastAsia="Verdana" w:cs="Verdana"/>
          <w:color w:val="000000" w:themeColor="text1"/>
          <w:lang w:val="ru-RU"/>
        </w:rPr>
      </w:pPr>
      <w:r>
        <w:rPr>
          <w:lang w:val="ru-RU"/>
        </w:rPr>
        <w:t xml:space="preserve">На глобальном уровне, благодаря национальному лидерству и поддержке партнеров, на сегодняшний день 29 стран провели свои национальные мероприятия ЗПДВ, продемонстрировав свою приверженность достижению цели всеобщего охвата ЗПМОЯ к 2027 году. В результате было разработано восемь национальных "дорожных карт", которые страны и их партнеры используют для расширения масштабов и координации действий по четырем основным направлениям, включая также элементы </w:t>
      </w:r>
      <w:proofErr w:type="spellStart"/>
      <w:r>
        <w:rPr>
          <w:lang w:val="ru-RU"/>
        </w:rPr>
        <w:t>межсекторальных</w:t>
      </w:r>
      <w:proofErr w:type="spellEnd"/>
      <w:r>
        <w:rPr>
          <w:lang w:val="ru-RU"/>
        </w:rPr>
        <w:t xml:space="preserve"> направлений.</w:t>
      </w:r>
    </w:p>
    <w:p w14:paraId="76CB4F12" w14:textId="77777777" w:rsidR="00513EBA" w:rsidRPr="00436C05" w:rsidRDefault="00513EBA" w:rsidP="00513EBA">
      <w:pPr>
        <w:shd w:val="clear" w:color="auto" w:fill="FFFFFF" w:themeFill="background1"/>
        <w:spacing w:before="240" w:after="120"/>
        <w:jc w:val="left"/>
        <w:rPr>
          <w:rFonts w:eastAsia="Verdana" w:cs="Verdana"/>
          <w:color w:val="000000" w:themeColor="text1"/>
          <w:lang w:val="ru-RU"/>
        </w:rPr>
      </w:pPr>
      <w:r>
        <w:rPr>
          <w:lang w:val="ru-RU"/>
        </w:rPr>
        <w:t>Постоянная поддержка первоначальных 30 стран, определенных Генеральным секретарем ООН, имеет первостепенное значение для обеспечения успешной реализации инициатив ЗПДВ. Эти страны уже добились значительного прогресса в завершении разработки своих национальных дорожных карт и мобилизации ресурсов для развертывания ЗПМОЯ. Сохранение этого импульса и оказание постоянной помощи будут иметь решающее значение для достижения всеобщего охвата.</w:t>
      </w:r>
    </w:p>
    <w:p w14:paraId="70A55554" w14:textId="77777777" w:rsidR="00513EBA" w:rsidRPr="00436C05" w:rsidRDefault="00513EBA" w:rsidP="00513EBA">
      <w:pPr>
        <w:shd w:val="clear" w:color="auto" w:fill="FFFFFF" w:themeFill="background1"/>
        <w:spacing w:before="240" w:after="120"/>
        <w:jc w:val="left"/>
        <w:rPr>
          <w:rStyle w:val="eop"/>
          <w:rFonts w:eastAsia="Verdana" w:cs="Verdana"/>
          <w:color w:val="000000" w:themeColor="text1"/>
          <w:lang w:val="ru-RU"/>
        </w:rPr>
      </w:pPr>
      <w:r>
        <w:rPr>
          <w:lang w:val="ru-RU"/>
        </w:rPr>
        <w:t>Одновременно с этим в 2024 году усилия были направлены на расширение инициативы за пределы первоначальных 30 стран на основе спроса со стороны других стран. Признавая острую необходимость во всеобъемлющем СЗП во всем мире, ЗПМОЯ активно взаимодействует с другими странами, которые выразили заинтересованность в участии. И в этом случае уникальное партнерство позволит увеличить масштабы проекта.</w:t>
      </w:r>
    </w:p>
    <w:p w14:paraId="11C77805" w14:textId="77777777" w:rsidR="00513EBA" w:rsidRPr="00436C05" w:rsidRDefault="00513EBA" w:rsidP="00513EBA">
      <w:pPr>
        <w:shd w:val="clear" w:color="auto" w:fill="FFFFFF" w:themeFill="background1"/>
        <w:spacing w:before="240" w:after="120"/>
        <w:jc w:val="left"/>
        <w:rPr>
          <w:rFonts w:eastAsia="Verdana" w:cs="Verdana"/>
          <w:color w:val="000000" w:themeColor="text1"/>
          <w:lang w:val="ru-RU"/>
        </w:rPr>
      </w:pPr>
      <w:r>
        <w:rPr>
          <w:lang w:val="ru-RU"/>
        </w:rPr>
        <w:t>Чтобы заложить основу для работы во всех странах РА VI, ВМО совместно с НМГС провела национальные экспресс-оценки по второму компоненту. Цель - информирование на этапе планирования инициативы ЗПДВ с помощью исходных данных и анализа. Он также призван выявить области с наибольшими пробелами в потенциале, чтобы лучше направить техническую помощь и инвестиции.</w:t>
      </w:r>
    </w:p>
    <w:p w14:paraId="2C541F13" w14:textId="77777777" w:rsidR="00513EBA" w:rsidRPr="00436C05" w:rsidRDefault="00513EBA" w:rsidP="00513EBA">
      <w:pPr>
        <w:shd w:val="clear" w:color="auto" w:fill="FFFFFF" w:themeFill="background1"/>
        <w:spacing w:before="240" w:after="120"/>
        <w:jc w:val="left"/>
        <w:rPr>
          <w:rFonts w:eastAsia="Verdana" w:cs="Verdana"/>
          <w:color w:val="000000" w:themeColor="text1"/>
          <w:lang w:val="ru-RU"/>
        </w:rPr>
      </w:pPr>
      <w:r>
        <w:rPr>
          <w:lang w:val="ru-RU"/>
        </w:rPr>
        <w:t xml:space="preserve">ВМО подготовила быстрые оценки </w:t>
      </w:r>
      <w:proofErr w:type="spellStart"/>
      <w:r>
        <w:rPr>
          <w:lang w:val="ru-RU"/>
        </w:rPr>
        <w:t>ЗПДВ</w:t>
      </w:r>
      <w:proofErr w:type="spellEnd"/>
      <w:r>
        <w:rPr>
          <w:lang w:val="ru-RU"/>
        </w:rPr>
        <w:t xml:space="preserve"> для Албании, Армении, Грузии, Боснии и Герцеговины, Республики Молдова, Черногории, Северной Македонии, Иордании, Сербии, Сирийской Арабской Республики и Украины, чтобы оценить национальный потенциал в рамках второго компонента. В большинстве этих стран наблюдаются значительные пробелы в системах наблюдения, обработки данных и прогнозирования, отсутствуют официальные связи между заинтересованными сторонами в цепи распространения информации, а также отсутствует нормативная база, связывающая ранние предупреждения с планами действий в чрезвычайных ситуациях.</w:t>
      </w:r>
    </w:p>
    <w:p w14:paraId="3238EBC7" w14:textId="77777777" w:rsidR="00513EBA" w:rsidRPr="00436C05" w:rsidRDefault="00513EBA" w:rsidP="00513EBA">
      <w:pPr>
        <w:shd w:val="clear" w:color="auto" w:fill="FFFFFF" w:themeFill="background1"/>
        <w:spacing w:before="240" w:after="120"/>
        <w:jc w:val="left"/>
        <w:rPr>
          <w:rFonts w:eastAsia="Verdana" w:cs="Verdana"/>
          <w:color w:val="000000" w:themeColor="text1"/>
          <w:lang w:val="ru-RU"/>
        </w:rPr>
      </w:pPr>
      <w:r>
        <w:rPr>
          <w:lang w:val="ru-RU"/>
        </w:rPr>
        <w:t xml:space="preserve">Еще одним заметным мероприятием, заложившим основу для более широкого внедрения ЗПДВ в регионе РА VI, является сотрудничество ВМО и УСРБ ООН с ГД NEAR ЕС по поддержке разработки Юго-Восточной европейской системы раннего оповещения о различных опасностях, которая направлена на улучшение прогнозирования и оповещения об опасных метеорологических и гидрологических явлениях в 18 странах Юго-Восточной Европы. В апреле 2024 года в Афинах (Греция) было организовано субрегиональное мероприятие ЗПДВ с участием представителей НМГС этих стран для планирования </w:t>
      </w:r>
      <w:r>
        <w:rPr>
          <w:lang w:val="ru-RU"/>
        </w:rPr>
        <w:lastRenderedPageBreak/>
        <w:t>следующих шагов по развитию региональной консультативной системы раннего предупреждения.</w:t>
      </w:r>
    </w:p>
    <w:p w14:paraId="4CB9FCE5" w14:textId="77777777" w:rsidR="00513EBA" w:rsidRPr="00436C05" w:rsidRDefault="00513EBA" w:rsidP="00513EBA">
      <w:pPr>
        <w:spacing w:before="240" w:after="120"/>
        <w:jc w:val="left"/>
        <w:rPr>
          <w:lang w:val="ru-RU"/>
        </w:rPr>
      </w:pPr>
      <w:r>
        <w:rPr>
          <w:lang w:val="ru-RU"/>
        </w:rPr>
        <w:t>В августе 2024 года Европейский центр прогнозов погоды на средние расстояния (ЕЦСПП) объявил о значительном ускорении внедрения ЗПДВ, что актуально для стран РА VI ВМО и НМГС. В рамках своей стратегии открытых данных ЕЦСПП подтвердила, что все члены ВМО смогут получить доступ к ее слоям ecCharts и Web Map Service (WMS) для своих внутренних потребностей в прогнозировании. Отдельно будет улучшено качество и доступность данных ЕЦСПП для всех членов ВМО, в первую очередь для менее развитых стран в рамках РА VI ВМО, а также для стран, поддерживаемых ФФСН (см. ниже).</w:t>
      </w:r>
    </w:p>
    <w:p w14:paraId="1627C199" w14:textId="77777777" w:rsidR="00513EBA" w:rsidRPr="00436C05" w:rsidRDefault="00513EBA" w:rsidP="00513EBA">
      <w:pPr>
        <w:spacing w:before="240" w:after="120"/>
        <w:jc w:val="left"/>
        <w:rPr>
          <w:lang w:val="ru-RU"/>
        </w:rPr>
      </w:pPr>
      <w:r>
        <w:rPr>
          <w:lang w:val="ru-RU"/>
        </w:rPr>
        <w:t>В сочетании с тренингами по развитию потенциала, вероятно, улучшение доступа к глобальным и региональным продуктам и, в конечном счете, улучшение прогнозирования и других услуг, может уменьшить потребность отдельных членов ВМО и НМГС в мобилизации внешних финансовых ресурсов для улучшения предоставления услуг.</w:t>
      </w:r>
    </w:p>
    <w:p w14:paraId="0E3ACD59" w14:textId="77777777" w:rsidR="00513EBA" w:rsidRPr="00436C05" w:rsidRDefault="00513EBA" w:rsidP="0024064B">
      <w:pPr>
        <w:pStyle w:val="Heading3"/>
        <w:spacing w:after="240"/>
        <w:rPr>
          <w:lang w:val="ru-RU"/>
        </w:rPr>
      </w:pPr>
      <w:r>
        <w:rPr>
          <w:lang w:val="ru-RU"/>
        </w:rPr>
        <w:t xml:space="preserve">Устранение пробелов в наблюдениях </w:t>
      </w:r>
      <w:proofErr w:type="spellStart"/>
      <w:r>
        <w:rPr>
          <w:lang w:val="ru-RU"/>
        </w:rPr>
        <w:t>ГОСН</w:t>
      </w:r>
      <w:proofErr w:type="spellEnd"/>
      <w:r>
        <w:rPr>
          <w:lang w:val="ru-RU"/>
        </w:rPr>
        <w:t xml:space="preserve"> с помощью </w:t>
      </w:r>
      <w:proofErr w:type="spellStart"/>
      <w:r>
        <w:rPr>
          <w:lang w:val="ru-RU"/>
        </w:rPr>
        <w:t>ФФСН</w:t>
      </w:r>
      <w:proofErr w:type="spellEnd"/>
    </w:p>
    <w:p w14:paraId="00E47CBE" w14:textId="77777777" w:rsidR="00513EBA" w:rsidRPr="008845D7" w:rsidRDefault="00513EBA" w:rsidP="00513EBA">
      <w:pPr>
        <w:spacing w:before="240" w:after="120"/>
        <w:jc w:val="left"/>
      </w:pPr>
      <w:bookmarkStart w:id="2" w:name="_Hlk175216011"/>
      <w:proofErr w:type="spellStart"/>
      <w:r>
        <w:rPr>
          <w:lang w:val="ru-RU"/>
        </w:rPr>
        <w:t>ФФСН</w:t>
      </w:r>
      <w:proofErr w:type="spellEnd"/>
      <w:r>
        <w:rPr>
          <w:lang w:val="ru-RU"/>
        </w:rPr>
        <w:t xml:space="preserve"> - это специализированный фонд ООН, созданный совместно ВМО, Программой развития ООН (ПРООН) и Программой ООН по окружающей среде (ЮНЕП) для ликвидации пробелов в данных наблюдений за климатом и погодой в странах с наиболее острой нехваткой наблюдений, в первую очередь в наименее развитых странах (НРС) и малых островных развивающихся государствах (МОСТРАГ). ФФСН предоставляет долгосрочную финансовую и техническую помощь для поддержки приобретения и международного обмена основными данными наблюдений за погодой и климатом в соответствии с согласованными на международном уровне правилами ГОСН. Поддержка ФФСН осуществляется в три этапа:</w:t>
      </w:r>
      <w:bookmarkEnd w:id="2"/>
    </w:p>
    <w:p w14:paraId="58923B58" w14:textId="36858876" w:rsidR="00513EBA" w:rsidRPr="00436C05" w:rsidRDefault="00513EBA" w:rsidP="00054C8F">
      <w:pPr>
        <w:numPr>
          <w:ilvl w:val="0"/>
          <w:numId w:val="5"/>
        </w:numPr>
        <w:tabs>
          <w:tab w:val="clear" w:pos="1134"/>
          <w:tab w:val="left" w:pos="567"/>
        </w:tabs>
        <w:spacing w:before="240" w:after="120"/>
        <w:ind w:left="567" w:hanging="567"/>
        <w:jc w:val="left"/>
        <w:rPr>
          <w:lang w:val="ru-RU"/>
        </w:rPr>
      </w:pPr>
      <w:r>
        <w:rPr>
          <w:lang w:val="ru-RU"/>
        </w:rPr>
        <w:t>Этап готовности: поддержка, позволяющая странам оценить состояние своих национальных гидрометцентров, определить пробелы в ГОСН и разработать план по устранению этих пробелов;</w:t>
      </w:r>
    </w:p>
    <w:p w14:paraId="7CFB9341" w14:textId="2673A976" w:rsidR="00513EBA" w:rsidRPr="00436C05" w:rsidRDefault="00513EBA" w:rsidP="00054C8F">
      <w:pPr>
        <w:numPr>
          <w:ilvl w:val="0"/>
          <w:numId w:val="5"/>
        </w:numPr>
        <w:tabs>
          <w:tab w:val="clear" w:pos="1134"/>
          <w:tab w:val="left" w:pos="567"/>
        </w:tabs>
        <w:spacing w:before="240" w:after="120"/>
        <w:ind w:left="567" w:hanging="567"/>
        <w:jc w:val="left"/>
        <w:rPr>
          <w:lang w:val="ru-RU"/>
        </w:rPr>
      </w:pPr>
      <w:r>
        <w:rPr>
          <w:lang w:val="ru-RU"/>
        </w:rPr>
        <w:t xml:space="preserve">Инвестиционная фаза: грантовое финансирование инфраструктуры и развития человеческого потенциала, чтобы страны могли достичь соответствия </w:t>
      </w:r>
      <w:proofErr w:type="spellStart"/>
      <w:r>
        <w:rPr>
          <w:lang w:val="ru-RU"/>
        </w:rPr>
        <w:t>ГОСН</w:t>
      </w:r>
      <w:proofErr w:type="spellEnd"/>
      <w:r>
        <w:rPr>
          <w:lang w:val="ru-RU"/>
        </w:rPr>
        <w:t>;</w:t>
      </w:r>
    </w:p>
    <w:p w14:paraId="5A4D2CAF" w14:textId="77777777" w:rsidR="00513EBA" w:rsidRPr="00436C05" w:rsidRDefault="00513EBA" w:rsidP="00054C8F">
      <w:pPr>
        <w:numPr>
          <w:ilvl w:val="0"/>
          <w:numId w:val="5"/>
        </w:numPr>
        <w:tabs>
          <w:tab w:val="clear" w:pos="1134"/>
          <w:tab w:val="left" w:pos="567"/>
        </w:tabs>
        <w:spacing w:before="240" w:after="120"/>
        <w:ind w:left="567" w:hanging="567"/>
        <w:jc w:val="left"/>
        <w:rPr>
          <w:lang w:val="ru-RU"/>
        </w:rPr>
      </w:pPr>
      <w:r>
        <w:rPr>
          <w:lang w:val="ru-RU"/>
        </w:rPr>
        <w:t>Этап соблюдения: оперативная и техническая поддержка для обеспечения соблюдения требований ГОСН и доступа к улучшенным продуктам прогноза погоды и анализа климата.</w:t>
      </w:r>
    </w:p>
    <w:p w14:paraId="5DB80A04" w14:textId="77777777" w:rsidR="00513EBA" w:rsidRPr="00436C05" w:rsidRDefault="00513EBA" w:rsidP="00513EBA">
      <w:pPr>
        <w:spacing w:before="240" w:after="120" w:line="259" w:lineRule="auto"/>
        <w:jc w:val="left"/>
        <w:rPr>
          <w:lang w:val="ru-RU"/>
        </w:rPr>
      </w:pPr>
      <w:r>
        <w:rPr>
          <w:lang w:val="ru-RU"/>
        </w:rPr>
        <w:t>На сегодняшний день 66 стран запрограммированы на поддержку ФФСН. Из этих 66 стран Руководящий комитет ФФСН утвердил финансирование фазы готовности для 60 стран и инвестиционной фазы для 13 стран, а еще для пяти стран - условно утвержденное финансирование. В настоящее время ФФСН не имеет права оказывать поддержку странам со средним уровнем дохода (ССД)</w:t>
      </w:r>
      <w:proofErr w:type="gramStart"/>
      <w:r>
        <w:rPr>
          <w:lang w:val="ru-RU"/>
        </w:rPr>
        <w:t>; Однако</w:t>
      </w:r>
      <w:proofErr w:type="gramEnd"/>
      <w:r>
        <w:rPr>
          <w:lang w:val="ru-RU"/>
        </w:rPr>
        <w:t xml:space="preserve"> 13 стран РА VI выступают в качестве экспертных советников, предоставляя технические консультации и аналитическую поддержку странам-бенефициарам и организациям-исполнителям в разработке и осуществлении мероприятий.</w:t>
      </w:r>
    </w:p>
    <w:p w14:paraId="7865307D" w14:textId="58678146" w:rsidR="00513EBA" w:rsidRPr="00436C05" w:rsidRDefault="00513EBA" w:rsidP="0024064B">
      <w:pPr>
        <w:pStyle w:val="Heading3"/>
        <w:spacing w:after="240"/>
        <w:rPr>
          <w:lang w:val="ru-RU"/>
        </w:rPr>
      </w:pPr>
      <w:r>
        <w:rPr>
          <w:lang w:val="ru-RU"/>
        </w:rPr>
        <w:t xml:space="preserve">Улучшение мониторинга парниковых газов (ПГ) с помощью </w:t>
      </w:r>
      <w:proofErr w:type="spellStart"/>
      <w:r>
        <w:rPr>
          <w:lang w:val="ru-RU"/>
        </w:rPr>
        <w:t>ГСНПЗ</w:t>
      </w:r>
      <w:proofErr w:type="spellEnd"/>
    </w:p>
    <w:p w14:paraId="5D0220F9" w14:textId="77777777" w:rsidR="00513EBA" w:rsidRPr="00436C05" w:rsidRDefault="00513EBA" w:rsidP="00513EBA">
      <w:pPr>
        <w:spacing w:before="240" w:after="120"/>
        <w:jc w:val="left"/>
        <w:rPr>
          <w:b/>
          <w:bCs/>
          <w:lang w:val="ru-RU"/>
        </w:rPr>
      </w:pPr>
      <w:r>
        <w:rPr>
          <w:lang w:val="ru-RU"/>
        </w:rPr>
        <w:t xml:space="preserve">Цель </w:t>
      </w:r>
      <w:proofErr w:type="spellStart"/>
      <w:r>
        <w:rPr>
          <w:lang w:val="ru-RU"/>
        </w:rPr>
        <w:t>ГСНПЗ</w:t>
      </w:r>
      <w:proofErr w:type="spellEnd"/>
      <w:r>
        <w:rPr>
          <w:lang w:val="ru-RU"/>
        </w:rPr>
        <w:t xml:space="preserve"> - организовать скоординированный на международном уровне мониторинг и моделирование концентраций и потоков парниковых газов для предоставления полезной информации Сторонам Рамочной конвенции ООН об изменении климата (РКИК ООН) и другим заинтересованным сторонам.</w:t>
      </w:r>
    </w:p>
    <w:p w14:paraId="35B7CA26" w14:textId="77777777" w:rsidR="00513EBA" w:rsidRPr="00436C05" w:rsidRDefault="00513EBA" w:rsidP="00513EBA">
      <w:pPr>
        <w:spacing w:before="240" w:after="120"/>
        <w:jc w:val="left"/>
        <w:rPr>
          <w:lang w:val="ru-RU"/>
        </w:rPr>
      </w:pPr>
      <w:r>
        <w:rPr>
          <w:lang w:val="ru-RU"/>
        </w:rPr>
        <w:t xml:space="preserve">Цель </w:t>
      </w:r>
      <w:proofErr w:type="spellStart"/>
      <w:r>
        <w:rPr>
          <w:lang w:val="ru-RU"/>
        </w:rPr>
        <w:t>ГСНПЗ</w:t>
      </w:r>
      <w:proofErr w:type="spellEnd"/>
      <w:r>
        <w:rPr>
          <w:lang w:val="ru-RU"/>
        </w:rPr>
        <w:t xml:space="preserve"> - создать скоординированную глобальную сеть наблюдений для точного измерения парниковых газов (ПГ), сосредоточив внимание на трех основных газах, </w:t>
      </w:r>
      <w:r>
        <w:rPr>
          <w:lang w:val="ru-RU"/>
        </w:rPr>
        <w:lastRenderedPageBreak/>
        <w:t>ответственных за глобальное потепление и связанные с ним последствия, проявляющиеся в экстремальных погодных условиях. Интеграция космических и наземных наблюдений и моделирования (в том числе с использованием искусственного интеллекта) в рамках ГСНПЗ позволит получать консолидированную и непрерывную глобальную информацию о суммарных потоках и концентрациях ПГ. Полученные данные и рекомендации позволят в режиме реального времени лучше понимать выбросы и поглотители ПГ, а также прогнозировать климатические тенденции, что крайне важно для международного управления в рамках РКИК ООН и для планирования и осуществления странами деятельности по смягчению последствий изменения климата в рамках их определяемых на национальном уровне вкладов (</w:t>
      </w:r>
      <w:proofErr w:type="spellStart"/>
      <w:r>
        <w:rPr>
          <w:lang w:val="ru-RU"/>
        </w:rPr>
        <w:t>ОНУВ</w:t>
      </w:r>
      <w:proofErr w:type="spellEnd"/>
      <w:r>
        <w:rPr>
          <w:lang w:val="ru-RU"/>
        </w:rPr>
        <w:t>).</w:t>
      </w:r>
    </w:p>
    <w:p w14:paraId="66D2D78A" w14:textId="77777777" w:rsidR="00513EBA" w:rsidRPr="00436C05" w:rsidRDefault="00513EBA" w:rsidP="00513EBA">
      <w:pPr>
        <w:spacing w:before="240" w:after="120"/>
        <w:jc w:val="left"/>
        <w:rPr>
          <w:lang w:val="ru-RU"/>
        </w:rPr>
      </w:pPr>
      <w:r>
        <w:rPr>
          <w:lang w:val="ru-RU"/>
        </w:rPr>
        <w:t xml:space="preserve">Первоначальные ресурсы для </w:t>
      </w:r>
      <w:proofErr w:type="spellStart"/>
      <w:r>
        <w:rPr>
          <w:lang w:val="ru-RU"/>
        </w:rPr>
        <w:t>ГСНПЗ</w:t>
      </w:r>
      <w:proofErr w:type="spellEnd"/>
      <w:r>
        <w:rPr>
          <w:lang w:val="ru-RU"/>
        </w:rPr>
        <w:t xml:space="preserve"> будут направлены на удовлетворение потребностей в техническом, координационном, мониторинговом и коммуникационном руководстве, включая взносы от организаций, не входящих в ВМО, что позволит обеспечить надежную поддержку действий в области климата и развития на основе научных данных и услуг, отвечающих потребностям членов ВМО.</w:t>
      </w:r>
    </w:p>
    <w:p w14:paraId="41A3AAC4" w14:textId="77777777" w:rsidR="00513EBA" w:rsidRPr="00436C05" w:rsidRDefault="00513EBA" w:rsidP="0024064B">
      <w:pPr>
        <w:pStyle w:val="Heading3"/>
        <w:spacing w:after="240"/>
        <w:rPr>
          <w:lang w:val="ru-RU"/>
        </w:rPr>
      </w:pPr>
      <w:r>
        <w:rPr>
          <w:lang w:val="ru-RU"/>
        </w:rPr>
        <w:t>Обзор проектов и мероприятий РА VI</w:t>
      </w:r>
    </w:p>
    <w:p w14:paraId="3EDAEEAE" w14:textId="77777777" w:rsidR="00513EBA" w:rsidRPr="00436C05" w:rsidRDefault="00513EBA" w:rsidP="00513EBA">
      <w:pPr>
        <w:spacing w:before="240" w:after="120"/>
        <w:jc w:val="left"/>
        <w:rPr>
          <w:lang w:val="ru-RU"/>
        </w:rPr>
      </w:pPr>
      <w:r>
        <w:rPr>
          <w:lang w:val="ru-RU"/>
        </w:rPr>
        <w:t>В настоящее время ВМО реализует портфель из 47 финансируемых из внебюджетных источников проектов и мероприятий на общую сумму 130 млн швейцарских франков. В РА VI ВМО в настоящее время реализует четыре проекта, финансируемых ЕС, на сумму 2 600 000 швейцарских франков в области метеорологических, водных и климатических служб в непосредственную поддержку членов ВМО. ВМО также осуществляет деятельность в регионе на сумму около 900 000 швейцарских франков в рамках глобального проекта, финансируемого Бюро гуманитарной помощи (БГП) ЮСАИД, с целью укрепления системы раннего предупреждения о различных опасностях и наращивания потенциала в области гидрометеорологии по всему миру (более подробно рассматривается далее в настоящем документе). В настоящее время ВМО работает над разработкой двух дополнительных проектов, потенциальная сумма которых составляет около 25 миллионов швейцарских франков, для поддержки региона.</w:t>
      </w:r>
    </w:p>
    <w:p w14:paraId="70035C01" w14:textId="77777777" w:rsidR="00513EBA" w:rsidRPr="00436C05" w:rsidRDefault="00513EBA" w:rsidP="00513EBA">
      <w:pPr>
        <w:spacing w:before="240" w:after="120"/>
        <w:jc w:val="left"/>
        <w:rPr>
          <w:lang w:val="ru-RU"/>
        </w:rPr>
      </w:pPr>
      <w:r>
        <w:rPr>
          <w:lang w:val="ru-RU"/>
        </w:rPr>
        <w:t xml:space="preserve">Хотя один из основных источников финансирования проектов Секретариата, Система раннего предупреждения о климатических рисках (КРСЗП), не может инвестировать в ВПК, ограничивая тем самым возможности РА VI, другие источники, такие как Адаптационный фонд (АФ), могут, и ВМО имеет проект для РА VI на стадии разработки АФ. ВМО также взаимодействует с многосторонними банками развития, такими как Всемирный банк, чтобы повлиять на их приоритеты и операции в РА VI, например, путем предварительного признания критической важности услуг НМГС для адаптации к климату и развития (пример: </w:t>
      </w:r>
      <w:proofErr w:type="spellStart"/>
      <w:r>
        <w:rPr>
          <w:lang w:val="ru-RU"/>
        </w:rPr>
        <w:t>WeBa</w:t>
      </w:r>
      <w:proofErr w:type="spellEnd"/>
      <w:r>
        <w:rPr>
          <w:lang w:val="ru-RU"/>
        </w:rPr>
        <w:t xml:space="preserve"> </w:t>
      </w:r>
      <w:proofErr w:type="spellStart"/>
      <w:r>
        <w:rPr>
          <w:lang w:val="ru-RU"/>
        </w:rPr>
        <w:t>CCDR</w:t>
      </w:r>
      <w:proofErr w:type="spellEnd"/>
      <w:r>
        <w:rPr>
          <w:lang w:val="ru-RU"/>
        </w:rPr>
        <w:t>).</w:t>
      </w:r>
    </w:p>
    <w:p w14:paraId="4BED878D" w14:textId="77777777" w:rsidR="00513EBA" w:rsidRPr="00436C05" w:rsidRDefault="00513EBA" w:rsidP="00513EBA">
      <w:pPr>
        <w:shd w:val="clear" w:color="auto" w:fill="FFFFFF" w:themeFill="background1"/>
        <w:spacing w:before="240" w:after="120"/>
        <w:jc w:val="left"/>
        <w:rPr>
          <w:lang w:val="ru-RU"/>
        </w:rPr>
      </w:pPr>
      <w:r>
        <w:rPr>
          <w:lang w:val="ru-RU"/>
        </w:rPr>
        <w:t>С декабря 2020 года ВМО заключила рабочее соглашение с ЕС, которое также предусматривает поддержку реализации европейской программы "Зеленый курс" через исследовательскую и инновационную деятельность и соответствующие миссии Horizon Europe, такие как Mission Starfish 2030 и A Climate Resilient Europe 24. Взаимодействие на начальном этапе, чтобы помочь направить призывы к финансированию на приоритеты ВМО, было успешно достигнуто благодаря регулярным встречам, организованным Управлением по делам ЕС между отделом науки и инноваций ВМО и РТД ЕС, и будет продолжаться во всех ГД ЕС.</w:t>
      </w:r>
    </w:p>
    <w:p w14:paraId="7276095B" w14:textId="77777777" w:rsidR="00513EBA" w:rsidRPr="00436C05" w:rsidRDefault="00513EBA" w:rsidP="00513EBA">
      <w:pPr>
        <w:shd w:val="clear" w:color="auto" w:fill="FFFFFF" w:themeFill="background1"/>
        <w:spacing w:before="240" w:after="120"/>
        <w:jc w:val="left"/>
        <w:rPr>
          <w:lang w:val="ru-RU"/>
        </w:rPr>
      </w:pPr>
      <w:r>
        <w:rPr>
          <w:lang w:val="ru-RU"/>
        </w:rPr>
        <w:t>ВМО активно участвует в нескольких исследовательских проектах, финансируемых ЕС Horizon Europe, направленных на предоставление продуктов, услуг и совершенствование национальной политики в соответствии с реализацией инициативы ЗПДВ особенно в рамках РА VI - региона, включающего различные страны-члены ВМО, находящиеся на разных этапах развития.</w:t>
      </w:r>
    </w:p>
    <w:p w14:paraId="3551DFCC" w14:textId="77777777" w:rsidR="00513EBA" w:rsidRPr="00436C05" w:rsidRDefault="00513EBA" w:rsidP="0024064B">
      <w:pPr>
        <w:pStyle w:val="Heading3"/>
        <w:spacing w:after="240"/>
        <w:rPr>
          <w:lang w:val="ru-RU"/>
        </w:rPr>
      </w:pPr>
      <w:r>
        <w:rPr>
          <w:lang w:val="ru-RU"/>
        </w:rPr>
        <w:lastRenderedPageBreak/>
        <w:t xml:space="preserve">Проект </w:t>
      </w:r>
      <w:proofErr w:type="spellStart"/>
      <w:r>
        <w:rPr>
          <w:lang w:val="ru-RU"/>
        </w:rPr>
        <w:t>MedEWSa</w:t>
      </w:r>
      <w:proofErr w:type="spellEnd"/>
    </w:p>
    <w:p w14:paraId="210352C7" w14:textId="77777777" w:rsidR="00513EBA" w:rsidRPr="00436C05" w:rsidRDefault="00513EBA" w:rsidP="00513EBA">
      <w:pPr>
        <w:shd w:val="clear" w:color="auto" w:fill="FFFFFF" w:themeFill="background1"/>
        <w:spacing w:before="240" w:after="120"/>
        <w:jc w:val="left"/>
        <w:rPr>
          <w:lang w:val="ru-RU"/>
        </w:rPr>
      </w:pPr>
      <w:r>
        <w:rPr>
          <w:lang w:val="ru-RU"/>
        </w:rPr>
        <w:t xml:space="preserve">Средиземноморский и панъевропейский проект по прогнозированию и СЗП против стихийных бедствий (MedEWSa) рассчитан на </w:t>
      </w:r>
      <w:proofErr w:type="gramStart"/>
      <w:r>
        <w:rPr>
          <w:lang w:val="ru-RU"/>
        </w:rPr>
        <w:t>3-4</w:t>
      </w:r>
      <w:proofErr w:type="gramEnd"/>
      <w:r>
        <w:rPr>
          <w:lang w:val="ru-RU"/>
        </w:rPr>
        <w:t xml:space="preserve"> года и реализуется параллельно с инициативой ЗПДВ с 2024 по 2027 год. MedEWSa уделяет особое внимание ЗПДВ и включает в себя НМГС из таких стран, как Египет, Австрия, Словакия, Грузия и Италия. Проект направлен на разработку комплексного общеевропейско-средиземноморско-африканского решения, включающего в себя ЗПМОЯ, основанные на воздействии. Он действует на восьми парных пилотных площадках, объединяющих регионы со схожими опасностями, но разными климатическими условиями, что способствует передаче знаний и наращиванию потенциала.</w:t>
      </w:r>
    </w:p>
    <w:p w14:paraId="178B6294" w14:textId="77777777" w:rsidR="00513EBA" w:rsidRPr="00436C05" w:rsidRDefault="00513EBA" w:rsidP="0024064B">
      <w:pPr>
        <w:pStyle w:val="Heading3"/>
        <w:spacing w:after="240"/>
        <w:rPr>
          <w:lang w:val="ru-RU"/>
        </w:rPr>
      </w:pPr>
      <w:r>
        <w:rPr>
          <w:lang w:val="ru-RU"/>
        </w:rPr>
        <w:t xml:space="preserve">Проекты </w:t>
      </w:r>
      <w:proofErr w:type="spellStart"/>
      <w:r>
        <w:rPr>
          <w:lang w:val="ru-RU"/>
        </w:rPr>
        <w:t>CROSSEU</w:t>
      </w:r>
      <w:proofErr w:type="spellEnd"/>
      <w:r>
        <w:rPr>
          <w:lang w:val="ru-RU"/>
        </w:rPr>
        <w:t xml:space="preserve"> и </w:t>
      </w:r>
      <w:proofErr w:type="spellStart"/>
      <w:r>
        <w:rPr>
          <w:lang w:val="ru-RU"/>
        </w:rPr>
        <w:t>CARMINE</w:t>
      </w:r>
      <w:proofErr w:type="spellEnd"/>
    </w:p>
    <w:p w14:paraId="595189C7" w14:textId="77777777" w:rsidR="00513EBA" w:rsidRPr="00436C05" w:rsidRDefault="00513EBA" w:rsidP="00513EBA">
      <w:pPr>
        <w:shd w:val="clear" w:color="auto" w:fill="FFFFFF" w:themeFill="background1"/>
        <w:spacing w:before="240" w:after="120"/>
        <w:jc w:val="left"/>
        <w:rPr>
          <w:lang w:val="ru-RU"/>
        </w:rPr>
      </w:pPr>
      <w:proofErr w:type="spellStart"/>
      <w:r>
        <w:rPr>
          <w:lang w:val="ru-RU"/>
        </w:rPr>
        <w:t>Межсекторальная</w:t>
      </w:r>
      <w:proofErr w:type="spellEnd"/>
      <w:r>
        <w:rPr>
          <w:lang w:val="ru-RU"/>
        </w:rPr>
        <w:t xml:space="preserve"> рамочная программа по социально-экономической устойчивости к изменению климата и экстремальным явлениям в Европе (CROSSEU) и программа "Пути климатоустойчивого развития в столичных регионах Европы" (CARMINE) направлены на повышение устойчивости к изменению климата и экстремальным погодным явлениям в Европе. Эти проекты направлены на разработку систем поддержки принятия решений и цифровых двойников для поддержки политических мер и стратегий адаптации. CROSSEU занимается вопросами социально-экономической устойчивости, создавая климатически чувствительные рамки и систему поддержки принятия решений для Европы. CARMINE уделяет особое внимание устойчивости городов, обеспечивая поддержку принятия решений на основе воздействия и многоуровневое управление климатом.</w:t>
      </w:r>
    </w:p>
    <w:p w14:paraId="281F721C" w14:textId="77777777" w:rsidR="00513EBA" w:rsidRPr="00436C05" w:rsidRDefault="00513EBA" w:rsidP="0024064B">
      <w:pPr>
        <w:pStyle w:val="Heading3"/>
        <w:spacing w:after="240"/>
        <w:rPr>
          <w:lang w:val="ru-RU"/>
        </w:rPr>
      </w:pPr>
      <w:r>
        <w:rPr>
          <w:lang w:val="ru-RU"/>
        </w:rPr>
        <w:t xml:space="preserve">Проект </w:t>
      </w:r>
      <w:proofErr w:type="spellStart"/>
      <w:r>
        <w:rPr>
          <w:lang w:val="ru-RU"/>
        </w:rPr>
        <w:t>FOCI</w:t>
      </w:r>
      <w:proofErr w:type="spellEnd"/>
    </w:p>
    <w:p w14:paraId="59695557" w14:textId="77777777" w:rsidR="00513EBA" w:rsidRPr="00436C05" w:rsidRDefault="00513EBA" w:rsidP="00513EBA">
      <w:pPr>
        <w:shd w:val="clear" w:color="auto" w:fill="FFFFFF" w:themeFill="background1"/>
        <w:spacing w:before="240" w:after="120"/>
        <w:jc w:val="left"/>
        <w:rPr>
          <w:lang w:val="ru-RU"/>
        </w:rPr>
      </w:pPr>
      <w:r>
        <w:rPr>
          <w:lang w:val="ru-RU"/>
        </w:rPr>
        <w:t>Проект "</w:t>
      </w:r>
      <w:proofErr w:type="spellStart"/>
      <w:r>
        <w:rPr>
          <w:lang w:val="ru-RU"/>
        </w:rPr>
        <w:t>Форсеры</w:t>
      </w:r>
      <w:proofErr w:type="spellEnd"/>
      <w:r>
        <w:rPr>
          <w:lang w:val="ru-RU"/>
        </w:rPr>
        <w:t>, не содержащие CO2, и их воздействие на климат, погоду, качество воздуха и здоровье" (FOCI) направлен на уменьшение научных неопределенностей в отношении радиационных форсеров, не содержащих CO2. Финансируемый программой ЕС "Горизонт", этот глобальный проект тестирует региональные климатические модели в Европе, а затем распространяется на Латинскую Америку и Африку. Программа FOCI, рассчитанная на период с 2022 по 2026 год, позволит расширить наше понимание воздействия на климат и погоду факторов, не содержащих CO2.</w:t>
      </w:r>
    </w:p>
    <w:p w14:paraId="38FBDB26" w14:textId="77777777" w:rsidR="00513EBA" w:rsidRPr="00436C05" w:rsidRDefault="00513EBA" w:rsidP="0024064B">
      <w:pPr>
        <w:pStyle w:val="Heading3"/>
        <w:spacing w:after="240"/>
        <w:rPr>
          <w:b w:val="0"/>
          <w:bCs w:val="0"/>
          <w:lang w:val="ru-RU"/>
        </w:rPr>
      </w:pPr>
      <w:r>
        <w:rPr>
          <w:lang w:val="ru-RU"/>
        </w:rPr>
        <w:t>Проект Climateurope2</w:t>
      </w:r>
    </w:p>
    <w:p w14:paraId="311313E7" w14:textId="77777777" w:rsidR="00513EBA" w:rsidRPr="00436C05" w:rsidRDefault="00513EBA" w:rsidP="00513EBA">
      <w:pPr>
        <w:shd w:val="clear" w:color="auto" w:fill="FFFFFF" w:themeFill="background1"/>
        <w:spacing w:before="240" w:after="120"/>
        <w:jc w:val="left"/>
        <w:rPr>
          <w:lang w:val="ru-RU"/>
        </w:rPr>
      </w:pPr>
      <w:r>
        <w:rPr>
          <w:lang w:val="ru-RU"/>
        </w:rPr>
        <w:t>Проект Climateurope2, финансируемый ЕС и рассчитанный на период с 2022 по 2027 год, направлен на стандартизацию климатических услуг в Европе и за ее пределами. Проект направлен на повышение качества климатических услуг и их внедрение путем разработки руководящих принципов, критериев сертификации и передовой практики в соответствии с принципами находимости, доступности, интероперабельности и повторного использования (FAIR). Вклад ВМО включает разработку процедур проверки данных, методологий управления качеством и оценку текущего состояния климатических служб.</w:t>
      </w:r>
    </w:p>
    <w:p w14:paraId="43EF4941" w14:textId="77777777" w:rsidR="00513EBA" w:rsidRPr="00436C05" w:rsidRDefault="00513EBA" w:rsidP="0024064B">
      <w:pPr>
        <w:pStyle w:val="Heading3"/>
        <w:spacing w:after="240"/>
        <w:rPr>
          <w:b w:val="0"/>
          <w:bCs w:val="0"/>
          <w:color w:val="000000" w:themeColor="text1"/>
          <w:lang w:val="ru-RU"/>
        </w:rPr>
      </w:pPr>
      <w:r>
        <w:rPr>
          <w:lang w:val="ru-RU"/>
        </w:rPr>
        <w:t xml:space="preserve">Раннее оповещение и наращивание потенциала в области гидрометеорологии при различных опасностях </w:t>
      </w:r>
      <w:proofErr w:type="spellStart"/>
      <w:r>
        <w:rPr>
          <w:lang w:val="ru-RU"/>
        </w:rPr>
        <w:t>ЮСАИД</w:t>
      </w:r>
      <w:proofErr w:type="spellEnd"/>
    </w:p>
    <w:p w14:paraId="4DDA0F44" w14:textId="77777777" w:rsidR="00513EBA" w:rsidRPr="00436C05" w:rsidRDefault="00513EBA" w:rsidP="00513EBA">
      <w:pPr>
        <w:pStyle w:val="paragraph"/>
        <w:spacing w:before="240" w:beforeAutospacing="0" w:after="120" w:afterAutospacing="0"/>
        <w:rPr>
          <w:rStyle w:val="normaltextrun"/>
          <w:rFonts w:ascii="Verdana" w:hAnsi="Verdana" w:cs="Segoe UI"/>
          <w:sz w:val="20"/>
          <w:szCs w:val="20"/>
          <w:lang w:val="ru-RU"/>
        </w:rPr>
      </w:pPr>
      <w:r>
        <w:rPr>
          <w:lang w:val="ru-RU"/>
        </w:rPr>
        <w:t xml:space="preserve">Инициатива "Раннее гидрометеорологическое оповещение о различных опасностях и наращивание потенциала" финансируется USAID/BHA в размере 25 миллионов долларов США. Целью этой инициативы является сотрудничество в области развития гидрометеорологического комплексного СЗП и потенциала, позволяющего странам принимать заблаговременные меры и снижать риск опасных явлений, связанных с климатом, погодой и водой, таких как наводнения и ливневые паводки, циклоны, суровые погодные условия, штормовые нагоны, экстремальные температуры, засухи изменчивость и изменение климата и другие гидрометеорологические бедствия. Он поможет странам снизить </w:t>
      </w:r>
      <w:r>
        <w:rPr>
          <w:lang w:val="ru-RU"/>
        </w:rPr>
        <w:lastRenderedPageBreak/>
        <w:t>воздействие погодных, климатических и водных угроз путем развития СЗП, разработки инструментов, руководств и планов, прогнозирования событий и их последствий, наращивания потенциала и других действий, чтобы люди могли получить доступ к раннему предупреждению о таких событиях и принять своевременные меры, что является взаимным интересом ВМО и USAID/BHA. Инициатива включает в себя две основные области деятельности: ЗПМОЯ и продвижение снижения риска паводков. Инициатива имеет глобальный охват, а значит, будет осуществляться и в РА VI.</w:t>
      </w:r>
    </w:p>
    <w:p w14:paraId="41887693" w14:textId="77777777" w:rsidR="00513EBA" w:rsidRPr="00436C05" w:rsidRDefault="00513EBA" w:rsidP="0024064B">
      <w:pPr>
        <w:pStyle w:val="Heading3"/>
        <w:spacing w:after="240"/>
        <w:rPr>
          <w:lang w:val="ru-RU"/>
        </w:rPr>
      </w:pPr>
      <w:r>
        <w:rPr>
          <w:lang w:val="ru-RU"/>
        </w:rPr>
        <w:t>Программа добровольного сотрудничества (ПДС)</w:t>
      </w:r>
    </w:p>
    <w:p w14:paraId="2B39BB32" w14:textId="77777777" w:rsidR="00513EBA" w:rsidRPr="00436C05" w:rsidRDefault="00513EBA" w:rsidP="00513EBA">
      <w:pPr>
        <w:shd w:val="clear" w:color="auto" w:fill="FFFFFF" w:themeFill="background1"/>
        <w:spacing w:before="240" w:after="120"/>
        <w:jc w:val="left"/>
        <w:rPr>
          <w:rFonts w:eastAsia="Verdana" w:cs="Verdana"/>
          <w:color w:val="000000" w:themeColor="text1"/>
          <w:lang w:val="ru-RU"/>
        </w:rPr>
      </w:pPr>
      <w:r>
        <w:rPr>
          <w:lang w:val="ru-RU"/>
        </w:rPr>
        <w:t>ВМО также поощряет и облегчает поддержку и сотрудничество между НМГС через ПДС, которая направлена на удовлетворение срочных потребностей стран-членов посредством прямого финансирования, небольших грантов и передачи опыта и технологий между Членами. С момента своего создания программа успешно оказала значительную поддержку, в том числе членам РА VI. Его успех во многом обусловлен готовностью Членов ВМО делиться научными знаниями и новейшими технологическими достижениями. В то время как страны-доноры предоставляют оборудование, стипендии, экспертные знания и финансирование, страны-получатели обеспечивают их эффективное использование, внося значительный вклад за счет национальных ресурсов, таких как местная инфраструктура, персонал и операционные расходы. ВМО стремится расширить ПДС, создавая больше связей между НМГС, привлекая больше членов к участию в программе и тем самым укрепляя дух сотрудничества и дружбы.</w:t>
      </w:r>
    </w:p>
    <w:p w14:paraId="60CF462D" w14:textId="77777777" w:rsidR="00513EBA" w:rsidRPr="00436C05" w:rsidRDefault="00513EBA" w:rsidP="00513EBA">
      <w:pPr>
        <w:keepNext/>
        <w:keepLines/>
        <w:shd w:val="clear" w:color="auto" w:fill="FFFFFF" w:themeFill="background1"/>
        <w:spacing w:before="240" w:after="120"/>
        <w:jc w:val="left"/>
        <w:rPr>
          <w:rFonts w:eastAsia="Verdana" w:cs="Verdana"/>
          <w:color w:val="000000" w:themeColor="text1"/>
          <w:lang w:val="ru-RU"/>
        </w:rPr>
      </w:pPr>
      <w:r>
        <w:rPr>
          <w:lang w:val="ru-RU"/>
        </w:rPr>
        <w:t>В РА VI в настоящее время осуществляются три активных проекта:</w:t>
      </w:r>
    </w:p>
    <w:tbl>
      <w:tblPr>
        <w:tblStyle w:val="TableGrid"/>
        <w:tblW w:w="5000" w:type="pct"/>
        <w:tblLayout w:type="fixed"/>
        <w:tblLook w:val="06A0" w:firstRow="1" w:lastRow="0" w:firstColumn="1" w:lastColumn="0" w:noHBand="1" w:noVBand="1"/>
      </w:tblPr>
      <w:tblGrid>
        <w:gridCol w:w="1525"/>
        <w:gridCol w:w="946"/>
        <w:gridCol w:w="5922"/>
        <w:gridCol w:w="1236"/>
      </w:tblGrid>
      <w:tr w:rsidR="00513EBA" w:rsidRPr="00436C05" w14:paraId="1CAE8CF6" w14:textId="77777777" w:rsidTr="00661A59">
        <w:trPr>
          <w:trHeight w:val="498"/>
          <w:tblHeader/>
        </w:trPr>
        <w:tc>
          <w:tcPr>
            <w:tcW w:w="792" w:type="pct"/>
            <w:shd w:val="clear" w:color="auto" w:fill="F0F9FE"/>
          </w:tcPr>
          <w:p w14:paraId="0AC42476" w14:textId="77777777" w:rsidR="00513EBA" w:rsidRPr="00436C05" w:rsidRDefault="00513EBA" w:rsidP="00661A59">
            <w:pPr>
              <w:keepNext/>
              <w:spacing w:before="120" w:after="120"/>
              <w:jc w:val="center"/>
              <w:rPr>
                <w:rFonts w:eastAsia="Verdana" w:cs="Verdana"/>
                <w:i/>
                <w:iCs/>
                <w:color w:val="000000" w:themeColor="text1"/>
                <w:sz w:val="18"/>
                <w:szCs w:val="18"/>
              </w:rPr>
            </w:pPr>
            <w:r w:rsidRPr="00436C05">
              <w:rPr>
                <w:i/>
                <w:iCs/>
                <w:sz w:val="18"/>
                <w:szCs w:val="18"/>
                <w:lang w:val="ru-RU"/>
              </w:rPr>
              <w:t>Члены</w:t>
            </w:r>
          </w:p>
        </w:tc>
        <w:tc>
          <w:tcPr>
            <w:tcW w:w="491" w:type="pct"/>
            <w:shd w:val="clear" w:color="auto" w:fill="F0F9FE"/>
          </w:tcPr>
          <w:p w14:paraId="21B77CDD" w14:textId="77777777" w:rsidR="00513EBA" w:rsidRPr="00436C05" w:rsidRDefault="00513EBA" w:rsidP="00661A59">
            <w:pPr>
              <w:spacing w:before="120" w:after="120"/>
              <w:jc w:val="center"/>
              <w:rPr>
                <w:rFonts w:eastAsia="Verdana" w:cs="Verdana"/>
                <w:i/>
                <w:iCs/>
                <w:color w:val="000000" w:themeColor="text1"/>
                <w:sz w:val="18"/>
                <w:szCs w:val="18"/>
              </w:rPr>
            </w:pPr>
            <w:r w:rsidRPr="00436C05">
              <w:rPr>
                <w:i/>
                <w:iCs/>
                <w:sz w:val="18"/>
                <w:szCs w:val="18"/>
                <w:lang w:val="ru-RU"/>
              </w:rPr>
              <w:t>Год</w:t>
            </w:r>
          </w:p>
        </w:tc>
        <w:tc>
          <w:tcPr>
            <w:tcW w:w="3075" w:type="pct"/>
            <w:shd w:val="clear" w:color="auto" w:fill="F0F9FE"/>
          </w:tcPr>
          <w:p w14:paraId="173DF464" w14:textId="77777777" w:rsidR="00513EBA" w:rsidRPr="00436C05" w:rsidRDefault="00513EBA" w:rsidP="00661A59">
            <w:pPr>
              <w:pStyle w:val="ListParagraph"/>
              <w:spacing w:before="120" w:after="120"/>
              <w:contextualSpacing w:val="0"/>
              <w:jc w:val="center"/>
              <w:rPr>
                <w:rFonts w:eastAsia="Verdana" w:cs="Verdana"/>
                <w:i/>
                <w:iCs/>
                <w:color w:val="000000" w:themeColor="text1"/>
                <w:sz w:val="18"/>
                <w:szCs w:val="18"/>
              </w:rPr>
            </w:pPr>
            <w:r w:rsidRPr="00436C05">
              <w:rPr>
                <w:i/>
                <w:iCs/>
                <w:sz w:val="18"/>
                <w:szCs w:val="18"/>
                <w:lang w:val="ru-RU"/>
              </w:rPr>
              <w:t>Проект</w:t>
            </w:r>
          </w:p>
        </w:tc>
        <w:tc>
          <w:tcPr>
            <w:tcW w:w="642" w:type="pct"/>
            <w:shd w:val="clear" w:color="auto" w:fill="F0F9FE"/>
          </w:tcPr>
          <w:p w14:paraId="3ED56C75" w14:textId="77777777" w:rsidR="00513EBA" w:rsidRPr="00436C05" w:rsidRDefault="00513EBA" w:rsidP="00661A59">
            <w:pPr>
              <w:spacing w:before="120" w:after="120"/>
              <w:jc w:val="center"/>
              <w:rPr>
                <w:rFonts w:eastAsia="Verdana" w:cs="Verdana"/>
                <w:i/>
                <w:iCs/>
                <w:color w:val="000000" w:themeColor="text1"/>
                <w:sz w:val="18"/>
                <w:szCs w:val="18"/>
              </w:rPr>
            </w:pPr>
            <w:r w:rsidRPr="00436C05">
              <w:rPr>
                <w:i/>
                <w:iCs/>
                <w:sz w:val="18"/>
                <w:szCs w:val="18"/>
                <w:lang w:val="ru-RU"/>
              </w:rPr>
              <w:t>Примечания</w:t>
            </w:r>
          </w:p>
        </w:tc>
      </w:tr>
      <w:tr w:rsidR="00513EBA" w:rsidRPr="00436C05" w14:paraId="70B6F411" w14:textId="77777777" w:rsidTr="00661A59">
        <w:trPr>
          <w:trHeight w:val="300"/>
        </w:trPr>
        <w:tc>
          <w:tcPr>
            <w:tcW w:w="792" w:type="pct"/>
            <w:vAlign w:val="center"/>
          </w:tcPr>
          <w:p w14:paraId="6F6285A4" w14:textId="77777777" w:rsidR="00513EBA" w:rsidRPr="00436C05" w:rsidRDefault="00513EBA" w:rsidP="00661A59">
            <w:pPr>
              <w:spacing w:before="120" w:after="120"/>
              <w:jc w:val="left"/>
              <w:rPr>
                <w:rFonts w:eastAsia="Verdana" w:cs="Verdana"/>
                <w:color w:val="000000" w:themeColor="text1"/>
                <w:sz w:val="18"/>
                <w:szCs w:val="18"/>
              </w:rPr>
            </w:pPr>
            <w:r w:rsidRPr="00436C05">
              <w:rPr>
                <w:sz w:val="18"/>
                <w:szCs w:val="18"/>
                <w:lang w:val="ru-RU"/>
              </w:rPr>
              <w:t>Северная Македония</w:t>
            </w:r>
          </w:p>
        </w:tc>
        <w:tc>
          <w:tcPr>
            <w:tcW w:w="491" w:type="pct"/>
            <w:vAlign w:val="center"/>
          </w:tcPr>
          <w:p w14:paraId="31ADE156" w14:textId="65A53A1E" w:rsidR="00513EBA" w:rsidRPr="00436C05" w:rsidRDefault="00513EBA" w:rsidP="00661A59">
            <w:pPr>
              <w:spacing w:before="120" w:after="120"/>
              <w:jc w:val="left"/>
              <w:rPr>
                <w:rFonts w:eastAsia="Verdana" w:cs="Verdana"/>
                <w:color w:val="000000" w:themeColor="text1"/>
                <w:sz w:val="18"/>
                <w:szCs w:val="18"/>
              </w:rPr>
            </w:pPr>
            <w:r w:rsidRPr="00436C05">
              <w:rPr>
                <w:sz w:val="18"/>
                <w:szCs w:val="18"/>
                <w:lang w:val="ru-RU"/>
              </w:rPr>
              <w:t>2018</w:t>
            </w:r>
          </w:p>
        </w:tc>
        <w:tc>
          <w:tcPr>
            <w:tcW w:w="3075" w:type="pct"/>
            <w:vAlign w:val="center"/>
          </w:tcPr>
          <w:p w14:paraId="76AA6459" w14:textId="77777777" w:rsidR="00513EBA" w:rsidRPr="00436C05" w:rsidRDefault="00513EBA" w:rsidP="00661A59">
            <w:pPr>
              <w:spacing w:before="120" w:after="120"/>
              <w:jc w:val="left"/>
              <w:rPr>
                <w:rFonts w:eastAsia="Calibri" w:cs="Calibri"/>
                <w:color w:val="000000" w:themeColor="text1"/>
                <w:sz w:val="18"/>
                <w:szCs w:val="18"/>
                <w:lang w:val="ru-RU"/>
              </w:rPr>
            </w:pPr>
            <w:r w:rsidRPr="00436C05">
              <w:rPr>
                <w:sz w:val="18"/>
                <w:szCs w:val="18"/>
                <w:lang w:val="ru-RU"/>
              </w:rPr>
              <w:t xml:space="preserve">Закупка оборудования для пакета метеорологических коммуникаций и приложений (METCAP) Plus, программного обеспечения и оборудования для визуализации, а также установка негидростатических моделей </w:t>
            </w:r>
            <w:proofErr w:type="spellStart"/>
            <w:r w:rsidRPr="00436C05">
              <w:rPr>
                <w:sz w:val="18"/>
                <w:szCs w:val="18"/>
                <w:lang w:val="ru-RU"/>
              </w:rPr>
              <w:t>NMM</w:t>
            </w:r>
            <w:proofErr w:type="spellEnd"/>
            <w:r w:rsidRPr="00436C05">
              <w:rPr>
                <w:sz w:val="18"/>
                <w:szCs w:val="18"/>
                <w:lang w:val="ru-RU"/>
              </w:rPr>
              <w:t xml:space="preserve">-B и </w:t>
            </w:r>
            <w:proofErr w:type="spellStart"/>
            <w:r w:rsidRPr="00436C05">
              <w:rPr>
                <w:sz w:val="18"/>
                <w:szCs w:val="18"/>
                <w:lang w:val="ru-RU"/>
              </w:rPr>
              <w:t>NMM</w:t>
            </w:r>
            <w:proofErr w:type="spellEnd"/>
            <w:r w:rsidRPr="00436C05">
              <w:rPr>
                <w:sz w:val="18"/>
                <w:szCs w:val="18"/>
                <w:lang w:val="ru-RU"/>
              </w:rPr>
              <w:t>-E</w:t>
            </w:r>
          </w:p>
        </w:tc>
        <w:tc>
          <w:tcPr>
            <w:tcW w:w="642" w:type="pct"/>
            <w:vAlign w:val="center"/>
          </w:tcPr>
          <w:p w14:paraId="01D8AECF" w14:textId="77777777" w:rsidR="00513EBA" w:rsidRPr="00436C05" w:rsidRDefault="00513EBA" w:rsidP="00661A59">
            <w:pPr>
              <w:spacing w:before="120" w:after="120"/>
              <w:jc w:val="left"/>
              <w:rPr>
                <w:rFonts w:eastAsia="Verdana" w:cs="Verdana"/>
                <w:color w:val="000000" w:themeColor="text1"/>
                <w:sz w:val="18"/>
                <w:szCs w:val="18"/>
              </w:rPr>
            </w:pPr>
            <w:r w:rsidRPr="00436C05">
              <w:rPr>
                <w:sz w:val="18"/>
                <w:szCs w:val="18"/>
                <w:lang w:val="ru-RU"/>
              </w:rPr>
              <w:t>Текущий</w:t>
            </w:r>
          </w:p>
        </w:tc>
      </w:tr>
      <w:tr w:rsidR="00513EBA" w:rsidRPr="00436C05" w14:paraId="092746E2" w14:textId="77777777" w:rsidTr="00661A59">
        <w:trPr>
          <w:trHeight w:val="300"/>
        </w:trPr>
        <w:tc>
          <w:tcPr>
            <w:tcW w:w="792" w:type="pct"/>
            <w:vAlign w:val="center"/>
          </w:tcPr>
          <w:p w14:paraId="35BE2B36" w14:textId="77777777" w:rsidR="00513EBA" w:rsidRPr="00436C05" w:rsidRDefault="00513EBA" w:rsidP="00661A59">
            <w:pPr>
              <w:spacing w:before="120" w:after="120"/>
              <w:jc w:val="left"/>
              <w:rPr>
                <w:rFonts w:eastAsia="Verdana" w:cs="Verdana"/>
                <w:color w:val="000000" w:themeColor="text1"/>
                <w:sz w:val="18"/>
                <w:szCs w:val="18"/>
              </w:rPr>
            </w:pPr>
            <w:r w:rsidRPr="00436C05">
              <w:rPr>
                <w:sz w:val="18"/>
                <w:szCs w:val="18"/>
                <w:lang w:val="ru-RU"/>
              </w:rPr>
              <w:t>Республика Молдова</w:t>
            </w:r>
          </w:p>
        </w:tc>
        <w:tc>
          <w:tcPr>
            <w:tcW w:w="491" w:type="pct"/>
            <w:vAlign w:val="center"/>
          </w:tcPr>
          <w:p w14:paraId="5B8C8AE9" w14:textId="1BFC84C1" w:rsidR="00513EBA" w:rsidRPr="00436C05" w:rsidRDefault="00513EBA" w:rsidP="00661A59">
            <w:pPr>
              <w:spacing w:before="120" w:after="120"/>
              <w:jc w:val="left"/>
              <w:rPr>
                <w:rFonts w:eastAsia="Verdana" w:cs="Verdana"/>
                <w:color w:val="000000" w:themeColor="text1"/>
                <w:sz w:val="18"/>
                <w:szCs w:val="18"/>
              </w:rPr>
            </w:pPr>
            <w:r w:rsidRPr="00436C05">
              <w:rPr>
                <w:sz w:val="18"/>
                <w:szCs w:val="18"/>
                <w:lang w:val="ru-RU"/>
              </w:rPr>
              <w:t>2022</w:t>
            </w:r>
          </w:p>
        </w:tc>
        <w:tc>
          <w:tcPr>
            <w:tcW w:w="3075" w:type="pct"/>
            <w:vAlign w:val="center"/>
          </w:tcPr>
          <w:p w14:paraId="39B9F3BF" w14:textId="77777777" w:rsidR="00513EBA" w:rsidRPr="00436C05" w:rsidRDefault="00513EBA" w:rsidP="00661A59">
            <w:pPr>
              <w:spacing w:before="120" w:after="120"/>
              <w:jc w:val="left"/>
              <w:rPr>
                <w:rFonts w:eastAsia="Verdana" w:cs="Verdana"/>
                <w:sz w:val="18"/>
                <w:szCs w:val="18"/>
                <w:lang w:val="ru-RU"/>
              </w:rPr>
            </w:pPr>
            <w:r w:rsidRPr="00436C05">
              <w:rPr>
                <w:sz w:val="18"/>
                <w:szCs w:val="18"/>
                <w:lang w:val="ru-RU"/>
              </w:rPr>
              <w:t>Помощь в укреплении потенциала по предотвращению стихийных бедствий на трансграничной реке Днестр в связи с войной в Украине</w:t>
            </w:r>
          </w:p>
        </w:tc>
        <w:tc>
          <w:tcPr>
            <w:tcW w:w="642" w:type="pct"/>
            <w:vAlign w:val="center"/>
          </w:tcPr>
          <w:p w14:paraId="2DC8BDD4" w14:textId="77777777" w:rsidR="00513EBA" w:rsidRPr="00436C05" w:rsidRDefault="00513EBA" w:rsidP="00661A59">
            <w:pPr>
              <w:spacing w:before="120" w:after="120"/>
              <w:jc w:val="left"/>
              <w:rPr>
                <w:rFonts w:eastAsia="Verdana" w:cs="Verdana"/>
                <w:color w:val="000000" w:themeColor="text1"/>
                <w:sz w:val="18"/>
                <w:szCs w:val="18"/>
              </w:rPr>
            </w:pPr>
            <w:r w:rsidRPr="00436C05">
              <w:rPr>
                <w:sz w:val="18"/>
                <w:szCs w:val="18"/>
                <w:lang w:val="ru-RU"/>
              </w:rPr>
              <w:t>Закончен</w:t>
            </w:r>
          </w:p>
        </w:tc>
      </w:tr>
      <w:tr w:rsidR="00513EBA" w:rsidRPr="00436C05" w14:paraId="7426E8F7" w14:textId="77777777" w:rsidTr="00661A59">
        <w:trPr>
          <w:trHeight w:val="300"/>
        </w:trPr>
        <w:tc>
          <w:tcPr>
            <w:tcW w:w="792" w:type="pct"/>
            <w:vAlign w:val="center"/>
          </w:tcPr>
          <w:p w14:paraId="42D70FE9" w14:textId="77777777" w:rsidR="00513EBA" w:rsidRPr="00436C05" w:rsidRDefault="00513EBA" w:rsidP="00661A59">
            <w:pPr>
              <w:spacing w:before="120" w:after="120"/>
              <w:jc w:val="left"/>
              <w:rPr>
                <w:rFonts w:eastAsia="Verdana" w:cs="Verdana"/>
                <w:color w:val="000000" w:themeColor="text1"/>
                <w:sz w:val="18"/>
                <w:szCs w:val="18"/>
              </w:rPr>
            </w:pPr>
            <w:r w:rsidRPr="00436C05">
              <w:rPr>
                <w:sz w:val="18"/>
                <w:szCs w:val="18"/>
                <w:lang w:val="ru-RU"/>
              </w:rPr>
              <w:t xml:space="preserve">Армения </w:t>
            </w:r>
          </w:p>
        </w:tc>
        <w:tc>
          <w:tcPr>
            <w:tcW w:w="491" w:type="pct"/>
            <w:vAlign w:val="center"/>
          </w:tcPr>
          <w:p w14:paraId="4F8A463E" w14:textId="544A96BD" w:rsidR="00513EBA" w:rsidRPr="00436C05" w:rsidRDefault="00513EBA" w:rsidP="00661A59">
            <w:pPr>
              <w:spacing w:before="120" w:after="120"/>
              <w:jc w:val="left"/>
              <w:rPr>
                <w:rFonts w:eastAsia="Verdana" w:cs="Verdana"/>
                <w:color w:val="000000" w:themeColor="text1"/>
                <w:sz w:val="18"/>
                <w:szCs w:val="18"/>
              </w:rPr>
            </w:pPr>
            <w:r w:rsidRPr="00436C05">
              <w:rPr>
                <w:sz w:val="18"/>
                <w:szCs w:val="18"/>
                <w:lang w:val="ru-RU"/>
              </w:rPr>
              <w:t>2024</w:t>
            </w:r>
          </w:p>
        </w:tc>
        <w:tc>
          <w:tcPr>
            <w:tcW w:w="3075" w:type="pct"/>
            <w:vAlign w:val="center"/>
          </w:tcPr>
          <w:p w14:paraId="06B5A83F" w14:textId="77777777" w:rsidR="00513EBA" w:rsidRPr="00436C05" w:rsidRDefault="00513EBA" w:rsidP="00661A59">
            <w:pPr>
              <w:spacing w:before="120" w:after="120"/>
              <w:jc w:val="left"/>
              <w:rPr>
                <w:rFonts w:eastAsia="Verdana" w:cs="Verdana"/>
                <w:color w:val="000000" w:themeColor="text1"/>
                <w:sz w:val="18"/>
                <w:szCs w:val="18"/>
              </w:rPr>
            </w:pPr>
            <w:r w:rsidRPr="00436C05">
              <w:rPr>
                <w:sz w:val="18"/>
                <w:szCs w:val="18"/>
                <w:lang w:val="ru-RU"/>
              </w:rPr>
              <w:t>Структурные изменения в Армгидромете</w:t>
            </w:r>
          </w:p>
        </w:tc>
        <w:tc>
          <w:tcPr>
            <w:tcW w:w="642" w:type="pct"/>
            <w:vAlign w:val="center"/>
          </w:tcPr>
          <w:p w14:paraId="020425B3" w14:textId="77777777" w:rsidR="00513EBA" w:rsidRPr="00436C05" w:rsidRDefault="00513EBA" w:rsidP="00661A59">
            <w:pPr>
              <w:spacing w:before="120" w:after="120"/>
              <w:jc w:val="left"/>
              <w:rPr>
                <w:rFonts w:eastAsia="Verdana" w:cs="Verdana"/>
                <w:color w:val="000000" w:themeColor="text1"/>
                <w:sz w:val="18"/>
                <w:szCs w:val="18"/>
              </w:rPr>
            </w:pPr>
            <w:r w:rsidRPr="00436C05">
              <w:rPr>
                <w:sz w:val="18"/>
                <w:szCs w:val="18"/>
                <w:lang w:val="ru-RU"/>
              </w:rPr>
              <w:t>Текущий</w:t>
            </w:r>
          </w:p>
        </w:tc>
      </w:tr>
    </w:tbl>
    <w:p w14:paraId="13C43AA1" w14:textId="71746F93" w:rsidR="00513EBA" w:rsidRPr="00436C05" w:rsidRDefault="00513EBA" w:rsidP="00513EBA">
      <w:pPr>
        <w:pStyle w:val="WMOSubTitle1"/>
        <w:rPr>
          <w:lang w:val="ru-RU"/>
        </w:rPr>
      </w:pPr>
      <w:r>
        <w:rPr>
          <w:bCs/>
          <w:iCs/>
          <w:lang w:val="ru-RU"/>
        </w:rPr>
        <w:t xml:space="preserve">Инвестиции </w:t>
      </w:r>
      <w:proofErr w:type="spellStart"/>
      <w:r>
        <w:rPr>
          <w:bCs/>
          <w:iCs/>
          <w:lang w:val="ru-RU"/>
        </w:rPr>
        <w:t>РA</w:t>
      </w:r>
      <w:proofErr w:type="spellEnd"/>
      <w:r>
        <w:rPr>
          <w:bCs/>
          <w:iCs/>
          <w:lang w:val="ru-RU"/>
        </w:rPr>
        <w:t xml:space="preserve"> VI в проекты, связанные с ПДС:</w:t>
      </w:r>
    </w:p>
    <w:tbl>
      <w:tblPr>
        <w:tblStyle w:val="TableGrid"/>
        <w:tblW w:w="0" w:type="auto"/>
        <w:tblLayout w:type="fixed"/>
        <w:tblLook w:val="06A0" w:firstRow="1" w:lastRow="0" w:firstColumn="1" w:lastColumn="0" w:noHBand="1" w:noVBand="1"/>
      </w:tblPr>
      <w:tblGrid>
        <w:gridCol w:w="1521"/>
        <w:gridCol w:w="1489"/>
        <w:gridCol w:w="1042"/>
        <w:gridCol w:w="4239"/>
        <w:gridCol w:w="1338"/>
      </w:tblGrid>
      <w:tr w:rsidR="00513EBA" w:rsidRPr="00436C05" w14:paraId="24CB4F59" w14:textId="77777777" w:rsidTr="00436C05">
        <w:trPr>
          <w:trHeight w:val="660"/>
          <w:tblHeader/>
        </w:trPr>
        <w:tc>
          <w:tcPr>
            <w:tcW w:w="1521" w:type="dxa"/>
            <w:shd w:val="clear" w:color="auto" w:fill="F0F9FE"/>
            <w:vAlign w:val="center"/>
          </w:tcPr>
          <w:p w14:paraId="1B4069F4" w14:textId="77777777" w:rsidR="00513EBA" w:rsidRPr="00436C05" w:rsidRDefault="00513EBA" w:rsidP="005F4A70">
            <w:pPr>
              <w:spacing w:before="120" w:after="120"/>
              <w:jc w:val="center"/>
              <w:rPr>
                <w:rFonts w:eastAsia="Verdana" w:cs="Verdana"/>
                <w:i/>
                <w:iCs/>
                <w:color w:val="000000" w:themeColor="text1"/>
                <w:sz w:val="18"/>
                <w:szCs w:val="18"/>
              </w:rPr>
            </w:pPr>
            <w:r w:rsidRPr="00436C05">
              <w:rPr>
                <w:i/>
                <w:iCs/>
                <w:sz w:val="18"/>
                <w:szCs w:val="18"/>
                <w:lang w:val="ru-RU"/>
              </w:rPr>
              <w:t>Участники инвестирования</w:t>
            </w:r>
          </w:p>
        </w:tc>
        <w:tc>
          <w:tcPr>
            <w:tcW w:w="1489" w:type="dxa"/>
            <w:shd w:val="clear" w:color="auto" w:fill="F0F9FE"/>
            <w:vAlign w:val="center"/>
          </w:tcPr>
          <w:p w14:paraId="112D76C2" w14:textId="77777777" w:rsidR="00513EBA" w:rsidRPr="00436C05" w:rsidRDefault="00513EBA" w:rsidP="005F4A70">
            <w:pPr>
              <w:spacing w:before="120" w:after="120"/>
              <w:jc w:val="center"/>
              <w:rPr>
                <w:rFonts w:eastAsia="Verdana" w:cs="Verdana"/>
                <w:i/>
                <w:iCs/>
                <w:color w:val="000000" w:themeColor="text1"/>
                <w:sz w:val="18"/>
                <w:szCs w:val="18"/>
              </w:rPr>
            </w:pPr>
            <w:r w:rsidRPr="00436C05">
              <w:rPr>
                <w:i/>
                <w:iCs/>
                <w:sz w:val="18"/>
                <w:szCs w:val="18"/>
                <w:lang w:val="ru-RU"/>
              </w:rPr>
              <w:t>Бенефициар</w:t>
            </w:r>
          </w:p>
        </w:tc>
        <w:tc>
          <w:tcPr>
            <w:tcW w:w="1042" w:type="dxa"/>
            <w:shd w:val="clear" w:color="auto" w:fill="F0F9FE"/>
            <w:vAlign w:val="center"/>
          </w:tcPr>
          <w:p w14:paraId="18319E09" w14:textId="77777777" w:rsidR="00513EBA" w:rsidRPr="00436C05" w:rsidRDefault="00513EBA" w:rsidP="005F4A70">
            <w:pPr>
              <w:spacing w:before="120" w:after="120"/>
              <w:jc w:val="center"/>
              <w:rPr>
                <w:rFonts w:eastAsia="Verdana" w:cs="Verdana"/>
                <w:i/>
                <w:iCs/>
                <w:color w:val="000000" w:themeColor="text1"/>
                <w:sz w:val="18"/>
                <w:szCs w:val="18"/>
              </w:rPr>
            </w:pPr>
            <w:r w:rsidRPr="00436C05">
              <w:rPr>
                <w:i/>
                <w:iCs/>
                <w:sz w:val="18"/>
                <w:szCs w:val="18"/>
                <w:lang w:val="ru-RU"/>
              </w:rPr>
              <w:t>Год</w:t>
            </w:r>
          </w:p>
        </w:tc>
        <w:tc>
          <w:tcPr>
            <w:tcW w:w="4239" w:type="dxa"/>
            <w:shd w:val="clear" w:color="auto" w:fill="F0F9FE"/>
            <w:vAlign w:val="center"/>
          </w:tcPr>
          <w:p w14:paraId="42888388" w14:textId="77777777" w:rsidR="00513EBA" w:rsidRPr="00436C05" w:rsidRDefault="00513EBA" w:rsidP="005F4A70">
            <w:pPr>
              <w:pStyle w:val="ListParagraph"/>
              <w:spacing w:before="120" w:after="120"/>
              <w:contextualSpacing w:val="0"/>
              <w:jc w:val="center"/>
              <w:rPr>
                <w:rFonts w:eastAsia="Verdana" w:cs="Verdana"/>
                <w:i/>
                <w:iCs/>
                <w:color w:val="000000" w:themeColor="text1"/>
                <w:sz w:val="18"/>
                <w:szCs w:val="18"/>
              </w:rPr>
            </w:pPr>
            <w:r w:rsidRPr="00436C05">
              <w:rPr>
                <w:i/>
                <w:iCs/>
                <w:sz w:val="18"/>
                <w:szCs w:val="18"/>
                <w:lang w:val="ru-RU"/>
              </w:rPr>
              <w:t>Проект</w:t>
            </w:r>
          </w:p>
        </w:tc>
        <w:tc>
          <w:tcPr>
            <w:tcW w:w="1338" w:type="dxa"/>
            <w:shd w:val="clear" w:color="auto" w:fill="F0F9FE"/>
            <w:vAlign w:val="center"/>
          </w:tcPr>
          <w:p w14:paraId="0A2ABE18" w14:textId="77777777" w:rsidR="00513EBA" w:rsidRPr="00436C05" w:rsidRDefault="00513EBA" w:rsidP="005F4A70">
            <w:pPr>
              <w:spacing w:before="120" w:after="120"/>
              <w:jc w:val="center"/>
              <w:rPr>
                <w:rFonts w:eastAsia="Verdana" w:cs="Verdana"/>
                <w:i/>
                <w:iCs/>
                <w:color w:val="000000" w:themeColor="text1"/>
                <w:sz w:val="18"/>
                <w:szCs w:val="18"/>
              </w:rPr>
            </w:pPr>
            <w:r w:rsidRPr="00436C05">
              <w:rPr>
                <w:i/>
                <w:iCs/>
                <w:sz w:val="18"/>
                <w:szCs w:val="18"/>
                <w:lang w:val="ru-RU"/>
              </w:rPr>
              <w:t>Примечания</w:t>
            </w:r>
          </w:p>
        </w:tc>
      </w:tr>
      <w:tr w:rsidR="00513EBA" w:rsidRPr="00436C05" w14:paraId="3D5C37A3" w14:textId="77777777" w:rsidTr="00661A59">
        <w:trPr>
          <w:trHeight w:val="691"/>
        </w:trPr>
        <w:tc>
          <w:tcPr>
            <w:tcW w:w="1521" w:type="dxa"/>
            <w:vAlign w:val="center"/>
          </w:tcPr>
          <w:p w14:paraId="26AFDEC1" w14:textId="77777777" w:rsidR="00513EBA" w:rsidRPr="00436C05" w:rsidRDefault="00513EBA" w:rsidP="005F4A70">
            <w:pPr>
              <w:spacing w:before="120" w:after="120"/>
              <w:rPr>
                <w:rFonts w:eastAsia="Verdana" w:cs="Verdana"/>
                <w:color w:val="000000" w:themeColor="text1"/>
                <w:sz w:val="18"/>
                <w:szCs w:val="18"/>
              </w:rPr>
            </w:pPr>
            <w:r w:rsidRPr="00436C05">
              <w:rPr>
                <w:sz w:val="18"/>
                <w:szCs w:val="18"/>
                <w:lang w:val="ru-RU"/>
              </w:rPr>
              <w:t>Финляндия</w:t>
            </w:r>
          </w:p>
        </w:tc>
        <w:tc>
          <w:tcPr>
            <w:tcW w:w="1489" w:type="dxa"/>
            <w:vAlign w:val="center"/>
          </w:tcPr>
          <w:p w14:paraId="44014849" w14:textId="77777777" w:rsidR="00513EBA" w:rsidRPr="00436C05" w:rsidRDefault="00513EBA" w:rsidP="005F4A70">
            <w:pPr>
              <w:spacing w:before="120" w:after="120"/>
              <w:rPr>
                <w:rFonts w:eastAsia="Verdana" w:cs="Verdana"/>
                <w:color w:val="000000" w:themeColor="text1"/>
                <w:sz w:val="18"/>
                <w:szCs w:val="18"/>
              </w:rPr>
            </w:pPr>
            <w:r w:rsidRPr="00436C05">
              <w:rPr>
                <w:sz w:val="18"/>
                <w:szCs w:val="18"/>
                <w:lang w:val="ru-RU"/>
              </w:rPr>
              <w:t>Украина</w:t>
            </w:r>
          </w:p>
        </w:tc>
        <w:tc>
          <w:tcPr>
            <w:tcW w:w="1042" w:type="dxa"/>
            <w:vAlign w:val="center"/>
          </w:tcPr>
          <w:p w14:paraId="003EFEE0" w14:textId="77777777" w:rsidR="00513EBA" w:rsidRPr="00436C05" w:rsidRDefault="00513EBA" w:rsidP="005F4A70">
            <w:pPr>
              <w:spacing w:before="120" w:after="120"/>
              <w:rPr>
                <w:rFonts w:eastAsia="Verdana" w:cs="Verdana"/>
                <w:color w:val="000000" w:themeColor="text1"/>
                <w:sz w:val="18"/>
                <w:szCs w:val="18"/>
              </w:rPr>
            </w:pPr>
            <w:r w:rsidRPr="00436C05">
              <w:rPr>
                <w:sz w:val="18"/>
                <w:szCs w:val="18"/>
                <w:lang w:val="ru-RU"/>
              </w:rPr>
              <w:t>2023</w:t>
            </w:r>
          </w:p>
        </w:tc>
        <w:tc>
          <w:tcPr>
            <w:tcW w:w="4239" w:type="dxa"/>
            <w:vAlign w:val="center"/>
          </w:tcPr>
          <w:p w14:paraId="0BC48F80" w14:textId="77777777" w:rsidR="00513EBA" w:rsidRPr="00436C05" w:rsidRDefault="00513EBA" w:rsidP="005F4A70">
            <w:pPr>
              <w:spacing w:before="120" w:after="120"/>
              <w:jc w:val="left"/>
              <w:rPr>
                <w:sz w:val="18"/>
                <w:szCs w:val="18"/>
              </w:rPr>
            </w:pPr>
            <w:r w:rsidRPr="00436C05">
              <w:rPr>
                <w:sz w:val="18"/>
                <w:szCs w:val="18"/>
                <w:lang w:val="ru-RU"/>
              </w:rPr>
              <w:t xml:space="preserve">Модернизация метеорологических служб Украины </w:t>
            </w:r>
          </w:p>
        </w:tc>
        <w:tc>
          <w:tcPr>
            <w:tcW w:w="1338" w:type="dxa"/>
            <w:vAlign w:val="center"/>
          </w:tcPr>
          <w:p w14:paraId="0EC1D6DB" w14:textId="77777777" w:rsidR="00513EBA" w:rsidRPr="00436C05" w:rsidRDefault="00513EBA" w:rsidP="005F4A70">
            <w:pPr>
              <w:spacing w:before="120" w:after="120"/>
              <w:rPr>
                <w:rFonts w:eastAsia="Verdana" w:cs="Verdana"/>
                <w:color w:val="000000" w:themeColor="text1"/>
                <w:sz w:val="18"/>
                <w:szCs w:val="18"/>
              </w:rPr>
            </w:pPr>
            <w:r w:rsidRPr="00436C05">
              <w:rPr>
                <w:sz w:val="18"/>
                <w:szCs w:val="18"/>
                <w:lang w:val="ru-RU"/>
              </w:rPr>
              <w:t>Текущий</w:t>
            </w:r>
          </w:p>
        </w:tc>
      </w:tr>
      <w:tr w:rsidR="00513EBA" w:rsidRPr="00436C05" w14:paraId="68A268AC" w14:textId="77777777" w:rsidTr="00661A59">
        <w:trPr>
          <w:trHeight w:val="300"/>
        </w:trPr>
        <w:tc>
          <w:tcPr>
            <w:tcW w:w="1521" w:type="dxa"/>
            <w:vAlign w:val="center"/>
          </w:tcPr>
          <w:p w14:paraId="15CF39A1" w14:textId="77777777" w:rsidR="00513EBA" w:rsidRPr="00436C05" w:rsidRDefault="00513EBA" w:rsidP="005F4A70">
            <w:pPr>
              <w:spacing w:before="120" w:after="120"/>
              <w:rPr>
                <w:rFonts w:eastAsia="Verdana" w:cs="Verdana"/>
                <w:sz w:val="18"/>
                <w:szCs w:val="18"/>
              </w:rPr>
            </w:pPr>
            <w:r w:rsidRPr="00436C05">
              <w:rPr>
                <w:sz w:val="18"/>
                <w:szCs w:val="18"/>
                <w:lang w:val="ru-RU"/>
              </w:rPr>
              <w:t>Швейцария</w:t>
            </w:r>
          </w:p>
        </w:tc>
        <w:tc>
          <w:tcPr>
            <w:tcW w:w="1489" w:type="dxa"/>
            <w:vAlign w:val="center"/>
          </w:tcPr>
          <w:p w14:paraId="49E28358" w14:textId="77777777" w:rsidR="00513EBA" w:rsidRPr="00436C05" w:rsidRDefault="00513EBA" w:rsidP="005F4A70">
            <w:pPr>
              <w:spacing w:before="120" w:after="120"/>
              <w:rPr>
                <w:rFonts w:eastAsia="Verdana" w:cs="Verdana"/>
                <w:sz w:val="18"/>
                <w:szCs w:val="18"/>
              </w:rPr>
            </w:pPr>
            <w:r w:rsidRPr="00436C05">
              <w:rPr>
                <w:sz w:val="18"/>
                <w:szCs w:val="18"/>
                <w:lang w:val="ru-RU"/>
              </w:rPr>
              <w:t>Албания</w:t>
            </w:r>
          </w:p>
        </w:tc>
        <w:tc>
          <w:tcPr>
            <w:tcW w:w="1042" w:type="dxa"/>
            <w:vAlign w:val="center"/>
          </w:tcPr>
          <w:p w14:paraId="11D5A71B" w14:textId="77777777" w:rsidR="00513EBA" w:rsidRPr="00436C05" w:rsidRDefault="00513EBA" w:rsidP="005F4A70">
            <w:pPr>
              <w:spacing w:before="120" w:after="120"/>
              <w:rPr>
                <w:rFonts w:eastAsia="Verdana" w:cs="Verdana"/>
                <w:color w:val="000000" w:themeColor="text1"/>
                <w:sz w:val="18"/>
                <w:szCs w:val="18"/>
              </w:rPr>
            </w:pPr>
            <w:r w:rsidRPr="00436C05">
              <w:rPr>
                <w:sz w:val="18"/>
                <w:szCs w:val="18"/>
                <w:lang w:val="ru-RU"/>
              </w:rPr>
              <w:t>2023</w:t>
            </w:r>
          </w:p>
        </w:tc>
        <w:tc>
          <w:tcPr>
            <w:tcW w:w="4239" w:type="dxa"/>
            <w:vAlign w:val="center"/>
          </w:tcPr>
          <w:p w14:paraId="4C786C02" w14:textId="77777777" w:rsidR="00513EBA" w:rsidRPr="00436C05" w:rsidRDefault="00513EBA" w:rsidP="005F4A70">
            <w:pPr>
              <w:spacing w:before="120" w:after="120"/>
              <w:jc w:val="left"/>
              <w:rPr>
                <w:rFonts w:eastAsia="Verdana" w:cs="Verdana"/>
                <w:sz w:val="18"/>
                <w:szCs w:val="18"/>
                <w:lang w:val="ru-RU"/>
              </w:rPr>
            </w:pPr>
            <w:r w:rsidRPr="00436C05">
              <w:rPr>
                <w:i/>
                <w:iCs/>
                <w:sz w:val="18"/>
                <w:szCs w:val="18"/>
                <w:lang w:val="ru-RU"/>
              </w:rPr>
              <w:t>ALBAdapt - Климатические услуги для устойчивой Албании</w:t>
            </w:r>
          </w:p>
        </w:tc>
        <w:tc>
          <w:tcPr>
            <w:tcW w:w="1338" w:type="dxa"/>
            <w:vAlign w:val="center"/>
          </w:tcPr>
          <w:p w14:paraId="42D46138" w14:textId="77777777" w:rsidR="00513EBA" w:rsidRPr="00436C05" w:rsidRDefault="00513EBA" w:rsidP="005F4A70">
            <w:pPr>
              <w:spacing w:before="120" w:after="120"/>
              <w:rPr>
                <w:rFonts w:eastAsia="Verdana" w:cs="Verdana"/>
                <w:color w:val="000000" w:themeColor="text1"/>
                <w:sz w:val="18"/>
                <w:szCs w:val="18"/>
              </w:rPr>
            </w:pPr>
            <w:r w:rsidRPr="00436C05">
              <w:rPr>
                <w:sz w:val="18"/>
                <w:szCs w:val="18"/>
                <w:lang w:val="ru-RU"/>
              </w:rPr>
              <w:t>Текущий</w:t>
            </w:r>
          </w:p>
        </w:tc>
      </w:tr>
      <w:tr w:rsidR="00513EBA" w:rsidRPr="00436C05" w14:paraId="1A2CD9C3" w14:textId="77777777" w:rsidTr="00661A59">
        <w:trPr>
          <w:trHeight w:val="585"/>
        </w:trPr>
        <w:tc>
          <w:tcPr>
            <w:tcW w:w="1521" w:type="dxa"/>
            <w:vMerge w:val="restart"/>
            <w:vAlign w:val="center"/>
          </w:tcPr>
          <w:p w14:paraId="39968BB1" w14:textId="77777777" w:rsidR="00513EBA" w:rsidRPr="00436C05" w:rsidRDefault="00513EBA" w:rsidP="005F4A70">
            <w:pPr>
              <w:spacing w:before="120" w:after="120"/>
              <w:rPr>
                <w:sz w:val="18"/>
                <w:szCs w:val="18"/>
              </w:rPr>
            </w:pPr>
            <w:r w:rsidRPr="00436C05">
              <w:rPr>
                <w:sz w:val="18"/>
                <w:szCs w:val="18"/>
                <w:lang w:val="ru-RU"/>
              </w:rPr>
              <w:t>Швеция</w:t>
            </w:r>
          </w:p>
        </w:tc>
        <w:tc>
          <w:tcPr>
            <w:tcW w:w="1489" w:type="dxa"/>
            <w:vAlign w:val="center"/>
          </w:tcPr>
          <w:p w14:paraId="5F79CCC8" w14:textId="77777777" w:rsidR="00513EBA" w:rsidRPr="00436C05" w:rsidRDefault="00513EBA" w:rsidP="005F4A70">
            <w:pPr>
              <w:spacing w:before="120" w:after="120"/>
              <w:jc w:val="left"/>
              <w:rPr>
                <w:sz w:val="18"/>
                <w:szCs w:val="18"/>
              </w:rPr>
            </w:pPr>
            <w:r w:rsidRPr="00436C05">
              <w:rPr>
                <w:sz w:val="18"/>
                <w:szCs w:val="18"/>
                <w:lang w:val="ru-RU"/>
              </w:rPr>
              <w:t>17 африканских стран</w:t>
            </w:r>
          </w:p>
        </w:tc>
        <w:tc>
          <w:tcPr>
            <w:tcW w:w="1042" w:type="dxa"/>
            <w:vAlign w:val="center"/>
          </w:tcPr>
          <w:p w14:paraId="5EB1F96F" w14:textId="77777777" w:rsidR="00513EBA" w:rsidRPr="00436C05" w:rsidRDefault="00513EBA" w:rsidP="005F4A70">
            <w:pPr>
              <w:spacing w:before="120" w:after="120"/>
              <w:rPr>
                <w:rFonts w:eastAsia="Verdana" w:cs="Verdana"/>
                <w:color w:val="000000" w:themeColor="text1"/>
                <w:sz w:val="18"/>
                <w:szCs w:val="18"/>
              </w:rPr>
            </w:pPr>
            <w:r w:rsidRPr="00436C05">
              <w:rPr>
                <w:sz w:val="18"/>
                <w:szCs w:val="18"/>
                <w:lang w:val="ru-RU"/>
              </w:rPr>
              <w:t>2015–2023</w:t>
            </w:r>
          </w:p>
        </w:tc>
        <w:tc>
          <w:tcPr>
            <w:tcW w:w="4239" w:type="dxa"/>
            <w:vAlign w:val="center"/>
          </w:tcPr>
          <w:p w14:paraId="6CBAFCED" w14:textId="77777777" w:rsidR="00513EBA" w:rsidRPr="00436C05" w:rsidRDefault="00513EBA" w:rsidP="005F4A70">
            <w:pPr>
              <w:spacing w:before="120" w:after="120"/>
              <w:jc w:val="left"/>
              <w:rPr>
                <w:rFonts w:eastAsia="Verdana" w:cs="Verdana"/>
                <w:sz w:val="18"/>
                <w:szCs w:val="18"/>
                <w:lang w:val="ru-RU"/>
              </w:rPr>
            </w:pPr>
            <w:r w:rsidRPr="00436C05">
              <w:rPr>
                <w:sz w:val="18"/>
                <w:szCs w:val="18"/>
                <w:lang w:val="ru-RU"/>
              </w:rPr>
              <w:t>Международная учебная программа по смягчению последствий изменения климата и адаптации к ним</w:t>
            </w:r>
          </w:p>
        </w:tc>
        <w:tc>
          <w:tcPr>
            <w:tcW w:w="1338" w:type="dxa"/>
            <w:vAlign w:val="center"/>
          </w:tcPr>
          <w:p w14:paraId="5C85F5A0" w14:textId="77777777" w:rsidR="00513EBA" w:rsidRPr="00436C05" w:rsidRDefault="00513EBA" w:rsidP="005F4A70">
            <w:pPr>
              <w:spacing w:before="120" w:after="120"/>
              <w:rPr>
                <w:rFonts w:eastAsia="Verdana" w:cs="Verdana"/>
                <w:color w:val="000000" w:themeColor="text1"/>
                <w:sz w:val="18"/>
                <w:szCs w:val="18"/>
              </w:rPr>
            </w:pPr>
            <w:r w:rsidRPr="00436C05">
              <w:rPr>
                <w:sz w:val="18"/>
                <w:szCs w:val="18"/>
                <w:lang w:val="ru-RU"/>
              </w:rPr>
              <w:t>Текущий</w:t>
            </w:r>
          </w:p>
        </w:tc>
      </w:tr>
      <w:tr w:rsidR="00513EBA" w:rsidRPr="00436C05" w14:paraId="64BF8E66" w14:textId="77777777" w:rsidTr="00661A59">
        <w:trPr>
          <w:trHeight w:val="840"/>
        </w:trPr>
        <w:tc>
          <w:tcPr>
            <w:tcW w:w="1521" w:type="dxa"/>
            <w:vMerge/>
            <w:vAlign w:val="center"/>
          </w:tcPr>
          <w:p w14:paraId="45AAD120" w14:textId="77777777" w:rsidR="00513EBA" w:rsidRPr="00436C05" w:rsidRDefault="00513EBA" w:rsidP="005F4A70">
            <w:pPr>
              <w:spacing w:before="120" w:after="120"/>
              <w:rPr>
                <w:sz w:val="18"/>
                <w:szCs w:val="18"/>
              </w:rPr>
            </w:pPr>
          </w:p>
        </w:tc>
        <w:tc>
          <w:tcPr>
            <w:tcW w:w="1489" w:type="dxa"/>
            <w:vAlign w:val="center"/>
          </w:tcPr>
          <w:p w14:paraId="452596CF" w14:textId="77777777" w:rsidR="00513EBA" w:rsidRPr="00436C05" w:rsidRDefault="00513EBA" w:rsidP="005F4A70">
            <w:pPr>
              <w:spacing w:before="120" w:after="120"/>
              <w:rPr>
                <w:sz w:val="18"/>
                <w:szCs w:val="18"/>
              </w:rPr>
            </w:pPr>
            <w:r w:rsidRPr="00436C05">
              <w:rPr>
                <w:sz w:val="18"/>
                <w:szCs w:val="18"/>
                <w:lang w:val="ru-RU"/>
              </w:rPr>
              <w:t>Зимбабве</w:t>
            </w:r>
          </w:p>
        </w:tc>
        <w:tc>
          <w:tcPr>
            <w:tcW w:w="1042" w:type="dxa"/>
            <w:vAlign w:val="center"/>
          </w:tcPr>
          <w:p w14:paraId="4E176967" w14:textId="77777777" w:rsidR="00513EBA" w:rsidRPr="00436C05" w:rsidRDefault="00513EBA" w:rsidP="005F4A70">
            <w:pPr>
              <w:spacing w:before="120" w:after="120"/>
              <w:rPr>
                <w:rFonts w:eastAsia="Verdana" w:cs="Verdana"/>
                <w:color w:val="000000" w:themeColor="text1"/>
                <w:sz w:val="18"/>
                <w:szCs w:val="18"/>
              </w:rPr>
            </w:pPr>
            <w:r w:rsidRPr="00436C05">
              <w:rPr>
                <w:sz w:val="18"/>
                <w:szCs w:val="18"/>
                <w:lang w:val="ru-RU"/>
              </w:rPr>
              <w:t>2022–2025</w:t>
            </w:r>
          </w:p>
        </w:tc>
        <w:tc>
          <w:tcPr>
            <w:tcW w:w="4239" w:type="dxa"/>
            <w:vAlign w:val="center"/>
          </w:tcPr>
          <w:p w14:paraId="733364F7" w14:textId="77777777" w:rsidR="00513EBA" w:rsidRPr="00436C05" w:rsidRDefault="00513EBA" w:rsidP="005F4A70">
            <w:pPr>
              <w:spacing w:before="120" w:after="120"/>
              <w:jc w:val="left"/>
              <w:rPr>
                <w:sz w:val="18"/>
                <w:szCs w:val="18"/>
                <w:lang w:val="ru-RU"/>
              </w:rPr>
            </w:pPr>
            <w:r w:rsidRPr="00436C05">
              <w:rPr>
                <w:sz w:val="18"/>
                <w:szCs w:val="18"/>
                <w:lang w:val="ru-RU"/>
              </w:rPr>
              <w:t>Адаптация к климату для обеспечения средств к существованию в сельской местности в Зимбабве</w:t>
            </w:r>
          </w:p>
        </w:tc>
        <w:tc>
          <w:tcPr>
            <w:tcW w:w="1338" w:type="dxa"/>
            <w:vAlign w:val="center"/>
          </w:tcPr>
          <w:p w14:paraId="15B53BB0" w14:textId="77777777" w:rsidR="00513EBA" w:rsidRPr="00436C05" w:rsidRDefault="00513EBA" w:rsidP="005F4A70">
            <w:pPr>
              <w:spacing w:before="120" w:after="120"/>
              <w:rPr>
                <w:rFonts w:eastAsia="Verdana" w:cs="Verdana"/>
                <w:color w:val="000000" w:themeColor="text1"/>
                <w:sz w:val="18"/>
                <w:szCs w:val="18"/>
              </w:rPr>
            </w:pPr>
            <w:r w:rsidRPr="00436C05">
              <w:rPr>
                <w:sz w:val="18"/>
                <w:szCs w:val="18"/>
                <w:lang w:val="ru-RU"/>
              </w:rPr>
              <w:t>Текущий</w:t>
            </w:r>
          </w:p>
        </w:tc>
      </w:tr>
      <w:tr w:rsidR="00513EBA" w:rsidRPr="00436C05" w14:paraId="4289DD2E" w14:textId="77777777" w:rsidTr="00661A59">
        <w:trPr>
          <w:trHeight w:val="840"/>
        </w:trPr>
        <w:tc>
          <w:tcPr>
            <w:tcW w:w="1521" w:type="dxa"/>
            <w:vMerge w:val="restart"/>
            <w:vAlign w:val="center"/>
          </w:tcPr>
          <w:p w14:paraId="23C6D97D" w14:textId="77777777" w:rsidR="00513EBA" w:rsidRPr="00436C05" w:rsidRDefault="00513EBA" w:rsidP="005F4A70">
            <w:pPr>
              <w:spacing w:before="120" w:after="120"/>
              <w:rPr>
                <w:rFonts w:eastAsia="Verdana" w:cs="Verdana"/>
                <w:sz w:val="18"/>
                <w:szCs w:val="18"/>
              </w:rPr>
            </w:pPr>
            <w:r w:rsidRPr="00436C05">
              <w:rPr>
                <w:sz w:val="18"/>
                <w:szCs w:val="18"/>
                <w:lang w:val="ru-RU"/>
              </w:rPr>
              <w:lastRenderedPageBreak/>
              <w:t>Соединенное Королевство</w:t>
            </w:r>
          </w:p>
        </w:tc>
        <w:tc>
          <w:tcPr>
            <w:tcW w:w="1489" w:type="dxa"/>
            <w:vAlign w:val="center"/>
          </w:tcPr>
          <w:p w14:paraId="1E92629C" w14:textId="77777777" w:rsidR="00513EBA" w:rsidRPr="00436C05" w:rsidRDefault="00513EBA" w:rsidP="005F4A70">
            <w:pPr>
              <w:spacing w:before="120" w:after="120"/>
              <w:rPr>
                <w:sz w:val="18"/>
                <w:szCs w:val="18"/>
              </w:rPr>
            </w:pPr>
            <w:r w:rsidRPr="00436C05">
              <w:rPr>
                <w:sz w:val="18"/>
                <w:szCs w:val="18"/>
                <w:lang w:val="ru-RU"/>
              </w:rPr>
              <w:t>Сейшельские Острова</w:t>
            </w:r>
          </w:p>
        </w:tc>
        <w:tc>
          <w:tcPr>
            <w:tcW w:w="1042" w:type="dxa"/>
            <w:vAlign w:val="center"/>
          </w:tcPr>
          <w:p w14:paraId="70DDB81C" w14:textId="77777777" w:rsidR="00513EBA" w:rsidRPr="00436C05" w:rsidRDefault="00513EBA" w:rsidP="005F4A70">
            <w:pPr>
              <w:spacing w:before="120" w:after="120"/>
              <w:rPr>
                <w:rFonts w:eastAsia="Verdana" w:cs="Verdana"/>
                <w:color w:val="000000" w:themeColor="text1"/>
                <w:sz w:val="18"/>
                <w:szCs w:val="18"/>
              </w:rPr>
            </w:pPr>
            <w:r w:rsidRPr="00436C05">
              <w:rPr>
                <w:sz w:val="18"/>
                <w:szCs w:val="18"/>
                <w:lang w:val="ru-RU"/>
              </w:rPr>
              <w:t>2024</w:t>
            </w:r>
          </w:p>
        </w:tc>
        <w:tc>
          <w:tcPr>
            <w:tcW w:w="4239" w:type="dxa"/>
            <w:vAlign w:val="center"/>
          </w:tcPr>
          <w:p w14:paraId="04ED0848" w14:textId="77777777" w:rsidR="00513EBA" w:rsidRPr="00436C05" w:rsidRDefault="00513EBA" w:rsidP="005F4A70">
            <w:pPr>
              <w:spacing w:before="120" w:after="120"/>
              <w:jc w:val="left"/>
              <w:rPr>
                <w:sz w:val="18"/>
                <w:szCs w:val="18"/>
                <w:lang w:val="ru-RU"/>
              </w:rPr>
            </w:pPr>
            <w:r w:rsidRPr="00436C05">
              <w:rPr>
                <w:sz w:val="18"/>
                <w:szCs w:val="18"/>
                <w:lang w:val="ru-RU"/>
              </w:rPr>
              <w:t>Поддержка станции сети ГСНК в верхних слоях атмосферы (ГУАН) на Сейшельских островах</w:t>
            </w:r>
          </w:p>
        </w:tc>
        <w:tc>
          <w:tcPr>
            <w:tcW w:w="1338" w:type="dxa"/>
            <w:vAlign w:val="center"/>
          </w:tcPr>
          <w:p w14:paraId="14635A3F" w14:textId="77777777" w:rsidR="00513EBA" w:rsidRPr="00436C05" w:rsidRDefault="00513EBA" w:rsidP="005F4A70">
            <w:pPr>
              <w:spacing w:before="120" w:after="120"/>
              <w:rPr>
                <w:rFonts w:eastAsia="Verdana" w:cs="Verdana"/>
                <w:color w:val="000000" w:themeColor="text1"/>
                <w:sz w:val="18"/>
                <w:szCs w:val="18"/>
              </w:rPr>
            </w:pPr>
            <w:r w:rsidRPr="00436C05">
              <w:rPr>
                <w:sz w:val="18"/>
                <w:szCs w:val="18"/>
                <w:lang w:val="ru-RU"/>
              </w:rPr>
              <w:t>Текущий</w:t>
            </w:r>
          </w:p>
        </w:tc>
      </w:tr>
      <w:tr w:rsidR="00513EBA" w:rsidRPr="00436C05" w14:paraId="6425D575" w14:textId="77777777" w:rsidTr="00661A59">
        <w:trPr>
          <w:trHeight w:val="840"/>
        </w:trPr>
        <w:tc>
          <w:tcPr>
            <w:tcW w:w="1521" w:type="dxa"/>
            <w:vMerge/>
            <w:vAlign w:val="center"/>
          </w:tcPr>
          <w:p w14:paraId="3DF713B0" w14:textId="77777777" w:rsidR="00513EBA" w:rsidRPr="00436C05" w:rsidRDefault="00513EBA" w:rsidP="005F4A70">
            <w:pPr>
              <w:spacing w:before="120" w:after="120"/>
              <w:rPr>
                <w:sz w:val="18"/>
                <w:szCs w:val="18"/>
              </w:rPr>
            </w:pPr>
          </w:p>
        </w:tc>
        <w:tc>
          <w:tcPr>
            <w:tcW w:w="1489" w:type="dxa"/>
            <w:vAlign w:val="center"/>
          </w:tcPr>
          <w:p w14:paraId="4ABB28F2" w14:textId="77777777" w:rsidR="00513EBA" w:rsidRPr="00436C05" w:rsidRDefault="00513EBA" w:rsidP="005F4A70">
            <w:pPr>
              <w:spacing w:before="120" w:after="120"/>
              <w:rPr>
                <w:sz w:val="18"/>
                <w:szCs w:val="18"/>
              </w:rPr>
            </w:pPr>
            <w:r w:rsidRPr="00436C05">
              <w:rPr>
                <w:sz w:val="18"/>
                <w:szCs w:val="18"/>
                <w:lang w:val="ru-RU"/>
              </w:rPr>
              <w:t>Доминика</w:t>
            </w:r>
          </w:p>
        </w:tc>
        <w:tc>
          <w:tcPr>
            <w:tcW w:w="1042" w:type="dxa"/>
            <w:vAlign w:val="center"/>
          </w:tcPr>
          <w:p w14:paraId="091E95DF" w14:textId="77777777" w:rsidR="00513EBA" w:rsidRPr="00436C05" w:rsidRDefault="00513EBA" w:rsidP="005F4A70">
            <w:pPr>
              <w:spacing w:before="120" w:after="120"/>
              <w:rPr>
                <w:rFonts w:eastAsia="Verdana" w:cs="Verdana"/>
                <w:color w:val="000000" w:themeColor="text1"/>
                <w:sz w:val="18"/>
                <w:szCs w:val="18"/>
              </w:rPr>
            </w:pPr>
            <w:r w:rsidRPr="00436C05">
              <w:rPr>
                <w:sz w:val="18"/>
                <w:szCs w:val="18"/>
                <w:lang w:val="ru-RU"/>
              </w:rPr>
              <w:t>2023</w:t>
            </w:r>
          </w:p>
        </w:tc>
        <w:tc>
          <w:tcPr>
            <w:tcW w:w="4239" w:type="dxa"/>
            <w:vAlign w:val="center"/>
          </w:tcPr>
          <w:p w14:paraId="75684A33" w14:textId="77777777" w:rsidR="00513EBA" w:rsidRPr="00436C05" w:rsidRDefault="00513EBA" w:rsidP="005F4A70">
            <w:pPr>
              <w:spacing w:before="120" w:after="120"/>
              <w:jc w:val="left"/>
              <w:rPr>
                <w:sz w:val="18"/>
                <w:szCs w:val="18"/>
              </w:rPr>
            </w:pPr>
            <w:r w:rsidRPr="00436C05">
              <w:rPr>
                <w:sz w:val="18"/>
                <w:szCs w:val="18"/>
                <w:lang w:val="ru-RU"/>
              </w:rPr>
              <w:t>Обновление студийного оборудования и обучение в Met. Сервис в Доминике</w:t>
            </w:r>
          </w:p>
        </w:tc>
        <w:tc>
          <w:tcPr>
            <w:tcW w:w="1338" w:type="dxa"/>
            <w:vAlign w:val="center"/>
          </w:tcPr>
          <w:p w14:paraId="3CF37D97" w14:textId="77777777" w:rsidR="00513EBA" w:rsidRPr="00436C05" w:rsidRDefault="00513EBA" w:rsidP="005F4A70">
            <w:pPr>
              <w:spacing w:before="120" w:after="120"/>
              <w:rPr>
                <w:rFonts w:eastAsia="Verdana" w:cs="Verdana"/>
                <w:color w:val="000000" w:themeColor="text1"/>
                <w:sz w:val="18"/>
                <w:szCs w:val="18"/>
              </w:rPr>
            </w:pPr>
            <w:r w:rsidRPr="00436C05">
              <w:rPr>
                <w:sz w:val="18"/>
                <w:szCs w:val="18"/>
                <w:lang w:val="ru-RU"/>
              </w:rPr>
              <w:t>Текущий</w:t>
            </w:r>
          </w:p>
        </w:tc>
      </w:tr>
    </w:tbl>
    <w:p w14:paraId="1A7ACDE9" w14:textId="77777777" w:rsidR="00513EBA" w:rsidRPr="008845D7" w:rsidRDefault="00513EBA" w:rsidP="00513EBA">
      <w:pPr>
        <w:shd w:val="clear" w:color="auto" w:fill="FFFFFF" w:themeFill="background1"/>
        <w:spacing w:before="240" w:after="120" w:line="259" w:lineRule="auto"/>
        <w:jc w:val="left"/>
      </w:pPr>
      <w:r w:rsidRPr="008845D7">
        <w:rPr>
          <w:noProof/>
        </w:rPr>
        <w:drawing>
          <wp:inline distT="0" distB="0" distL="0" distR="0" wp14:anchorId="485AB32C" wp14:editId="5A988602">
            <wp:extent cx="6098254" cy="3701524"/>
            <wp:effectExtent l="0" t="0" r="0" b="0"/>
            <wp:docPr id="1332093546" name="Picture 133209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t="20083"/>
                    <a:stretch/>
                  </pic:blipFill>
                  <pic:spPr bwMode="auto">
                    <a:xfrm>
                      <a:off x="0" y="0"/>
                      <a:ext cx="6102382" cy="3704029"/>
                    </a:xfrm>
                    <a:prstGeom prst="rect">
                      <a:avLst/>
                    </a:prstGeom>
                    <a:ln>
                      <a:noFill/>
                    </a:ln>
                    <a:extLst>
                      <a:ext uri="{53640926-AAD7-44D8-BBD7-CCE9431645EC}">
                        <a14:shadowObscured xmlns:a14="http://schemas.microsoft.com/office/drawing/2010/main"/>
                      </a:ext>
                    </a:extLst>
                  </pic:spPr>
                </pic:pic>
              </a:graphicData>
            </a:graphic>
          </wp:inline>
        </w:drawing>
      </w:r>
    </w:p>
    <w:p w14:paraId="743A2667" w14:textId="77777777" w:rsidR="00513EBA" w:rsidRPr="00436C05" w:rsidRDefault="00513EBA" w:rsidP="00513EBA">
      <w:pPr>
        <w:spacing w:before="240" w:after="120"/>
        <w:jc w:val="center"/>
        <w:rPr>
          <w:b/>
          <w:bCs/>
          <w:color w:val="000000" w:themeColor="text1"/>
          <w:lang w:val="ru-RU"/>
        </w:rPr>
      </w:pPr>
      <w:r>
        <w:rPr>
          <w:b/>
          <w:bCs/>
          <w:lang w:val="ru-RU"/>
        </w:rPr>
        <w:t>Рисунок 2.</w:t>
      </w:r>
      <w:r>
        <w:rPr>
          <w:lang w:val="ru-RU"/>
        </w:rPr>
        <w:t xml:space="preserve"> </w:t>
      </w:r>
      <w:r>
        <w:rPr>
          <w:b/>
          <w:bCs/>
          <w:lang w:val="ru-RU"/>
        </w:rPr>
        <w:t xml:space="preserve">Заявки на ПДС (географическое распределение) </w:t>
      </w:r>
      <w:proofErr w:type="gramStart"/>
      <w:r>
        <w:rPr>
          <w:b/>
          <w:bCs/>
          <w:lang w:val="ru-RU"/>
        </w:rPr>
        <w:t>1980-2024</w:t>
      </w:r>
      <w:proofErr w:type="gramEnd"/>
      <w:r>
        <w:rPr>
          <w:b/>
          <w:bCs/>
          <w:lang w:val="ru-RU"/>
        </w:rPr>
        <w:t xml:space="preserve"> гг.</w:t>
      </w:r>
    </w:p>
    <w:p w14:paraId="75E0378C" w14:textId="77777777" w:rsidR="00513EBA" w:rsidRPr="00436C05" w:rsidRDefault="00513EBA" w:rsidP="00661A59">
      <w:pPr>
        <w:pStyle w:val="Heading3"/>
        <w:spacing w:before="480"/>
        <w:rPr>
          <w:lang w:val="ru-RU"/>
        </w:rPr>
      </w:pPr>
      <w:r>
        <w:rPr>
          <w:lang w:val="ru-RU"/>
        </w:rPr>
        <w:t>Заключение</w:t>
      </w:r>
    </w:p>
    <w:p w14:paraId="35BFF90F" w14:textId="77777777" w:rsidR="00513EBA" w:rsidRPr="00436C05" w:rsidRDefault="00513EBA" w:rsidP="00513EBA">
      <w:pPr>
        <w:shd w:val="clear" w:color="auto" w:fill="FFFFFF" w:themeFill="background1"/>
        <w:spacing w:before="240" w:after="120"/>
        <w:jc w:val="left"/>
        <w:rPr>
          <w:rFonts w:eastAsia="Verdana" w:cs="Verdana"/>
          <w:color w:val="0D0D0D" w:themeColor="text1" w:themeTint="F2"/>
          <w:lang w:val="ru-RU"/>
        </w:rPr>
      </w:pPr>
      <w:r>
        <w:rPr>
          <w:lang w:val="ru-RU"/>
        </w:rPr>
        <w:t>В заключение следует отметить, что мобилизация ресурсов играет важнейшую роль в укреплении потенциала НМГС в РА VI по предоставлению основных услуг. Участие ВМО в финансируемых ЕС проектах, таких как проекты, поддерживающие инициативу ЗПДВ, жизненно важно для обеспечения согласованности с более широкими глобальными целями, распространения знаний и поддержки менее развитых стран в рамках РА VI. Эти проекты играют важную роль в повышении устойчивости и улучшении климатических услуг в Европе и за ее пределами, полностью соответствуя стратегическим целям ВМО.</w:t>
      </w:r>
    </w:p>
    <w:p w14:paraId="20C29063" w14:textId="77777777" w:rsidR="00513EBA" w:rsidRPr="00436C05" w:rsidRDefault="00513EBA" w:rsidP="00513EBA">
      <w:pPr>
        <w:shd w:val="clear" w:color="auto" w:fill="FFFFFF" w:themeFill="background1"/>
        <w:spacing w:before="240" w:after="120"/>
        <w:jc w:val="left"/>
        <w:rPr>
          <w:rFonts w:eastAsia="Verdana" w:cs="Verdana"/>
          <w:color w:val="0D0D0D" w:themeColor="text1" w:themeTint="F2"/>
          <w:lang w:val="ru-RU"/>
        </w:rPr>
      </w:pPr>
      <w:r>
        <w:rPr>
          <w:lang w:val="ru-RU"/>
        </w:rPr>
        <w:t>Недавние оценки показали, что в 11 НМГС Региона VI (РА VI) имеются существенные пробелы, и во многих из них отсутствуют ЗПМОЯ. Это подчеркивает необходимость для членов РА VI сосредоточиться не только на поддержке и мобилизации ресурсов для НРС, но и на удовлетворении критических потребностей стран со средним уровнем дохода и стран РА VI, которым требуется помощь.</w:t>
      </w:r>
    </w:p>
    <w:p w14:paraId="6329FAEF" w14:textId="77777777" w:rsidR="00513EBA" w:rsidRPr="00436C05" w:rsidRDefault="00513EBA" w:rsidP="00513EBA">
      <w:pPr>
        <w:shd w:val="clear" w:color="auto" w:fill="FFFFFF" w:themeFill="background1"/>
        <w:spacing w:before="240" w:after="120"/>
        <w:jc w:val="left"/>
        <w:rPr>
          <w:rFonts w:eastAsia="Verdana" w:cs="Verdana"/>
          <w:color w:val="0D0D0D" w:themeColor="text1" w:themeTint="F2"/>
          <w:lang w:val="ru-RU"/>
        </w:rPr>
      </w:pPr>
      <w:r>
        <w:rPr>
          <w:lang w:val="ru-RU"/>
        </w:rPr>
        <w:t xml:space="preserve">Также важно признать, что РА VI не только получает выгоду от проектов ВМО и ПДС, но и выступает в качестве ключевого игрока в мобилизации ресурсов для развивающихся </w:t>
      </w:r>
      <w:r>
        <w:rPr>
          <w:lang w:val="ru-RU"/>
        </w:rPr>
        <w:lastRenderedPageBreak/>
        <w:t>регионов через партнерство с ЕС, другими региональными органами, многосторонними банками развития, КРСЗП, ФФСН и национальными агентствами, отвечающими за ОПР. Такое сотрудничество позволяет ВМО оказывать поддержку и предоставлять технические знания и опыт странам глобального Юга, в частности в рамках инициативы ЗПДВ. ВМО призывает членов РА VI продолжать свое участие и обязательства по развитию расширенного гидрометеорологического обслуживания и инфраструктуры в наименее развитых регионах, тем самым обеспечивая устойчивость глобальных и региональных услуг и продуктов для всего сообщества ВМО.</w:t>
      </w:r>
    </w:p>
    <w:p w14:paraId="5C8C7BEA" w14:textId="77777777" w:rsidR="00513EBA" w:rsidRPr="00436C05" w:rsidRDefault="00513EBA" w:rsidP="00661A59">
      <w:pPr>
        <w:pStyle w:val="Heading3"/>
        <w:spacing w:before="480"/>
        <w:rPr>
          <w:lang w:val="ru-RU"/>
        </w:rPr>
      </w:pPr>
      <w:r>
        <w:rPr>
          <w:lang w:val="ru-RU"/>
        </w:rPr>
        <w:t>Ресурсы</w:t>
      </w:r>
    </w:p>
    <w:p w14:paraId="147A98BA" w14:textId="77777777" w:rsidR="005A28F8" w:rsidRPr="00436C05" w:rsidRDefault="00513EBA" w:rsidP="00513EBA">
      <w:pPr>
        <w:pStyle w:val="WMOBodyText"/>
        <w:spacing w:after="120"/>
        <w:rPr>
          <w:lang w:val="ru-RU"/>
        </w:rPr>
      </w:pPr>
      <w:r>
        <w:rPr>
          <w:lang w:val="ru-RU"/>
        </w:rPr>
        <w:t xml:space="preserve">Стратегия ВМО по мобилизации ресурсов на </w:t>
      </w:r>
      <w:proofErr w:type="gramStart"/>
      <w:r>
        <w:rPr>
          <w:lang w:val="ru-RU"/>
        </w:rPr>
        <w:t>2024-2027</w:t>
      </w:r>
      <w:proofErr w:type="gramEnd"/>
      <w:r>
        <w:rPr>
          <w:lang w:val="ru-RU"/>
        </w:rPr>
        <w:t xml:space="preserve"> гг.</w:t>
      </w:r>
      <w:bookmarkEnd w:id="0"/>
    </w:p>
    <w:p w14:paraId="5C88221E" w14:textId="708E5A21" w:rsidR="00661A59" w:rsidRPr="008845D7" w:rsidRDefault="00661A59" w:rsidP="00661A59">
      <w:pPr>
        <w:pStyle w:val="WMOBodyText"/>
        <w:spacing w:after="120"/>
        <w:jc w:val="center"/>
      </w:pPr>
      <w:r>
        <w:rPr>
          <w:lang w:val="ru-RU"/>
        </w:rPr>
        <w:t>_________________</w:t>
      </w:r>
    </w:p>
    <w:sectPr w:rsidR="00661A59" w:rsidRPr="008845D7" w:rsidSect="0024064B">
      <w:headerReference w:type="even" r:id="rId14"/>
      <w:headerReference w:type="default" r:id="rId15"/>
      <w:headerReference w:type="first" r:id="rId16"/>
      <w:pgSz w:w="11907" w:h="16840"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0F31B" w14:textId="77777777" w:rsidR="007D6A46" w:rsidRDefault="007D6A46">
      <w:r>
        <w:separator/>
      </w:r>
    </w:p>
    <w:p w14:paraId="38FB3737" w14:textId="77777777" w:rsidR="007D6A46" w:rsidRDefault="007D6A46"/>
    <w:p w14:paraId="1881FBBF" w14:textId="77777777" w:rsidR="007D6A46" w:rsidRDefault="007D6A46"/>
  </w:endnote>
  <w:endnote w:type="continuationSeparator" w:id="0">
    <w:p w14:paraId="13D0F76F" w14:textId="77777777" w:rsidR="007D6A46" w:rsidRDefault="007D6A46">
      <w:r>
        <w:continuationSeparator/>
      </w:r>
    </w:p>
    <w:p w14:paraId="52B12B40" w14:textId="77777777" w:rsidR="007D6A46" w:rsidRDefault="007D6A46"/>
    <w:p w14:paraId="71D50C7D" w14:textId="77777777" w:rsidR="007D6A46" w:rsidRDefault="007D6A46"/>
  </w:endnote>
  <w:endnote w:type="continuationNotice" w:id="1">
    <w:p w14:paraId="49F44F55" w14:textId="77777777" w:rsidR="007D6A46" w:rsidRDefault="007D6A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662D" w14:textId="77777777" w:rsidR="007D6A46" w:rsidRDefault="007D6A46">
      <w:r>
        <w:separator/>
      </w:r>
    </w:p>
  </w:footnote>
  <w:footnote w:type="continuationSeparator" w:id="0">
    <w:p w14:paraId="2F3064C5" w14:textId="77777777" w:rsidR="007D6A46" w:rsidRDefault="007D6A46">
      <w:r>
        <w:continuationSeparator/>
      </w:r>
    </w:p>
    <w:p w14:paraId="6E96992E" w14:textId="77777777" w:rsidR="007D6A46" w:rsidRDefault="007D6A46"/>
    <w:p w14:paraId="227F5BB8" w14:textId="77777777" w:rsidR="007D6A46" w:rsidRDefault="007D6A46"/>
  </w:footnote>
  <w:footnote w:type="continuationNotice" w:id="1">
    <w:p w14:paraId="77AA55A9" w14:textId="77777777" w:rsidR="007D6A46" w:rsidRDefault="007D6A46"/>
  </w:footnote>
  <w:footnote w:id="2">
    <w:p w14:paraId="0AA27B2F" w14:textId="77777777" w:rsidR="00513EBA" w:rsidRPr="00436C05" w:rsidRDefault="00513EBA" w:rsidP="00513EBA">
      <w:pPr>
        <w:pStyle w:val="FootnoteText"/>
        <w:spacing w:before="0"/>
        <w:ind w:left="0" w:firstLine="0"/>
        <w:rPr>
          <w:rFonts w:eastAsia="Verdana" w:cs="Verdana"/>
          <w:lang w:val="ru-RU"/>
        </w:rPr>
      </w:pPr>
      <w:r>
        <w:rPr>
          <w:lang w:val="ru-RU"/>
        </w:rPr>
        <w:t>[1] См. резолюцию 74 (Кг-18) "Ликвидация разрыва в потенциале: расширение эффективных партнерств для инвестиций в устойчивую и экономически эффективную инфраструктуру и предоставление услуг"; и решение 11 (ИС-72) "Расширение эффективных партнерских отношений и охват, масштаб и прогресс проектов развития ВМО".</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A045" w14:textId="77777777" w:rsidR="00D64474" w:rsidRDefault="00000000">
    <w:pPr>
      <w:pStyle w:val="Header"/>
    </w:pPr>
    <w:r>
      <w:rPr>
        <w:noProof/>
      </w:rPr>
      <w:pict w14:anchorId="4D0EFF71">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36A6FC9">
        <v:shape id="_x0000_s1025" type="#_x0000_m1042"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57399A" w14:textId="77777777" w:rsidR="00CC4ADD" w:rsidRDefault="00CC4ADD"/>
  <w:p w14:paraId="0349AE2D" w14:textId="77777777" w:rsidR="00D64474" w:rsidRDefault="00000000">
    <w:pPr>
      <w:pStyle w:val="Header"/>
    </w:pPr>
    <w:r>
      <w:rPr>
        <w:noProof/>
      </w:rPr>
      <w:pict w14:anchorId="354F54C7">
        <v:shapetype id="_x0000_m10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741934">
        <v:shape id="_x0000_s1027" type="#_x0000_m1041"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ABB709" w14:textId="77777777" w:rsidR="00CC4ADD" w:rsidRDefault="00CC4ADD"/>
  <w:p w14:paraId="2299A113" w14:textId="77777777" w:rsidR="00D64474" w:rsidRDefault="00000000">
    <w:pPr>
      <w:pStyle w:val="Header"/>
    </w:pPr>
    <w:r>
      <w:rPr>
        <w:noProof/>
      </w:rPr>
      <w:pict w14:anchorId="63F7C198">
        <v:shapetype id="_x0000_m10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CADF07">
        <v:shape id="_x0000_s1029" type="#_x0000_m1040"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6C2D" w14:textId="148F25F3" w:rsidR="00A432CD" w:rsidRDefault="005A28F8" w:rsidP="00B72444">
    <w:pPr>
      <w:pStyle w:val="Header"/>
    </w:pPr>
    <w:r>
      <w:t>RA VI-19(I)/INF. 3.4(2)</w:t>
    </w:r>
    <w:r w:rsidR="00A432CD" w:rsidRPr="00C2459D">
      <w:t xml:space="preserve">, </w:t>
    </w:r>
    <w:r w:rsidR="00436C05">
      <w:rPr>
        <w:lang w:val="ru-RU"/>
      </w:rPr>
      <w:t>с</w:t>
    </w:r>
    <w:r w:rsidR="00A432CD" w:rsidRPr="00C2459D">
      <w:t xml:space="preserve">.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000000">
      <w:pict w14:anchorId="2BDAD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58240;visibility:hidden;mso-position-horizontal-relative:text;mso-position-vertical-relative:text">
          <v:path gradientshapeok="f"/>
          <o:lock v:ext="edit" selection="t"/>
        </v:shape>
      </w:pict>
    </w:r>
    <w:r w:rsidR="00000000">
      <w:pict w14:anchorId="3E25831C">
        <v:shape id="_x0000_s1036" type="#_x0000_t75" style="position:absolute;left:0;text-align:left;margin-left:0;margin-top:0;width:50pt;height:50pt;z-index:25165926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436C" w14:textId="3B79416E" w:rsidR="00D64474" w:rsidRDefault="00000000">
    <w:pPr>
      <w:pStyle w:val="Header"/>
    </w:pPr>
    <w:r>
      <w:pict w14:anchorId="3395E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56192;visibility:hidden">
          <v:path gradientshapeok="f"/>
          <o:lock v:ext="edit" selection="t"/>
        </v:shape>
      </w:pict>
    </w:r>
    <w:r>
      <w:pict w14:anchorId="06A99BCE">
        <v:shape id="_x0000_s1038"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00307"/>
    <w:multiLevelType w:val="hybridMultilevel"/>
    <w:tmpl w:val="9BA2350C"/>
    <w:lvl w:ilvl="0" w:tplc="69A8D48C">
      <w:start w:val="1"/>
      <w:numFmt w:val="decimal"/>
      <w:lvlText w:val="%1)"/>
      <w:lvlJc w:val="left"/>
      <w:pPr>
        <w:ind w:left="1080" w:hanging="360"/>
      </w:pPr>
      <w:rPr>
        <w:rFonts w:hint="default"/>
      </w:rPr>
    </w:lvl>
    <w:lvl w:ilvl="1" w:tplc="24000019" w:tentative="1">
      <w:start w:val="1"/>
      <w:numFmt w:val="lowerLetter"/>
      <w:lvlText w:val="%2."/>
      <w:lvlJc w:val="left"/>
      <w:pPr>
        <w:ind w:left="1800" w:hanging="360"/>
      </w:pPr>
    </w:lvl>
    <w:lvl w:ilvl="2" w:tplc="2400001B" w:tentative="1">
      <w:start w:val="1"/>
      <w:numFmt w:val="lowerRoman"/>
      <w:lvlText w:val="%3."/>
      <w:lvlJc w:val="right"/>
      <w:pPr>
        <w:ind w:left="2520" w:hanging="180"/>
      </w:pPr>
    </w:lvl>
    <w:lvl w:ilvl="3" w:tplc="2400000F" w:tentative="1">
      <w:start w:val="1"/>
      <w:numFmt w:val="decimal"/>
      <w:lvlText w:val="%4."/>
      <w:lvlJc w:val="left"/>
      <w:pPr>
        <w:ind w:left="3240" w:hanging="360"/>
      </w:pPr>
    </w:lvl>
    <w:lvl w:ilvl="4" w:tplc="24000019" w:tentative="1">
      <w:start w:val="1"/>
      <w:numFmt w:val="lowerLetter"/>
      <w:lvlText w:val="%5."/>
      <w:lvlJc w:val="left"/>
      <w:pPr>
        <w:ind w:left="3960" w:hanging="360"/>
      </w:pPr>
    </w:lvl>
    <w:lvl w:ilvl="5" w:tplc="2400001B" w:tentative="1">
      <w:start w:val="1"/>
      <w:numFmt w:val="lowerRoman"/>
      <w:lvlText w:val="%6."/>
      <w:lvlJc w:val="right"/>
      <w:pPr>
        <w:ind w:left="4680" w:hanging="180"/>
      </w:pPr>
    </w:lvl>
    <w:lvl w:ilvl="6" w:tplc="2400000F" w:tentative="1">
      <w:start w:val="1"/>
      <w:numFmt w:val="decimal"/>
      <w:lvlText w:val="%7."/>
      <w:lvlJc w:val="left"/>
      <w:pPr>
        <w:ind w:left="5400" w:hanging="360"/>
      </w:pPr>
    </w:lvl>
    <w:lvl w:ilvl="7" w:tplc="24000019" w:tentative="1">
      <w:start w:val="1"/>
      <w:numFmt w:val="lowerLetter"/>
      <w:lvlText w:val="%8."/>
      <w:lvlJc w:val="left"/>
      <w:pPr>
        <w:ind w:left="6120" w:hanging="360"/>
      </w:pPr>
    </w:lvl>
    <w:lvl w:ilvl="8" w:tplc="2400001B" w:tentative="1">
      <w:start w:val="1"/>
      <w:numFmt w:val="lowerRoman"/>
      <w:lvlText w:val="%9."/>
      <w:lvlJc w:val="right"/>
      <w:pPr>
        <w:ind w:left="6840" w:hanging="180"/>
      </w:pPr>
    </w:lvl>
  </w:abstractNum>
  <w:abstractNum w:abstractNumId="1" w15:restartNumberingAfterBreak="0">
    <w:nsid w:val="36368349"/>
    <w:multiLevelType w:val="hybridMultilevel"/>
    <w:tmpl w:val="BF0A5826"/>
    <w:lvl w:ilvl="0" w:tplc="69A8D48C">
      <w:start w:val="1"/>
      <w:numFmt w:val="decimal"/>
      <w:lvlText w:val="%1)"/>
      <w:lvlJc w:val="left"/>
      <w:pPr>
        <w:ind w:left="720" w:hanging="360"/>
      </w:pPr>
      <w:rPr>
        <w:rFonts w:hint="default"/>
      </w:rPr>
    </w:lvl>
    <w:lvl w:ilvl="1" w:tplc="59BC128C">
      <w:start w:val="1"/>
      <w:numFmt w:val="bullet"/>
      <w:lvlText w:val="o"/>
      <w:lvlJc w:val="left"/>
      <w:pPr>
        <w:ind w:left="1440" w:hanging="360"/>
      </w:pPr>
      <w:rPr>
        <w:rFonts w:ascii="Courier New" w:hAnsi="Courier New" w:hint="default"/>
      </w:rPr>
    </w:lvl>
    <w:lvl w:ilvl="2" w:tplc="000052AC">
      <w:start w:val="1"/>
      <w:numFmt w:val="bullet"/>
      <w:lvlText w:val=""/>
      <w:lvlJc w:val="left"/>
      <w:pPr>
        <w:ind w:left="2160" w:hanging="360"/>
      </w:pPr>
      <w:rPr>
        <w:rFonts w:ascii="Wingdings" w:hAnsi="Wingdings" w:hint="default"/>
      </w:rPr>
    </w:lvl>
    <w:lvl w:ilvl="3" w:tplc="EAFC4E6E">
      <w:start w:val="1"/>
      <w:numFmt w:val="bullet"/>
      <w:lvlText w:val=""/>
      <w:lvlJc w:val="left"/>
      <w:pPr>
        <w:ind w:left="2880" w:hanging="360"/>
      </w:pPr>
      <w:rPr>
        <w:rFonts w:ascii="Symbol" w:hAnsi="Symbol" w:hint="default"/>
      </w:rPr>
    </w:lvl>
    <w:lvl w:ilvl="4" w:tplc="69486114">
      <w:start w:val="1"/>
      <w:numFmt w:val="bullet"/>
      <w:lvlText w:val="o"/>
      <w:lvlJc w:val="left"/>
      <w:pPr>
        <w:ind w:left="3600" w:hanging="360"/>
      </w:pPr>
      <w:rPr>
        <w:rFonts w:ascii="Courier New" w:hAnsi="Courier New" w:hint="default"/>
      </w:rPr>
    </w:lvl>
    <w:lvl w:ilvl="5" w:tplc="974CBE6C">
      <w:start w:val="1"/>
      <w:numFmt w:val="bullet"/>
      <w:lvlText w:val=""/>
      <w:lvlJc w:val="left"/>
      <w:pPr>
        <w:ind w:left="4320" w:hanging="360"/>
      </w:pPr>
      <w:rPr>
        <w:rFonts w:ascii="Wingdings" w:hAnsi="Wingdings" w:hint="default"/>
      </w:rPr>
    </w:lvl>
    <w:lvl w:ilvl="6" w:tplc="D8A255DE">
      <w:start w:val="1"/>
      <w:numFmt w:val="bullet"/>
      <w:lvlText w:val=""/>
      <w:lvlJc w:val="left"/>
      <w:pPr>
        <w:ind w:left="5040" w:hanging="360"/>
      </w:pPr>
      <w:rPr>
        <w:rFonts w:ascii="Symbol" w:hAnsi="Symbol" w:hint="default"/>
      </w:rPr>
    </w:lvl>
    <w:lvl w:ilvl="7" w:tplc="95EAB19A">
      <w:start w:val="1"/>
      <w:numFmt w:val="bullet"/>
      <w:lvlText w:val="o"/>
      <w:lvlJc w:val="left"/>
      <w:pPr>
        <w:ind w:left="5760" w:hanging="360"/>
      </w:pPr>
      <w:rPr>
        <w:rFonts w:ascii="Courier New" w:hAnsi="Courier New" w:hint="default"/>
      </w:rPr>
    </w:lvl>
    <w:lvl w:ilvl="8" w:tplc="04523476">
      <w:start w:val="1"/>
      <w:numFmt w:val="bullet"/>
      <w:lvlText w:val=""/>
      <w:lvlJc w:val="left"/>
      <w:pPr>
        <w:ind w:left="6480" w:hanging="360"/>
      </w:pPr>
      <w:rPr>
        <w:rFonts w:ascii="Wingdings" w:hAnsi="Wingdings" w:hint="default"/>
      </w:rPr>
    </w:lvl>
  </w:abstractNum>
  <w:abstractNum w:abstractNumId="2" w15:restartNumberingAfterBreak="0">
    <w:nsid w:val="428452A7"/>
    <w:multiLevelType w:val="hybridMultilevel"/>
    <w:tmpl w:val="AF8C2A94"/>
    <w:lvl w:ilvl="0" w:tplc="69A8D48C">
      <w:start w:val="1"/>
      <w:numFmt w:val="decimal"/>
      <w:lvlText w:val="%1)"/>
      <w:lvlJc w:val="left"/>
      <w:pPr>
        <w:ind w:left="720" w:hanging="360"/>
      </w:pPr>
      <w:rPr>
        <w:rFonts w:hint="default"/>
      </w:rPr>
    </w:lvl>
    <w:lvl w:ilvl="1" w:tplc="3F40D712">
      <w:start w:val="1"/>
      <w:numFmt w:val="bullet"/>
      <w:lvlText w:val="o"/>
      <w:lvlJc w:val="left"/>
      <w:pPr>
        <w:ind w:left="1440" w:hanging="360"/>
      </w:pPr>
      <w:rPr>
        <w:rFonts w:ascii="Courier New" w:hAnsi="Courier New" w:hint="default"/>
      </w:rPr>
    </w:lvl>
    <w:lvl w:ilvl="2" w:tplc="7A42BB9A">
      <w:start w:val="1"/>
      <w:numFmt w:val="bullet"/>
      <w:lvlText w:val=""/>
      <w:lvlJc w:val="left"/>
      <w:pPr>
        <w:ind w:left="2160" w:hanging="360"/>
      </w:pPr>
      <w:rPr>
        <w:rFonts w:ascii="Wingdings" w:hAnsi="Wingdings" w:hint="default"/>
      </w:rPr>
    </w:lvl>
    <w:lvl w:ilvl="3" w:tplc="9BCC75F4">
      <w:start w:val="1"/>
      <w:numFmt w:val="bullet"/>
      <w:lvlText w:val=""/>
      <w:lvlJc w:val="left"/>
      <w:pPr>
        <w:ind w:left="2880" w:hanging="360"/>
      </w:pPr>
      <w:rPr>
        <w:rFonts w:ascii="Symbol" w:hAnsi="Symbol" w:hint="default"/>
      </w:rPr>
    </w:lvl>
    <w:lvl w:ilvl="4" w:tplc="A99C368A">
      <w:start w:val="1"/>
      <w:numFmt w:val="bullet"/>
      <w:lvlText w:val="o"/>
      <w:lvlJc w:val="left"/>
      <w:pPr>
        <w:ind w:left="3600" w:hanging="360"/>
      </w:pPr>
      <w:rPr>
        <w:rFonts w:ascii="Courier New" w:hAnsi="Courier New" w:hint="default"/>
      </w:rPr>
    </w:lvl>
    <w:lvl w:ilvl="5" w:tplc="C52A7F52">
      <w:start w:val="1"/>
      <w:numFmt w:val="bullet"/>
      <w:lvlText w:val=""/>
      <w:lvlJc w:val="left"/>
      <w:pPr>
        <w:ind w:left="4320" w:hanging="360"/>
      </w:pPr>
      <w:rPr>
        <w:rFonts w:ascii="Wingdings" w:hAnsi="Wingdings" w:hint="default"/>
      </w:rPr>
    </w:lvl>
    <w:lvl w:ilvl="6" w:tplc="10F617A4">
      <w:start w:val="1"/>
      <w:numFmt w:val="bullet"/>
      <w:lvlText w:val=""/>
      <w:lvlJc w:val="left"/>
      <w:pPr>
        <w:ind w:left="5040" w:hanging="360"/>
      </w:pPr>
      <w:rPr>
        <w:rFonts w:ascii="Symbol" w:hAnsi="Symbol" w:hint="default"/>
      </w:rPr>
    </w:lvl>
    <w:lvl w:ilvl="7" w:tplc="4C46B15E">
      <w:start w:val="1"/>
      <w:numFmt w:val="bullet"/>
      <w:lvlText w:val="o"/>
      <w:lvlJc w:val="left"/>
      <w:pPr>
        <w:ind w:left="5760" w:hanging="360"/>
      </w:pPr>
      <w:rPr>
        <w:rFonts w:ascii="Courier New" w:hAnsi="Courier New" w:hint="default"/>
      </w:rPr>
    </w:lvl>
    <w:lvl w:ilvl="8" w:tplc="07EC6A50">
      <w:start w:val="1"/>
      <w:numFmt w:val="bullet"/>
      <w:lvlText w:val=""/>
      <w:lvlJc w:val="left"/>
      <w:pPr>
        <w:ind w:left="6480" w:hanging="360"/>
      </w:pPr>
      <w:rPr>
        <w:rFonts w:ascii="Wingdings" w:hAnsi="Wingdings" w:hint="default"/>
      </w:rPr>
    </w:lvl>
  </w:abstractNum>
  <w:abstractNum w:abstractNumId="3" w15:restartNumberingAfterBreak="0">
    <w:nsid w:val="4613009D"/>
    <w:multiLevelType w:val="hybridMultilevel"/>
    <w:tmpl w:val="D15EA018"/>
    <w:lvl w:ilvl="0" w:tplc="69A8D48C">
      <w:start w:val="1"/>
      <w:numFmt w:val="decimal"/>
      <w:lvlText w:val="%1)"/>
      <w:lvlJc w:val="left"/>
      <w:pPr>
        <w:ind w:left="789" w:hanging="720"/>
      </w:pPr>
      <w:rPr>
        <w:rFonts w:hint="default"/>
      </w:rPr>
    </w:lvl>
    <w:lvl w:ilvl="1" w:tplc="FFFFFFFF" w:tentative="1">
      <w:start w:val="1"/>
      <w:numFmt w:val="lowerLetter"/>
      <w:lvlText w:val="%2."/>
      <w:lvlJc w:val="left"/>
      <w:pPr>
        <w:ind w:left="1149" w:hanging="360"/>
      </w:pPr>
    </w:lvl>
    <w:lvl w:ilvl="2" w:tplc="FFFFFFFF" w:tentative="1">
      <w:start w:val="1"/>
      <w:numFmt w:val="lowerRoman"/>
      <w:lvlText w:val="%3."/>
      <w:lvlJc w:val="right"/>
      <w:pPr>
        <w:ind w:left="1869" w:hanging="180"/>
      </w:pPr>
    </w:lvl>
    <w:lvl w:ilvl="3" w:tplc="FFFFFFFF" w:tentative="1">
      <w:start w:val="1"/>
      <w:numFmt w:val="decimal"/>
      <w:lvlText w:val="%4."/>
      <w:lvlJc w:val="left"/>
      <w:pPr>
        <w:ind w:left="2589" w:hanging="360"/>
      </w:pPr>
    </w:lvl>
    <w:lvl w:ilvl="4" w:tplc="FFFFFFFF" w:tentative="1">
      <w:start w:val="1"/>
      <w:numFmt w:val="lowerLetter"/>
      <w:lvlText w:val="%5."/>
      <w:lvlJc w:val="left"/>
      <w:pPr>
        <w:ind w:left="3309" w:hanging="360"/>
      </w:pPr>
    </w:lvl>
    <w:lvl w:ilvl="5" w:tplc="FFFFFFFF" w:tentative="1">
      <w:start w:val="1"/>
      <w:numFmt w:val="lowerRoman"/>
      <w:lvlText w:val="%6."/>
      <w:lvlJc w:val="right"/>
      <w:pPr>
        <w:ind w:left="4029" w:hanging="180"/>
      </w:pPr>
    </w:lvl>
    <w:lvl w:ilvl="6" w:tplc="FFFFFFFF" w:tentative="1">
      <w:start w:val="1"/>
      <w:numFmt w:val="decimal"/>
      <w:lvlText w:val="%7."/>
      <w:lvlJc w:val="left"/>
      <w:pPr>
        <w:ind w:left="4749" w:hanging="360"/>
      </w:pPr>
    </w:lvl>
    <w:lvl w:ilvl="7" w:tplc="FFFFFFFF" w:tentative="1">
      <w:start w:val="1"/>
      <w:numFmt w:val="lowerLetter"/>
      <w:lvlText w:val="%8."/>
      <w:lvlJc w:val="left"/>
      <w:pPr>
        <w:ind w:left="5469" w:hanging="360"/>
      </w:pPr>
    </w:lvl>
    <w:lvl w:ilvl="8" w:tplc="FFFFFFFF" w:tentative="1">
      <w:start w:val="1"/>
      <w:numFmt w:val="lowerRoman"/>
      <w:lvlText w:val="%9."/>
      <w:lvlJc w:val="right"/>
      <w:pPr>
        <w:ind w:left="6189" w:hanging="180"/>
      </w:pPr>
    </w:lvl>
  </w:abstractNum>
  <w:abstractNum w:abstractNumId="4" w15:restartNumberingAfterBreak="0">
    <w:nsid w:val="5A972955"/>
    <w:multiLevelType w:val="hybridMultilevel"/>
    <w:tmpl w:val="93941518"/>
    <w:lvl w:ilvl="0" w:tplc="69A8D48C">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5" w15:restartNumberingAfterBreak="0">
    <w:nsid w:val="75563768"/>
    <w:multiLevelType w:val="hybridMultilevel"/>
    <w:tmpl w:val="BF0A5826"/>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num w:numId="1" w16cid:durableId="738791933">
    <w:abstractNumId w:val="1"/>
  </w:num>
  <w:num w:numId="2" w16cid:durableId="1526555541">
    <w:abstractNumId w:val="2"/>
  </w:num>
  <w:num w:numId="3" w16cid:durableId="1178155579">
    <w:abstractNumId w:val="5"/>
  </w:num>
  <w:num w:numId="4" w16cid:durableId="1495949310">
    <w:abstractNumId w:val="4"/>
  </w:num>
  <w:num w:numId="5" w16cid:durableId="1659966952">
    <w:abstractNumId w:val="0"/>
  </w:num>
  <w:num w:numId="6" w16cid:durableId="98955964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F8"/>
    <w:rsid w:val="00005301"/>
    <w:rsid w:val="000133EE"/>
    <w:rsid w:val="00017F7F"/>
    <w:rsid w:val="000206A8"/>
    <w:rsid w:val="00027205"/>
    <w:rsid w:val="0003137A"/>
    <w:rsid w:val="00041171"/>
    <w:rsid w:val="00041727"/>
    <w:rsid w:val="0004226F"/>
    <w:rsid w:val="00050F8E"/>
    <w:rsid w:val="000518BB"/>
    <w:rsid w:val="00054C8F"/>
    <w:rsid w:val="000564F0"/>
    <w:rsid w:val="00056FD4"/>
    <w:rsid w:val="000573AD"/>
    <w:rsid w:val="0006123B"/>
    <w:rsid w:val="00064F6B"/>
    <w:rsid w:val="00072F17"/>
    <w:rsid w:val="000731AA"/>
    <w:rsid w:val="000806D8"/>
    <w:rsid w:val="00082C80"/>
    <w:rsid w:val="00083847"/>
    <w:rsid w:val="00083930"/>
    <w:rsid w:val="00083C36"/>
    <w:rsid w:val="00084D58"/>
    <w:rsid w:val="00092CAE"/>
    <w:rsid w:val="00095E48"/>
    <w:rsid w:val="000A184E"/>
    <w:rsid w:val="000A4F1C"/>
    <w:rsid w:val="000A69BF"/>
    <w:rsid w:val="000C225A"/>
    <w:rsid w:val="000C6781"/>
    <w:rsid w:val="000D0753"/>
    <w:rsid w:val="000E3B9A"/>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63BA3"/>
    <w:rsid w:val="00166B31"/>
    <w:rsid w:val="00167D54"/>
    <w:rsid w:val="00176AB5"/>
    <w:rsid w:val="00180771"/>
    <w:rsid w:val="00190854"/>
    <w:rsid w:val="001923DE"/>
    <w:rsid w:val="001930A3"/>
    <w:rsid w:val="00196EB8"/>
    <w:rsid w:val="001A25F0"/>
    <w:rsid w:val="001A341E"/>
    <w:rsid w:val="001B0EA6"/>
    <w:rsid w:val="001B1CDF"/>
    <w:rsid w:val="001B2EC4"/>
    <w:rsid w:val="001B56F4"/>
    <w:rsid w:val="001B7FA9"/>
    <w:rsid w:val="001C5462"/>
    <w:rsid w:val="001D265C"/>
    <w:rsid w:val="001D3062"/>
    <w:rsid w:val="001D3CFB"/>
    <w:rsid w:val="001D559B"/>
    <w:rsid w:val="001D6302"/>
    <w:rsid w:val="001E2C22"/>
    <w:rsid w:val="001E740C"/>
    <w:rsid w:val="001E7DD0"/>
    <w:rsid w:val="001F1BDA"/>
    <w:rsid w:val="001F3E4C"/>
    <w:rsid w:val="0020095E"/>
    <w:rsid w:val="00210BFE"/>
    <w:rsid w:val="00210D30"/>
    <w:rsid w:val="002204FD"/>
    <w:rsid w:val="00221020"/>
    <w:rsid w:val="00227029"/>
    <w:rsid w:val="002308B5"/>
    <w:rsid w:val="00233C0B"/>
    <w:rsid w:val="00234A34"/>
    <w:rsid w:val="0024064B"/>
    <w:rsid w:val="00245842"/>
    <w:rsid w:val="0025255D"/>
    <w:rsid w:val="00255EE3"/>
    <w:rsid w:val="00256B3D"/>
    <w:rsid w:val="0026743C"/>
    <w:rsid w:val="00270480"/>
    <w:rsid w:val="00272189"/>
    <w:rsid w:val="002779AF"/>
    <w:rsid w:val="002823D8"/>
    <w:rsid w:val="0028531A"/>
    <w:rsid w:val="00285446"/>
    <w:rsid w:val="00290082"/>
    <w:rsid w:val="00295593"/>
    <w:rsid w:val="002A354F"/>
    <w:rsid w:val="002A386C"/>
    <w:rsid w:val="002A54D3"/>
    <w:rsid w:val="002B09DF"/>
    <w:rsid w:val="002B2D7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36FEB"/>
    <w:rsid w:val="00340C69"/>
    <w:rsid w:val="00342E34"/>
    <w:rsid w:val="0036535A"/>
    <w:rsid w:val="00371CF1"/>
    <w:rsid w:val="0037222D"/>
    <w:rsid w:val="00373128"/>
    <w:rsid w:val="003750C1"/>
    <w:rsid w:val="0038051E"/>
    <w:rsid w:val="00380AF7"/>
    <w:rsid w:val="00394A05"/>
    <w:rsid w:val="00397770"/>
    <w:rsid w:val="00397880"/>
    <w:rsid w:val="003A7016"/>
    <w:rsid w:val="003B0C08"/>
    <w:rsid w:val="003C17A5"/>
    <w:rsid w:val="003C1843"/>
    <w:rsid w:val="003C336B"/>
    <w:rsid w:val="003D1552"/>
    <w:rsid w:val="003E05AB"/>
    <w:rsid w:val="003E381F"/>
    <w:rsid w:val="003E4046"/>
    <w:rsid w:val="003F003A"/>
    <w:rsid w:val="003F125B"/>
    <w:rsid w:val="003F7B3F"/>
    <w:rsid w:val="004058AD"/>
    <w:rsid w:val="0041078D"/>
    <w:rsid w:val="0041464A"/>
    <w:rsid w:val="00416F97"/>
    <w:rsid w:val="00425173"/>
    <w:rsid w:val="0043039B"/>
    <w:rsid w:val="00432ED0"/>
    <w:rsid w:val="00436197"/>
    <w:rsid w:val="00436C05"/>
    <w:rsid w:val="00440BF6"/>
    <w:rsid w:val="004423FE"/>
    <w:rsid w:val="00445C35"/>
    <w:rsid w:val="00451C0D"/>
    <w:rsid w:val="00454B41"/>
    <w:rsid w:val="0045663A"/>
    <w:rsid w:val="0046344E"/>
    <w:rsid w:val="004667E7"/>
    <w:rsid w:val="004672CF"/>
    <w:rsid w:val="00470DEF"/>
    <w:rsid w:val="00475797"/>
    <w:rsid w:val="00476D0A"/>
    <w:rsid w:val="00491024"/>
    <w:rsid w:val="0049253B"/>
    <w:rsid w:val="004A140B"/>
    <w:rsid w:val="004A372D"/>
    <w:rsid w:val="004A4B47"/>
    <w:rsid w:val="004A7EDD"/>
    <w:rsid w:val="004B0EC9"/>
    <w:rsid w:val="004B7BAA"/>
    <w:rsid w:val="004C2DF7"/>
    <w:rsid w:val="004C4E0B"/>
    <w:rsid w:val="004D13F3"/>
    <w:rsid w:val="004D497E"/>
    <w:rsid w:val="004E4809"/>
    <w:rsid w:val="004E4CC3"/>
    <w:rsid w:val="004E5985"/>
    <w:rsid w:val="004E6352"/>
    <w:rsid w:val="004E6460"/>
    <w:rsid w:val="004F6B46"/>
    <w:rsid w:val="0050425E"/>
    <w:rsid w:val="00507E45"/>
    <w:rsid w:val="00511999"/>
    <w:rsid w:val="00513EBA"/>
    <w:rsid w:val="005145D6"/>
    <w:rsid w:val="00521EA5"/>
    <w:rsid w:val="00525B80"/>
    <w:rsid w:val="0053098F"/>
    <w:rsid w:val="00536B2E"/>
    <w:rsid w:val="00546D8E"/>
    <w:rsid w:val="00553738"/>
    <w:rsid w:val="00553F7E"/>
    <w:rsid w:val="00554A76"/>
    <w:rsid w:val="0056646F"/>
    <w:rsid w:val="00571AE1"/>
    <w:rsid w:val="00581B28"/>
    <w:rsid w:val="005859C2"/>
    <w:rsid w:val="00592267"/>
    <w:rsid w:val="0059421F"/>
    <w:rsid w:val="005A136D"/>
    <w:rsid w:val="005A28F8"/>
    <w:rsid w:val="005B0AE2"/>
    <w:rsid w:val="005B1F2C"/>
    <w:rsid w:val="005B5F3C"/>
    <w:rsid w:val="005C41F2"/>
    <w:rsid w:val="005D03D9"/>
    <w:rsid w:val="005D1EE8"/>
    <w:rsid w:val="005D2E74"/>
    <w:rsid w:val="005D56AE"/>
    <w:rsid w:val="005D666D"/>
    <w:rsid w:val="005E3A59"/>
    <w:rsid w:val="005F4A70"/>
    <w:rsid w:val="00604802"/>
    <w:rsid w:val="00615AB0"/>
    <w:rsid w:val="00616247"/>
    <w:rsid w:val="0061778C"/>
    <w:rsid w:val="00623918"/>
    <w:rsid w:val="0063469C"/>
    <w:rsid w:val="00636B90"/>
    <w:rsid w:val="0064738B"/>
    <w:rsid w:val="00647EB2"/>
    <w:rsid w:val="006508EA"/>
    <w:rsid w:val="006525E0"/>
    <w:rsid w:val="00661A59"/>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444E"/>
    <w:rsid w:val="007651B1"/>
    <w:rsid w:val="007666EB"/>
    <w:rsid w:val="00767CE1"/>
    <w:rsid w:val="00771A68"/>
    <w:rsid w:val="00773339"/>
    <w:rsid w:val="00773E9F"/>
    <w:rsid w:val="007744D2"/>
    <w:rsid w:val="00784300"/>
    <w:rsid w:val="00786136"/>
    <w:rsid w:val="007A6F6B"/>
    <w:rsid w:val="007B05CF"/>
    <w:rsid w:val="007C212A"/>
    <w:rsid w:val="007C2A7F"/>
    <w:rsid w:val="007C4D04"/>
    <w:rsid w:val="007D5B3C"/>
    <w:rsid w:val="007D6A46"/>
    <w:rsid w:val="007E7D21"/>
    <w:rsid w:val="007E7DBD"/>
    <w:rsid w:val="007F482F"/>
    <w:rsid w:val="007F6ABE"/>
    <w:rsid w:val="007F7C94"/>
    <w:rsid w:val="00802016"/>
    <w:rsid w:val="0080398D"/>
    <w:rsid w:val="00805174"/>
    <w:rsid w:val="00806385"/>
    <w:rsid w:val="00807CC5"/>
    <w:rsid w:val="00807ED7"/>
    <w:rsid w:val="00811DDC"/>
    <w:rsid w:val="00814CC6"/>
    <w:rsid w:val="0082224C"/>
    <w:rsid w:val="00826D53"/>
    <w:rsid w:val="008273AA"/>
    <w:rsid w:val="00831751"/>
    <w:rsid w:val="00833369"/>
    <w:rsid w:val="00835B42"/>
    <w:rsid w:val="00842A4E"/>
    <w:rsid w:val="00846D31"/>
    <w:rsid w:val="00847D99"/>
    <w:rsid w:val="0085038E"/>
    <w:rsid w:val="0085230A"/>
    <w:rsid w:val="00855757"/>
    <w:rsid w:val="00860B9A"/>
    <w:rsid w:val="0086271D"/>
    <w:rsid w:val="0086420B"/>
    <w:rsid w:val="00864DBF"/>
    <w:rsid w:val="00865AE2"/>
    <w:rsid w:val="008663C8"/>
    <w:rsid w:val="0088163A"/>
    <w:rsid w:val="008845D7"/>
    <w:rsid w:val="00893376"/>
    <w:rsid w:val="0089601F"/>
    <w:rsid w:val="008970B8"/>
    <w:rsid w:val="008A5623"/>
    <w:rsid w:val="008A7313"/>
    <w:rsid w:val="008A7D91"/>
    <w:rsid w:val="008B7FC7"/>
    <w:rsid w:val="008C4337"/>
    <w:rsid w:val="008C4F06"/>
    <w:rsid w:val="008C6D86"/>
    <w:rsid w:val="008D0C90"/>
    <w:rsid w:val="008E1E4A"/>
    <w:rsid w:val="008F0615"/>
    <w:rsid w:val="008F103E"/>
    <w:rsid w:val="008F1FDB"/>
    <w:rsid w:val="008F36FB"/>
    <w:rsid w:val="00902EA9"/>
    <w:rsid w:val="0090427F"/>
    <w:rsid w:val="00920506"/>
    <w:rsid w:val="00931DEB"/>
    <w:rsid w:val="00933957"/>
    <w:rsid w:val="009356FA"/>
    <w:rsid w:val="00942A77"/>
    <w:rsid w:val="0094603B"/>
    <w:rsid w:val="009504A1"/>
    <w:rsid w:val="00950605"/>
    <w:rsid w:val="00952233"/>
    <w:rsid w:val="00954D66"/>
    <w:rsid w:val="00963F8F"/>
    <w:rsid w:val="0096537C"/>
    <w:rsid w:val="00973C62"/>
    <w:rsid w:val="00975D76"/>
    <w:rsid w:val="00982E51"/>
    <w:rsid w:val="009874B9"/>
    <w:rsid w:val="00993581"/>
    <w:rsid w:val="009A288C"/>
    <w:rsid w:val="009A56F5"/>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5555"/>
    <w:rsid w:val="00A771FD"/>
    <w:rsid w:val="00A80767"/>
    <w:rsid w:val="00A81C90"/>
    <w:rsid w:val="00A84B75"/>
    <w:rsid w:val="00A850AB"/>
    <w:rsid w:val="00A874EF"/>
    <w:rsid w:val="00A95415"/>
    <w:rsid w:val="00A975AD"/>
    <w:rsid w:val="00AA3C89"/>
    <w:rsid w:val="00AA71EA"/>
    <w:rsid w:val="00AB32BD"/>
    <w:rsid w:val="00AB4723"/>
    <w:rsid w:val="00AC4CDB"/>
    <w:rsid w:val="00AC70FE"/>
    <w:rsid w:val="00AD3AA3"/>
    <w:rsid w:val="00AD4358"/>
    <w:rsid w:val="00AF61E1"/>
    <w:rsid w:val="00AF638A"/>
    <w:rsid w:val="00B00141"/>
    <w:rsid w:val="00B009AA"/>
    <w:rsid w:val="00B00ECE"/>
    <w:rsid w:val="00B029D4"/>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A4856"/>
    <w:rsid w:val="00BB0D32"/>
    <w:rsid w:val="00BC133C"/>
    <w:rsid w:val="00BC27DC"/>
    <w:rsid w:val="00BC76B5"/>
    <w:rsid w:val="00BD5420"/>
    <w:rsid w:val="00BF5191"/>
    <w:rsid w:val="00C04BD2"/>
    <w:rsid w:val="00C13EEC"/>
    <w:rsid w:val="00C14689"/>
    <w:rsid w:val="00C156A4"/>
    <w:rsid w:val="00C20FAA"/>
    <w:rsid w:val="00C23509"/>
    <w:rsid w:val="00C2459D"/>
    <w:rsid w:val="00C2755A"/>
    <w:rsid w:val="00C316F1"/>
    <w:rsid w:val="00C372B5"/>
    <w:rsid w:val="00C42C95"/>
    <w:rsid w:val="00C4470F"/>
    <w:rsid w:val="00C455B6"/>
    <w:rsid w:val="00C50727"/>
    <w:rsid w:val="00C55E5B"/>
    <w:rsid w:val="00C62739"/>
    <w:rsid w:val="00C673F1"/>
    <w:rsid w:val="00C720A4"/>
    <w:rsid w:val="00C74F59"/>
    <w:rsid w:val="00C7611C"/>
    <w:rsid w:val="00C80F80"/>
    <w:rsid w:val="00C94097"/>
    <w:rsid w:val="00CA4269"/>
    <w:rsid w:val="00CA48CA"/>
    <w:rsid w:val="00CA7330"/>
    <w:rsid w:val="00CB1C84"/>
    <w:rsid w:val="00CB5363"/>
    <w:rsid w:val="00CB64F0"/>
    <w:rsid w:val="00CC2909"/>
    <w:rsid w:val="00CC4ADD"/>
    <w:rsid w:val="00CD0549"/>
    <w:rsid w:val="00CE6B3C"/>
    <w:rsid w:val="00CE6B78"/>
    <w:rsid w:val="00CF68C8"/>
    <w:rsid w:val="00D05E6F"/>
    <w:rsid w:val="00D14E0C"/>
    <w:rsid w:val="00D16766"/>
    <w:rsid w:val="00D20296"/>
    <w:rsid w:val="00D2231A"/>
    <w:rsid w:val="00D276BD"/>
    <w:rsid w:val="00D27929"/>
    <w:rsid w:val="00D33442"/>
    <w:rsid w:val="00D419C6"/>
    <w:rsid w:val="00D44BAD"/>
    <w:rsid w:val="00D45B55"/>
    <w:rsid w:val="00D4785A"/>
    <w:rsid w:val="00D52E43"/>
    <w:rsid w:val="00D64474"/>
    <w:rsid w:val="00D664D7"/>
    <w:rsid w:val="00D67E1E"/>
    <w:rsid w:val="00D7097B"/>
    <w:rsid w:val="00D7197D"/>
    <w:rsid w:val="00D72BC4"/>
    <w:rsid w:val="00D815FC"/>
    <w:rsid w:val="00D84885"/>
    <w:rsid w:val="00D8517B"/>
    <w:rsid w:val="00D91DFA"/>
    <w:rsid w:val="00DA0E5A"/>
    <w:rsid w:val="00DA159A"/>
    <w:rsid w:val="00DB0F9B"/>
    <w:rsid w:val="00DB1AB2"/>
    <w:rsid w:val="00DC17C2"/>
    <w:rsid w:val="00DC2E94"/>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77399"/>
    <w:rsid w:val="00E802A2"/>
    <w:rsid w:val="00E8410F"/>
    <w:rsid w:val="00E85C0B"/>
    <w:rsid w:val="00EA7089"/>
    <w:rsid w:val="00EB0ADE"/>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0EBA"/>
    <w:rsid w:val="00F44CCB"/>
    <w:rsid w:val="00F474C9"/>
    <w:rsid w:val="00F5126B"/>
    <w:rsid w:val="00F54EA3"/>
    <w:rsid w:val="00F60102"/>
    <w:rsid w:val="00F61675"/>
    <w:rsid w:val="00F623BE"/>
    <w:rsid w:val="00F6686B"/>
    <w:rsid w:val="00F67F74"/>
    <w:rsid w:val="00F712B3"/>
    <w:rsid w:val="00F71E9F"/>
    <w:rsid w:val="00F73DE3"/>
    <w:rsid w:val="00F744BF"/>
    <w:rsid w:val="00F7632C"/>
    <w:rsid w:val="00F77219"/>
    <w:rsid w:val="00F82743"/>
    <w:rsid w:val="00F84DD2"/>
    <w:rsid w:val="00F93301"/>
    <w:rsid w:val="00F95439"/>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09203E"/>
  <w15:docId w15:val="{EBFD13D1-F739-4AB1-B8B2-6316DB6E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ft,single space,footnote text,FOOTNOTES,fn,Footnote Text Char Char,ft1,(NECG) Footnote Text,Footnote Text Char Char Char Char Char,Footnote Text Char Char Char Char Char Char,(NECG) Footnote Text Char Char Char Char Char,ft2,Fußnote"/>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aliases w:val="ft Char,single space Char,footnote text Char,FOOTNOTES Char,fn Char,Footnote Text Char Char Char,ft1 Char,(NECG) Footnote Text Char,Footnote Text Char Char Char Char Char Char1,Footnote Text Char Char Char Char Char Char Char,ft2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513EBA"/>
  </w:style>
  <w:style w:type="paragraph" w:styleId="ListParagraph">
    <w:name w:val="List Paragraph"/>
    <w:basedOn w:val="Normal"/>
    <w:uiPriority w:val="34"/>
    <w:qFormat/>
    <w:rsid w:val="00513EBA"/>
    <w:pPr>
      <w:ind w:left="720"/>
      <w:contextualSpacing/>
    </w:pPr>
  </w:style>
  <w:style w:type="character" w:customStyle="1" w:styleId="eop">
    <w:name w:val="eop"/>
    <w:basedOn w:val="DefaultParagraphFont"/>
    <w:rsid w:val="00513EBA"/>
  </w:style>
  <w:style w:type="paragraph" w:customStyle="1" w:styleId="paragraph">
    <w:name w:val="paragraph"/>
    <w:basedOn w:val="Normal"/>
    <w:rsid w:val="00513EBA"/>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wmoomm.sharepoint.com/sites/GS/Shared%20Documents/Linguistic%20Resources/WMORibbon/Templates/WMO-Session-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SharedWithUsers xmlns="d34343af-28c4-4431-8b96-d735d539fd00">
      <UserInfo>
        <DisplayName>Andrew Martrich</DisplayName>
        <AccountId>1500</AccountId>
        <AccountType/>
      </UserInfo>
    </SharedWithUsers>
  </documentManagement>
</p:properties>
</file>

<file path=customXml/itemProps1.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3739D53-C3DB-4EF5-AEEB-D7239FD8F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343af-28c4-4431-8b96-d735d539f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d34343af-28c4-4431-8b96-d735d539fd00"/>
  </ds:schemaRefs>
</ds:datastoreItem>
</file>

<file path=docProps/app.xml><?xml version="1.0" encoding="utf-8"?>
<Properties xmlns="http://schemas.openxmlformats.org/officeDocument/2006/extended-properties" xmlns:vt="http://schemas.openxmlformats.org/officeDocument/2006/docPropsVTypes">
  <Template>WMO-Session-Template_en.dotx</Template>
  <TotalTime>2</TotalTime>
  <Pages>12</Pages>
  <Words>4776</Words>
  <Characters>27227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31940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Diana Mazo</dc:creator>
  <cp:lastModifiedBy>Yulia Tsarapkina</cp:lastModifiedBy>
  <cp:revision>5</cp:revision>
  <cp:lastPrinted>2013-03-12T09:27:00Z</cp:lastPrinted>
  <dcterms:created xsi:type="dcterms:W3CDTF">2024-09-09T13:07:00Z</dcterms:created>
  <dcterms:modified xsi:type="dcterms:W3CDTF">2024-09-12T14:39:00Z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yulia.tsarapkina</vt:lpwstr>
  </property>
  <property fmtid="{D5CDD505-2E9C-101B-9397-08002B2CF9AE}" pid="6" name="GeneratedDate">
    <vt:lpwstr>09/12/2024 14:36:57</vt:lpwstr>
  </property>
  <property fmtid="{D5CDD505-2E9C-101B-9397-08002B2CF9AE}" pid="7" name="OriginalDocID">
    <vt:lpwstr>088c7c5a-edc3-46a1-bad5-38ce29950ad6</vt:lpwstr>
  </property>
</Properties>
</file>