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Look w:val="01E0" w:firstRow="1" w:lastRow="1" w:firstColumn="1" w:lastColumn="1" w:noHBand="0" w:noVBand="0"/>
      </w:tblPr>
      <w:tblGrid>
        <w:gridCol w:w="500"/>
        <w:gridCol w:w="6852"/>
        <w:gridCol w:w="2962"/>
      </w:tblGrid>
      <w:tr w:rsidR="00BB5E86" w:rsidRPr="00BB5E86" w14:paraId="402946F2" w14:textId="77777777" w:rsidTr="00826D53">
        <w:trPr>
          <w:trHeight w:val="282"/>
        </w:trPr>
        <w:tc>
          <w:tcPr>
            <w:tcW w:w="500" w:type="dxa"/>
            <w:vMerge w:val="restart"/>
            <w:tcBorders>
              <w:bottom w:val="nil"/>
            </w:tcBorders>
            <w:textDirection w:val="btLr"/>
          </w:tcPr>
          <w:p w14:paraId="4045F0A7" w14:textId="77777777" w:rsidR="00A80767" w:rsidRPr="00BB5E86" w:rsidRDefault="00A80767" w:rsidP="00826D53">
            <w:pPr>
              <w:tabs>
                <w:tab w:val="clear" w:pos="1134"/>
                <w:tab w:val="left" w:pos="6946"/>
              </w:tabs>
              <w:suppressAutoHyphens/>
              <w:spacing w:after="120" w:line="252" w:lineRule="auto"/>
              <w:ind w:left="175" w:right="113"/>
              <w:jc w:val="right"/>
              <w:rPr>
                <w:color w:val="365F91" w:themeColor="accent1" w:themeShade="BF"/>
                <w:sz w:val="10"/>
                <w:szCs w:val="10"/>
              </w:rPr>
            </w:pPr>
            <w:bookmarkStart w:id="0" w:name="_Hlk176524359"/>
            <w:r w:rsidRPr="00BB5E86">
              <w:rPr>
                <w:color w:val="365F91" w:themeColor="accent1" w:themeShade="BF"/>
                <w:sz w:val="10"/>
                <w:szCs w:val="10"/>
                <w:lang w:val="fr-FR"/>
              </w:rPr>
              <w:t>TEMPS CLIMAT EAU</w:t>
            </w:r>
          </w:p>
        </w:tc>
        <w:tc>
          <w:tcPr>
            <w:tcW w:w="6852" w:type="dxa"/>
            <w:vMerge w:val="restart"/>
          </w:tcPr>
          <w:p w14:paraId="562E0425" w14:textId="77777777" w:rsidR="00A80767" w:rsidRPr="00BB5E86" w:rsidRDefault="00A80767"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BB5E86">
              <w:rPr>
                <w:noProof/>
                <w:color w:val="365F91" w:themeColor="accent1" w:themeShade="BF"/>
                <w:szCs w:val="22"/>
                <w:lang w:val="fr-FR" w:eastAsia="zh-CN"/>
              </w:rPr>
              <w:drawing>
                <wp:anchor distT="0" distB="0" distL="114300" distR="114300" simplePos="0" relativeHeight="251659264" behindDoc="1" locked="1" layoutInCell="1" allowOverlap="1" wp14:anchorId="3E41CD72" wp14:editId="7D7358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E86">
              <w:rPr>
                <w:b/>
                <w:bCs/>
                <w:color w:val="365F91" w:themeColor="accent1" w:themeShade="BF"/>
                <w:lang w:val="fr-FR"/>
              </w:rPr>
              <w:t>Organisation météorologique mondiale</w:t>
            </w:r>
          </w:p>
          <w:p w14:paraId="3E61D23D" w14:textId="2AC5AB75" w:rsidR="00A80767" w:rsidRPr="00BB5E86" w:rsidRDefault="005A28F8" w:rsidP="00826D53">
            <w:pPr>
              <w:tabs>
                <w:tab w:val="left" w:pos="6946"/>
              </w:tabs>
              <w:suppressAutoHyphens/>
              <w:spacing w:after="120" w:line="252" w:lineRule="auto"/>
              <w:ind w:left="1134"/>
              <w:jc w:val="left"/>
              <w:rPr>
                <w:rFonts w:cs="Tahoma"/>
                <w:b/>
                <w:color w:val="365F91" w:themeColor="accent1" w:themeShade="BF"/>
                <w:spacing w:val="-2"/>
                <w:szCs w:val="22"/>
                <w:lang w:val="fr-CH"/>
              </w:rPr>
            </w:pPr>
            <w:r w:rsidRPr="00BB5E86">
              <w:rPr>
                <w:b/>
                <w:bCs/>
                <w:color w:val="365F91" w:themeColor="accent1" w:themeShade="BF"/>
                <w:lang w:val="fr-FR"/>
              </w:rPr>
              <w:t>CONSEIL RÉGIONAL VI</w:t>
            </w:r>
            <w:r w:rsidR="00CE7D44">
              <w:rPr>
                <w:b/>
                <w:bCs/>
                <w:color w:val="365F91" w:themeColor="accent1" w:themeShade="BF"/>
                <w:lang w:val="fr-FR"/>
              </w:rPr>
              <w:br/>
            </w:r>
            <w:r w:rsidRPr="00BB5E86">
              <w:rPr>
                <w:b/>
                <w:bCs/>
                <w:color w:val="365F91" w:themeColor="accent1" w:themeShade="BF"/>
                <w:lang w:val="fr-FR"/>
              </w:rPr>
              <w:t>(EUROPE)</w:t>
            </w:r>
          </w:p>
          <w:p w14:paraId="5445343C" w14:textId="77777777" w:rsidR="00BB5E86" w:rsidRPr="00BB5E86" w:rsidRDefault="005A28F8" w:rsidP="00CE7D44">
            <w:pPr>
              <w:tabs>
                <w:tab w:val="left" w:pos="6946"/>
              </w:tabs>
              <w:suppressAutoHyphens/>
              <w:spacing w:line="252" w:lineRule="auto"/>
              <w:ind w:left="1134"/>
              <w:jc w:val="left"/>
              <w:rPr>
                <w:b/>
                <w:bCs/>
                <w:color w:val="365F91" w:themeColor="accent1" w:themeShade="BF"/>
                <w:lang w:val="fr-FR"/>
              </w:rPr>
            </w:pPr>
            <w:r w:rsidRPr="00BB5E86">
              <w:rPr>
                <w:b/>
                <w:bCs/>
                <w:color w:val="365F91" w:themeColor="accent1" w:themeShade="BF"/>
                <w:lang w:val="fr-FR"/>
              </w:rPr>
              <w:t>Dix-neuvième session (phase I)</w:t>
            </w:r>
          </w:p>
          <w:p w14:paraId="49CB3CFC" w14:textId="339773E0" w:rsidR="00A80767" w:rsidRPr="00BB5E86" w:rsidRDefault="005A28F8" w:rsidP="00826D53">
            <w:pPr>
              <w:tabs>
                <w:tab w:val="left" w:pos="6946"/>
              </w:tabs>
              <w:suppressAutoHyphens/>
              <w:spacing w:after="120" w:line="252" w:lineRule="auto"/>
              <w:ind w:left="1134"/>
              <w:jc w:val="left"/>
              <w:rPr>
                <w:rFonts w:cs="Tahoma"/>
                <w:b/>
                <w:bCs/>
                <w:color w:val="365F91" w:themeColor="accent1" w:themeShade="BF"/>
                <w:szCs w:val="22"/>
                <w:lang w:val="fr-CH"/>
              </w:rPr>
            </w:pPr>
            <w:r w:rsidRPr="00BB5E86">
              <w:rPr>
                <w:color w:val="365F91" w:themeColor="accent1" w:themeShade="BF"/>
                <w:lang w:val="fr-FR"/>
              </w:rPr>
              <w:t>15 et 16 octobre 2024, Visioconférence</w:t>
            </w:r>
          </w:p>
        </w:tc>
        <w:tc>
          <w:tcPr>
            <w:tcW w:w="2962" w:type="dxa"/>
          </w:tcPr>
          <w:p w14:paraId="14EF6CB0" w14:textId="77777777" w:rsidR="00A80767" w:rsidRPr="00BB5E86" w:rsidRDefault="005A28F8" w:rsidP="00826D53">
            <w:pPr>
              <w:tabs>
                <w:tab w:val="clear" w:pos="1134"/>
              </w:tabs>
              <w:spacing w:after="60"/>
              <w:ind w:right="-108"/>
              <w:jc w:val="right"/>
              <w:rPr>
                <w:rFonts w:cs="Tahoma"/>
                <w:b/>
                <w:bCs/>
                <w:color w:val="365F91" w:themeColor="accent1" w:themeShade="BF"/>
                <w:szCs w:val="22"/>
              </w:rPr>
            </w:pPr>
            <w:r w:rsidRPr="00BB5E86">
              <w:rPr>
                <w:b/>
                <w:bCs/>
                <w:color w:val="365F91" w:themeColor="accent1" w:themeShade="BF"/>
                <w:lang w:val="fr-FR"/>
              </w:rPr>
              <w:t>RA VI-19(I)/INF. 3.4(2)</w:t>
            </w:r>
          </w:p>
        </w:tc>
      </w:tr>
      <w:tr w:rsidR="00BB5E86" w:rsidRPr="00CE7D44" w14:paraId="664B1824" w14:textId="77777777" w:rsidTr="00826D53">
        <w:trPr>
          <w:trHeight w:val="730"/>
        </w:trPr>
        <w:tc>
          <w:tcPr>
            <w:tcW w:w="500" w:type="dxa"/>
            <w:vMerge/>
            <w:tcBorders>
              <w:bottom w:val="nil"/>
            </w:tcBorders>
          </w:tcPr>
          <w:p w14:paraId="0A9395CC" w14:textId="77777777" w:rsidR="00A80767" w:rsidRPr="00BB5E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AE66B74" w14:textId="77777777" w:rsidR="00A80767" w:rsidRPr="00BB5E86"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4B531C2" w14:textId="49AA6D69" w:rsidR="00A80767" w:rsidRPr="00BB5E86" w:rsidRDefault="00A80767" w:rsidP="00826D53">
            <w:pPr>
              <w:tabs>
                <w:tab w:val="clear" w:pos="1134"/>
              </w:tabs>
              <w:spacing w:before="120" w:after="60"/>
              <w:ind w:right="-108"/>
              <w:jc w:val="right"/>
              <w:rPr>
                <w:rFonts w:cs="Tahoma"/>
                <w:color w:val="365F91" w:themeColor="accent1" w:themeShade="BF"/>
                <w:szCs w:val="22"/>
                <w:lang w:val="fr-CH"/>
              </w:rPr>
            </w:pPr>
            <w:r w:rsidRPr="00BB5E86">
              <w:rPr>
                <w:color w:val="365F91" w:themeColor="accent1" w:themeShade="BF"/>
                <w:lang w:val="fr-FR"/>
              </w:rPr>
              <w:t>Présenté par :</w:t>
            </w:r>
            <w:r w:rsidR="00BB5E86" w:rsidRPr="00BB5E86">
              <w:rPr>
                <w:color w:val="365F91" w:themeColor="accent1" w:themeShade="BF"/>
                <w:lang w:val="fr-FR"/>
              </w:rPr>
              <w:br/>
            </w:r>
            <w:r w:rsidRPr="00BB5E86">
              <w:rPr>
                <w:color w:val="365F91" w:themeColor="accent1" w:themeShade="BF"/>
                <w:lang w:val="fr-FR"/>
              </w:rPr>
              <w:t>Secrétaire générale</w:t>
            </w:r>
          </w:p>
          <w:p w14:paraId="4642B98A" w14:textId="68E17316" w:rsidR="00A80767" w:rsidRPr="00BB5E86" w:rsidRDefault="0024064B" w:rsidP="00826D53">
            <w:pPr>
              <w:tabs>
                <w:tab w:val="clear" w:pos="1134"/>
              </w:tabs>
              <w:spacing w:before="120" w:after="60"/>
              <w:ind w:right="-108"/>
              <w:jc w:val="right"/>
              <w:rPr>
                <w:rFonts w:cs="Tahoma"/>
                <w:color w:val="365F91" w:themeColor="accent1" w:themeShade="BF"/>
                <w:szCs w:val="22"/>
                <w:lang w:val="fr-CH"/>
              </w:rPr>
            </w:pPr>
            <w:r w:rsidRPr="00BB5E86">
              <w:rPr>
                <w:color w:val="365F91" w:themeColor="accent1" w:themeShade="BF"/>
                <w:lang w:val="fr-FR"/>
              </w:rPr>
              <w:t>9.IX.2024</w:t>
            </w:r>
          </w:p>
          <w:p w14:paraId="08D4C9B7" w14:textId="77777777" w:rsidR="00A80767" w:rsidRPr="00BB5E86" w:rsidRDefault="00A80767" w:rsidP="00826D53">
            <w:pPr>
              <w:tabs>
                <w:tab w:val="clear" w:pos="1134"/>
              </w:tabs>
              <w:spacing w:before="120" w:after="60"/>
              <w:ind w:right="-108"/>
              <w:jc w:val="right"/>
              <w:rPr>
                <w:rFonts w:cs="Tahoma"/>
                <w:b/>
                <w:bCs/>
                <w:color w:val="365F91" w:themeColor="accent1" w:themeShade="BF"/>
                <w:szCs w:val="22"/>
                <w:lang w:val="fr-CH"/>
              </w:rPr>
            </w:pPr>
          </w:p>
        </w:tc>
      </w:tr>
    </w:tbl>
    <w:p w14:paraId="07B00CAA" w14:textId="77777777" w:rsidR="00BB5E86" w:rsidRDefault="00BB5E86" w:rsidP="00BB5E86">
      <w:pPr>
        <w:rPr>
          <w:rFonts w:eastAsia="Calibri" w:cs="Calibri"/>
          <w:i/>
          <w:iCs/>
          <w:color w:val="FF0000"/>
          <w:lang w:val="fr-CH"/>
        </w:rPr>
      </w:pPr>
    </w:p>
    <w:p w14:paraId="3BDCBF1D" w14:textId="45D7ED1B" w:rsidR="00BB5E86" w:rsidRPr="00BB5E86" w:rsidRDefault="00BB5E86" w:rsidP="00BB5E86">
      <w:pPr>
        <w:rPr>
          <w:rFonts w:cs="Calibri"/>
          <w:i/>
          <w:iCs/>
          <w:color w:val="FF0000"/>
          <w:lang w:val="fr-CH"/>
        </w:rPr>
      </w:pPr>
      <w:r w:rsidRPr="00BB5E86">
        <w:rPr>
          <w:rFonts w:eastAsia="Calibri" w:cs="Calibri"/>
          <w:i/>
          <w:iCs/>
          <w:color w:val="FF0000"/>
          <w:lang w:val="fr-CH"/>
        </w:rPr>
        <w:t>[Ce document, produit à titre indicatif, est le résultat d’une traduction automatique sans post</w:t>
      </w:r>
      <w:r w:rsidRPr="00BB5E86">
        <w:rPr>
          <w:rFonts w:eastAsia="Calibri" w:cs="Calibri"/>
          <w:i/>
          <w:iCs/>
          <w:color w:val="FF0000"/>
          <w:lang w:val="fr-CH"/>
        </w:rPr>
        <w:noBreakHyphen/>
        <w:t xml:space="preserve">édition. Aucune garantie, expresse ou implicite, n’est donnée quant à son exactitude, sa fiabilité ou sa précision. Les divergences ou différences ayant pu résulter de la traduction vers le français du contenu du document original ne créent aucune obligation et n'ont aucun effet juridique en termes de conformité, d'exécution ou à toute autre fin. Il se peut que certains contenus (tels que les images) n'aient pu être traduits en raison des limites techniques du système. En cas de doute sur l'exactitude des informations contenues dans la traduction, </w:t>
      </w:r>
      <w:proofErr w:type="spellStart"/>
      <w:r w:rsidRPr="00BB5E86">
        <w:rPr>
          <w:rFonts w:eastAsia="Calibri" w:cs="Calibri"/>
          <w:i/>
          <w:iCs/>
          <w:color w:val="FF0000"/>
          <w:lang w:val="fr-CH"/>
        </w:rPr>
        <w:t>veuillez vous</w:t>
      </w:r>
      <w:proofErr w:type="spellEnd"/>
      <w:r w:rsidRPr="00BB5E86">
        <w:rPr>
          <w:rFonts w:eastAsia="Calibri" w:cs="Calibri"/>
          <w:i/>
          <w:iCs/>
          <w:color w:val="FF0000"/>
          <w:lang w:val="fr-CH"/>
        </w:rPr>
        <w:t xml:space="preserve"> reporter à l'original anglais qui constitue la version officielle du document.]</w:t>
      </w:r>
    </w:p>
    <w:p w14:paraId="69EA12CA" w14:textId="1C704536" w:rsidR="00513EBA" w:rsidRPr="005D4451" w:rsidRDefault="00513EBA" w:rsidP="00513EBA">
      <w:pPr>
        <w:pStyle w:val="Heading2"/>
        <w:rPr>
          <w:lang w:val="fr-CH"/>
        </w:rPr>
      </w:pPr>
      <w:r w:rsidRPr="005D4451">
        <w:rPr>
          <w:lang w:val="fr-FR"/>
        </w:rPr>
        <w:t>LA MOBILISATION DES RESSOURCES</w:t>
      </w:r>
    </w:p>
    <w:p w14:paraId="53DFB6EF" w14:textId="09CFA9A7" w:rsidR="00513EBA" w:rsidRPr="00EB79CE" w:rsidRDefault="0024064B" w:rsidP="00513EBA">
      <w:pPr>
        <w:pStyle w:val="Heading2"/>
        <w:rPr>
          <w:sz w:val="20"/>
          <w:szCs w:val="20"/>
          <w:lang w:val="fr-CH"/>
        </w:rPr>
      </w:pPr>
      <w:r w:rsidRPr="00EB79CE">
        <w:rPr>
          <w:sz w:val="20"/>
          <w:szCs w:val="20"/>
          <w:lang w:val="fr-FR"/>
        </w:rPr>
        <w:t>STRATÉGIE DE MOBILISATION DES RESSOURCES DE L'OMM ET SOUTIEN DES MEMBRES PAR LE BIAIS D'INITIATIVES PHARES (EW4ALL, GBON/SOFF ET G3W), DU PROGRAMME DE COOPÉRATION VOLONTAIRE (PCV) ET DE PROJETS FINANCÉS PAR DES CONTRIBUTIONS VOLONTAIRES</w:t>
      </w:r>
    </w:p>
    <w:p w14:paraId="4879C9B6" w14:textId="77777777" w:rsidR="00513EBA" w:rsidRPr="00BB5E86" w:rsidRDefault="00513EBA" w:rsidP="00513EBA">
      <w:pPr>
        <w:pStyle w:val="Heading3"/>
        <w:rPr>
          <w:lang w:val="fr-CH"/>
        </w:rPr>
      </w:pPr>
      <w:r w:rsidRPr="00BB5E86">
        <w:rPr>
          <w:lang w:val="fr-FR"/>
        </w:rPr>
        <w:t>Introduction</w:t>
      </w:r>
    </w:p>
    <w:p w14:paraId="033C31A0" w14:textId="77777777" w:rsidR="00513EBA" w:rsidRPr="00BB5E86" w:rsidRDefault="00513EBA" w:rsidP="00513EBA">
      <w:pPr>
        <w:spacing w:before="240" w:after="120"/>
        <w:jc w:val="left"/>
        <w:rPr>
          <w:rFonts w:eastAsia="Verdana" w:cs="Verdana"/>
          <w:color w:val="0D0D0D" w:themeColor="text1" w:themeTint="F2"/>
          <w:lang w:val="fr-CH"/>
        </w:rPr>
      </w:pPr>
      <w:r w:rsidRPr="00BB5E86">
        <w:rPr>
          <w:lang w:val="fr-FR"/>
        </w:rPr>
        <w:t>La mobilisation des ressources est essentielle pour moderniser et renforcer les capacités opérationnelles, les services et la durabilité des services météorologiques et hydrologiques nationaux (SMHN) dans le monde entier. Cette nécessité est également présente dans l'AR VI, qui comprend un groupe diversifié de Membres de l'OMM à différents stades de développement. La nécessité d'accroître la mobilisation des ressources est motivée par l'augmentation rapide de la demande de services liés au temps, au climat et à l'eau et par l'ambition correspondante de combler le déficit de capacités (objectif stratégique 4, Plan stratégique de l'OMM 2024-2027). Dans le même temps, les possibilités de mobiliser des ressources à plus grande échelle se multiplient, compte tenu de la volonté politique croissante d'améliorer le volume et l'accès au financement concessionnel du climat et du développement afin de renforcer la gestion des risques climatiques, l'adaptation et l'atténuation des effets du changement climatique.</w:t>
      </w:r>
    </w:p>
    <w:p w14:paraId="374866D2" w14:textId="77777777" w:rsidR="00513EBA" w:rsidRPr="00BB5E86" w:rsidRDefault="00513EBA" w:rsidP="00513EBA">
      <w:pPr>
        <w:shd w:val="clear" w:color="auto" w:fill="FFFFFF" w:themeFill="background1"/>
        <w:spacing w:before="240" w:after="120"/>
        <w:jc w:val="left"/>
        <w:rPr>
          <w:lang w:val="fr-CH"/>
        </w:rPr>
      </w:pPr>
      <w:r w:rsidRPr="00BB5E86">
        <w:rPr>
          <w:lang w:val="fr-FR"/>
        </w:rPr>
        <w:t>Les ressources extrabudgétaires, appelées "contributions volontaires" à l'OMM, sont mises à disposition par des partenaires de développement, des fonds multilatéraux pour le climat, des organismes de recherche, des fondations, des entités commerciales, etc. Les contributions, y compris les subventions de projets, sont fournies à l'OMM, à ses partenaires et à ses membres pour la mise en œuvre de projets de développement, d'assistance technique, de renforcement des capacités et de programmes thématiques. L'aide n'est pas seulement financière, elle consiste également en l'apport d'expertise, le détachement de spécialistes et d'autres formes d'aide en nature.</w:t>
      </w:r>
    </w:p>
    <w:p w14:paraId="6F9D59C2" w14:textId="77777777" w:rsidR="00513EBA" w:rsidRPr="00BB5E86" w:rsidRDefault="00513EBA" w:rsidP="00513EBA">
      <w:pPr>
        <w:spacing w:before="240" w:after="120"/>
        <w:jc w:val="left"/>
        <w:rPr>
          <w:rFonts w:eastAsia="Verdana" w:cs="Verdana"/>
          <w:color w:val="0D0D0D" w:themeColor="text1" w:themeTint="F2"/>
          <w:lang w:val="fr-CH"/>
        </w:rPr>
      </w:pPr>
      <w:r w:rsidRPr="00BB5E86">
        <w:rPr>
          <w:lang w:val="fr-FR"/>
        </w:rPr>
        <w:t>Ce document résume la stratégie de l'OMM en matière de mobilisation des ressources et souligne le rôle essentiel que les SMHN peuvent jouer dans la mobilisation des fonds destinés à la lutte contre le changement climatique et au développement. En outre, il décrit les mécanismes spécifiques de soutien aux Membres, notamment les initiatives phares de l'OMM - Avertissements précoces pour tous (EW4All), le Réseau mondial d'observation de base et le Mécanisme de financement des observations systématiques associé (GBON/SOFF), et la Veille mondiale des gaz à effet de serre (G3W) - ainsi que le Programme de coopération volontaire (PCV) et d'autres bailleurs de fonds de projets extrabudgétaires.</w:t>
      </w:r>
    </w:p>
    <w:p w14:paraId="028965A9" w14:textId="77777777" w:rsidR="00513EBA" w:rsidRPr="00BB5E86" w:rsidRDefault="00513EBA" w:rsidP="0024064B">
      <w:pPr>
        <w:pStyle w:val="Heading3"/>
        <w:spacing w:after="120"/>
        <w:rPr>
          <w:lang w:val="fr-CH"/>
        </w:rPr>
      </w:pPr>
      <w:r w:rsidRPr="00BB5E86">
        <w:rPr>
          <w:lang w:val="fr-FR"/>
        </w:rPr>
        <w:lastRenderedPageBreak/>
        <w:t>Stratégie de l’OMM en matière de mobilisation des ressources</w:t>
      </w:r>
      <w:r w:rsidRPr="00BB5E86">
        <w:rPr>
          <w:vertAlign w:val="superscript"/>
          <w:lang w:val="fr-FR"/>
        </w:rPr>
        <w:footnoteReference w:id="2"/>
      </w:r>
    </w:p>
    <w:p w14:paraId="6C0DB35F"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Le Dix-neuvième Congrès météorologique mondial (Cg-19) a approuvé le Plan stratégique 2024-2027, qui définit les grandes priorités stratégiques devant guider l'OMM au cours des quatre prochaines années, dans un contexte de changements climatiques, sociétaux et technologiques rapides. Le plan stratégique fixe cinq objectifs à long terme pour promouvoir la vision de l'OMM selon laquelle "d'ici à 2030, nous verrons un monde où toutes les nations, en particulier les plus vulnérables, seront plus résilientes face aux conséquences socio-économiques des phénomènes extrêmes liés au temps, au climat, à l'eau et à d'autres aspects de l'environnement".</w:t>
      </w:r>
    </w:p>
    <w:p w14:paraId="64A73F72"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Pour contribuer à la réalisation de cette vision, la mobilisation des ressources s'effectuera dans trois domaines d'engagement, tous en faveur des Membres de l'OMM:</w:t>
      </w:r>
    </w:p>
    <w:p w14:paraId="7F39D399" w14:textId="0F6CE464" w:rsidR="00513EBA" w:rsidRPr="00BB5E86"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Projets et activités extrabudgétaires du Secrétariat, y compris l'assistance technique, le développement des capacités, les projets de développement, les activités fondées sur la recherche et l'innovation, et l'augmentation des programmes mondiaux de l'OMM nécessitant des ressources dépassant le budget ordinaire;</w:t>
      </w:r>
    </w:p>
    <w:p w14:paraId="687796F5" w14:textId="371B7D24" w:rsidR="00513EBA" w:rsidRPr="00BB5E86"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Les initiatives phares de l'OMM, à savoir EW4All, G3W et GBON, pour lesquelles la plupart des investissements et de la mise en œuvre seront réalisés en dehors du secrétariat de l'OMM;</w:t>
      </w:r>
    </w:p>
    <w:p w14:paraId="4EE710F1" w14:textId="77777777" w:rsidR="00513EBA" w:rsidRPr="00BB5E86"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Un soutien plus large aux membres, notamment en aidant les partenaires de développement à fournir des investissements techniquement appropriés et fondés sur les besoins et en aidant les membres à mobiliser directement des ressources.</w:t>
      </w:r>
    </w:p>
    <w:p w14:paraId="1181C286" w14:textId="77777777" w:rsidR="00513EBA" w:rsidRPr="00BB5E86" w:rsidRDefault="00513EBA" w:rsidP="00513EBA">
      <w:pPr>
        <w:shd w:val="clear" w:color="auto" w:fill="FFFFFF" w:themeFill="background1"/>
        <w:spacing w:before="240" w:after="120"/>
        <w:jc w:val="left"/>
        <w:rPr>
          <w:rFonts w:eastAsia="Verdana" w:cs="Verdana"/>
          <w:color w:val="000000" w:themeColor="text1"/>
        </w:rPr>
      </w:pPr>
      <w:r w:rsidRPr="00BB5E86">
        <w:rPr>
          <w:lang w:val="fr-FR"/>
        </w:rPr>
        <w:t>De nombreuses initiatives et de nombreux projets sont actifs dans plus d'une de ces sphères, ce qui permet de renforcer l'efficacité et d'accroître l'impact. Trois objectifs de mobilisation des ressources:</w:t>
      </w:r>
    </w:p>
    <w:p w14:paraId="3A104168" w14:textId="22FA7323" w:rsidR="00513EBA" w:rsidRPr="00BB5E86"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fr-CH"/>
        </w:rPr>
      </w:pPr>
      <w:r w:rsidRPr="00BB5E86">
        <w:rPr>
          <w:lang w:val="fr-FR"/>
        </w:rPr>
        <w:t>Promouvoir le bien public mondial et les progrès de la recherche;</w:t>
      </w:r>
    </w:p>
    <w:p w14:paraId="1CAA0B80" w14:textId="4746C644" w:rsidR="00DC2E94" w:rsidRPr="00BB5E86" w:rsidRDefault="00513EBA" w:rsidP="00DC2E94">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fr-CH"/>
        </w:rPr>
      </w:pPr>
      <w:r w:rsidRPr="00BB5E86">
        <w:rPr>
          <w:lang w:val="fr-FR"/>
        </w:rPr>
        <w:t>Soutien de l'ensemble de l'institution aux membres;</w:t>
      </w:r>
    </w:p>
    <w:p w14:paraId="4287E360" w14:textId="77777777" w:rsidR="00513EBA" w:rsidRPr="00BB5E86"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lang w:val="fr-CH"/>
        </w:rPr>
      </w:pPr>
      <w:r w:rsidRPr="00BB5E86">
        <w:rPr>
          <w:lang w:val="fr-FR"/>
        </w:rPr>
        <w:t>Comme le montre la figure 1, l'effet de levier s'applique aux trois sphères de l'engagement de l'OMM en matière de mobilisation des ressources.</w:t>
      </w:r>
    </w:p>
    <w:p w14:paraId="722AA45A" w14:textId="77777777" w:rsidR="00513EBA" w:rsidRPr="00BB5E86" w:rsidRDefault="00513EBA" w:rsidP="00513EBA">
      <w:pPr>
        <w:spacing w:before="240" w:after="120"/>
        <w:jc w:val="center"/>
        <w:rPr>
          <w:rStyle w:val="normaltextrun"/>
          <w:color w:val="000000" w:themeColor="text1"/>
        </w:rPr>
      </w:pPr>
      <w:r w:rsidRPr="00BB5E86">
        <w:rPr>
          <w:rFonts w:eastAsia="Verdana" w:cs="Verdana"/>
          <w:noProof/>
          <w:color w:val="2B579A"/>
          <w:shd w:val="clear" w:color="auto" w:fill="E6E6E6"/>
        </w:rPr>
        <w:lastRenderedPageBreak/>
        <w:drawing>
          <wp:inline distT="0" distB="0" distL="0" distR="0" wp14:anchorId="4D2611CC" wp14:editId="48859966">
            <wp:extent cx="4729995" cy="3370989"/>
            <wp:effectExtent l="0" t="0" r="0" b="127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t="3392" b="3964"/>
                    <a:stretch/>
                  </pic:blipFill>
                  <pic:spPr bwMode="auto">
                    <a:xfrm>
                      <a:off x="0" y="0"/>
                      <a:ext cx="4750981" cy="3385945"/>
                    </a:xfrm>
                    <a:prstGeom prst="rect">
                      <a:avLst/>
                    </a:prstGeom>
                    <a:ln>
                      <a:noFill/>
                    </a:ln>
                    <a:extLst>
                      <a:ext uri="{53640926-AAD7-44D8-BBD7-CCE9431645EC}">
                        <a14:shadowObscured xmlns:a14="http://schemas.microsoft.com/office/drawing/2010/main"/>
                      </a:ext>
                    </a:extLst>
                  </pic:spPr>
                </pic:pic>
              </a:graphicData>
            </a:graphic>
          </wp:inline>
        </w:drawing>
      </w:r>
    </w:p>
    <w:p w14:paraId="68EFFFA9" w14:textId="77777777" w:rsidR="00513EBA" w:rsidRPr="00BB5E86" w:rsidRDefault="00513EBA" w:rsidP="00513EBA">
      <w:pPr>
        <w:spacing w:before="240" w:after="120"/>
        <w:jc w:val="center"/>
        <w:rPr>
          <w:b/>
          <w:bCs/>
          <w:color w:val="000000" w:themeColor="text1"/>
          <w:lang w:val="fr-CH"/>
        </w:rPr>
      </w:pPr>
      <w:r w:rsidRPr="00BB5E86">
        <w:rPr>
          <w:b/>
          <w:bCs/>
          <w:lang w:val="fr-FR"/>
        </w:rPr>
        <w:t>Figure 1.</w:t>
      </w:r>
      <w:r w:rsidRPr="00BB5E86">
        <w:rPr>
          <w:lang w:val="fr-FR"/>
        </w:rPr>
        <w:t xml:space="preserve"> </w:t>
      </w:r>
      <w:r w:rsidRPr="00BB5E86">
        <w:rPr>
          <w:b/>
          <w:bCs/>
          <w:lang w:val="fr-FR"/>
        </w:rPr>
        <w:t>Sphères et objectifs transversaux de la mobilisation des ressources de l'OMM.</w:t>
      </w:r>
      <w:r w:rsidRPr="00BB5E86">
        <w:rPr>
          <w:lang w:val="fr-FR"/>
        </w:rPr>
        <w:t xml:space="preserve"> </w:t>
      </w:r>
      <w:r w:rsidRPr="00BB5E86">
        <w:rPr>
          <w:b/>
          <w:bCs/>
          <w:lang w:val="fr-FR"/>
        </w:rPr>
        <w:t>Toutes les sphères et tous les objectifs se chevauchent et se renforcent mutuellement.</w:t>
      </w:r>
    </w:p>
    <w:p w14:paraId="5A2FF70C" w14:textId="77777777" w:rsidR="00513EBA" w:rsidRPr="00BB5E86" w:rsidRDefault="00513EBA" w:rsidP="00513EBA">
      <w:pPr>
        <w:spacing w:before="240" w:after="120"/>
        <w:jc w:val="left"/>
        <w:rPr>
          <w:rStyle w:val="normaltextrun"/>
          <w:color w:val="000000" w:themeColor="text1"/>
          <w:lang w:val="fr-CH"/>
        </w:rPr>
      </w:pPr>
      <w:r w:rsidRPr="00BB5E86">
        <w:rPr>
          <w:lang w:val="fr-FR"/>
        </w:rPr>
        <w:t>Compte tenu de ce contexte et afin d'accélérer la réalisation des buts et objectifs à long terme, le Secrétariat de l'OMM établira des priorités et mènera des activités de mobilisation des ressources conformément à l'ensemble des principes institutionnels énoncés ci-dessous.</w:t>
      </w:r>
    </w:p>
    <w:p w14:paraId="7D255C79" w14:textId="77777777" w:rsidR="00513EBA" w:rsidRPr="00BB5E86" w:rsidRDefault="00513EBA" w:rsidP="00513EBA">
      <w:pPr>
        <w:pStyle w:val="WMOSubTitle1"/>
        <w:rPr>
          <w:lang w:val="fr-CH"/>
        </w:rPr>
      </w:pPr>
      <w:r w:rsidRPr="00BB5E86">
        <w:rPr>
          <w:bCs/>
          <w:iCs/>
          <w:lang w:val="fr-FR"/>
        </w:rPr>
        <w:t>Principes de mobilisation des ressources de l'OMM</w:t>
      </w:r>
    </w:p>
    <w:p w14:paraId="1D599B59" w14:textId="17ED10AF"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Aligner la mobilisation des ressources sur les priorités du Plan stratégique de l'OMM et du document Cg-19, en veillant à ce que tous les projets et activités de l'Organisation, les initiatives phares (EW4All, G3W et GBON) et le soutien plus large apporté aux Membres bénéficient de ressources suffisantes;</w:t>
      </w:r>
    </w:p>
    <w:p w14:paraId="11A975E2" w14:textId="097D56E5"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Promouvoir l'appropriation et l'engagement aux niveaux national et régional en répondant aux besoins prioritaires des membres par un soutien accru, en veillant à ce que les projets et les contributions soient mis en œuvre aussi près que possible des membres;</w:t>
      </w:r>
    </w:p>
    <w:p w14:paraId="2D1C1CB2" w14:textId="389329CD"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Donner la priorité aux initiatives soutenant de vastes régions plutôt qu'aux interventions très locales;</w:t>
      </w:r>
    </w:p>
    <w:p w14:paraId="2A8597FB" w14:textId="760944E9"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Collaborer efficacement avec les bureaux régionaux de l'OMM, les associations régionales et les membres et les soutenir dans la mobilisation des ressources;</w:t>
      </w:r>
    </w:p>
    <w:p w14:paraId="62243E51" w14:textId="3EE3DBA7"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Aligner et coordonner les activités de mobilisation des ressources grâce à des relations claires et efficaces avec les partenaires, en tirant parti des investissements des partenaires dans le domaine du développement/climat et en évitant les doubles emplois;</w:t>
      </w:r>
    </w:p>
    <w:p w14:paraId="237783DE" w14:textId="77DB1BA1"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Être reconnu comme un partenaire fiable, transparent et responsable qui recherche des solutions et des impacts durables;</w:t>
      </w:r>
    </w:p>
    <w:p w14:paraId="3B0A9857" w14:textId="4551CBDC"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t>Encourager les Membres à participer aux projets de l'OMM par le biais de jumelages et d'un soutien financier afin d'améliorer la conception, la mise en œuvre et la durabilité;</w:t>
      </w:r>
    </w:p>
    <w:p w14:paraId="20832064" w14:textId="77777777" w:rsidR="00513EBA" w:rsidRPr="00BB5E86" w:rsidRDefault="00513EBA" w:rsidP="00054C8F">
      <w:pPr>
        <w:pStyle w:val="ListParagraph"/>
        <w:numPr>
          <w:ilvl w:val="0"/>
          <w:numId w:val="2"/>
        </w:numPr>
        <w:spacing w:before="240" w:after="120"/>
        <w:ind w:left="567" w:hanging="567"/>
        <w:contextualSpacing w:val="0"/>
        <w:jc w:val="left"/>
        <w:rPr>
          <w:lang w:val="fr-CH"/>
        </w:rPr>
      </w:pPr>
      <w:r w:rsidRPr="00BB5E86">
        <w:rPr>
          <w:lang w:val="fr-FR"/>
        </w:rPr>
        <w:lastRenderedPageBreak/>
        <w:t>Reconnaître le rôle des ressources humaines en tant que pilier fondamental du développement des capacités, avec un rôle majeur dans la planification stratégique, la qualité des services et la durabilité des SMHN.</w:t>
      </w:r>
    </w:p>
    <w:p w14:paraId="617E6D8C" w14:textId="77777777" w:rsidR="00513EBA" w:rsidRPr="00BB5E86" w:rsidRDefault="00513EBA" w:rsidP="0024064B">
      <w:pPr>
        <w:pStyle w:val="Heading3"/>
        <w:spacing w:after="120"/>
        <w:rPr>
          <w:lang w:val="fr-CH"/>
        </w:rPr>
      </w:pPr>
      <w:bookmarkStart w:id="1" w:name="_Hlk175212241"/>
      <w:r w:rsidRPr="00BB5E86">
        <w:rPr>
          <w:lang w:val="fr-FR"/>
        </w:rPr>
        <w:t>Donner aux SMHN les moyens de mobiliser des fonds pour le climat et le développement</w:t>
      </w:r>
    </w:p>
    <w:bookmarkEnd w:id="1"/>
    <w:p w14:paraId="4A3D902A" w14:textId="77777777" w:rsidR="00513EBA" w:rsidRPr="00BB5E86" w:rsidRDefault="00513EBA" w:rsidP="00513EBA">
      <w:pPr>
        <w:spacing w:before="240" w:after="120"/>
        <w:jc w:val="left"/>
        <w:rPr>
          <w:rFonts w:eastAsia="Verdana" w:cs="Verdana"/>
          <w:lang w:val="fr-CH"/>
        </w:rPr>
      </w:pPr>
      <w:r w:rsidRPr="00BB5E86">
        <w:rPr>
          <w:lang w:val="fr-FR"/>
        </w:rPr>
        <w:t>Les données et informations climatiques sont essentielles aux processus de prise de décision en matière de changement climatique et à l'identification et à la conception des investissements dans le domaine du climat, et servent donc de catalyseurs pour la mobilisation des financements en faveur du climat et du développement. Les données, les connaissances et l'expertise des SMHN sont donc essentielles pour éclairer les stratégies, les processus et les investissements nationaux liés au climat et doivent donc être reconnues et habilitées à remplir efficacement ce rôle central.</w:t>
      </w:r>
    </w:p>
    <w:p w14:paraId="36D08236" w14:textId="77777777" w:rsidR="00513EBA" w:rsidRPr="00BB5E86" w:rsidRDefault="00513EBA" w:rsidP="00513EBA">
      <w:pPr>
        <w:spacing w:before="240" w:after="120"/>
        <w:jc w:val="left"/>
        <w:rPr>
          <w:rFonts w:eastAsia="Verdana" w:cs="Verdana"/>
          <w:color w:val="000000" w:themeColor="text1"/>
          <w:lang w:val="fr-CH"/>
        </w:rPr>
      </w:pPr>
      <w:r w:rsidRPr="00BB5E86">
        <w:rPr>
          <w:lang w:val="fr-FR"/>
        </w:rPr>
        <w:t>Pour soutenir cette position, une note d'orientation sur le renforcement du rôle des SMHN dans la mobilisation du financement climatique au niveau national est en cours d'élaboration avec les objectifs suivants:</w:t>
      </w:r>
    </w:p>
    <w:p w14:paraId="78201B1E" w14:textId="755BA919" w:rsidR="00513EBA" w:rsidRPr="00BB5E86"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Fournir des informations détaillées sur les acteurs et les processus du financement du climat généralement mis en œuvre au niveau national;</w:t>
      </w:r>
    </w:p>
    <w:p w14:paraId="02BD555F" w14:textId="6CDD626F" w:rsidR="00513EBA" w:rsidRPr="00BB5E86"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Éclairer les principes directeurs de la prise de décision en matière de financement climatique et souligner le rôle central des SMHN en tant qu'acteurs clés du processus de mobilisation;</w:t>
      </w:r>
    </w:p>
    <w:p w14:paraId="3480E093" w14:textId="6433A010" w:rsidR="00513EBA" w:rsidRPr="00BB5E86"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Identifier les possibilités de collaboration avec les agences de financement et les parties prenantes nationales afin de proposer des projets visant à renforcer l'infrastructure des SMHN, améliorant ainsi la conception et l'utilisation des services d'information climatique;</w:t>
      </w:r>
    </w:p>
    <w:p w14:paraId="4F3430AF" w14:textId="77777777" w:rsidR="00513EBA" w:rsidRPr="00BB5E86"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lang w:val="fr-CH"/>
        </w:rPr>
      </w:pPr>
      <w:r w:rsidRPr="00BB5E86">
        <w:rPr>
          <w:lang w:val="fr-FR"/>
        </w:rPr>
        <w:t>Définir des stratégies visant à renforcer les SMHN par le biais d'initiatives délibérées axées sur la définition d'une vision, l'élaboration d'une stratégie et l'amélioration de la perception de leur capacité à mobiliser des ressources à la fois pour les ambitions du pays en matière de climat et pour les SMHN eux-mêmes.</w:t>
      </w:r>
    </w:p>
    <w:p w14:paraId="203C8CC8" w14:textId="77777777" w:rsidR="00513EBA" w:rsidRPr="00BB5E86" w:rsidRDefault="00513EBA" w:rsidP="0024064B">
      <w:pPr>
        <w:pStyle w:val="Heading3"/>
        <w:spacing w:after="120"/>
        <w:rPr>
          <w:lang w:val="fr-CH"/>
        </w:rPr>
      </w:pPr>
      <w:r w:rsidRPr="00BB5E86">
        <w:rPr>
          <w:lang w:val="fr-FR"/>
        </w:rPr>
        <w:t>Ressources de financement pour l'AR VI</w:t>
      </w:r>
    </w:p>
    <w:p w14:paraId="4DF19B03"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Certains pays éligibles à l'AR VI ont accès au financement d'institutions financières internationales (IFI) telles que la Banque européenne d'investissement (BEI), le Groupe de la Banque mondiale, la Banque européenne pour la reconstruction et le développement (BERD), la Banque islamique de développement et la Banque de développement du Conseil de l'Europe (CEB), dont certaines fournissent également des connaissances et des services de conseil. En outre, plusieurs pays de l'AR VI sont éligibles aux mécanismes internationaux de financement du climat, tels que le Fonds vert pour le climat (FVC), et peuvent accéder à des financements concessionnels (subventions et prêts à taux d'intérêt faible ou nul, généralement appelés crédits) de la part de banques et d'institutions de développement multilatérales et bilatérales. Les pays de l'AR VI sont fortement encouragés à utiliser pleinement ces ressources financières et techniques offertes par les IFI et les mécanismes de financement du climat pour améliorer leur infrastructure de SMHN, renforcer leurs capacités et améliorer la fourniture de services, y compris le système d'alerte précoce multi-aléa (MHEWS) et les services climatiques.</w:t>
      </w:r>
    </w:p>
    <w:p w14:paraId="48D4B16F" w14:textId="77777777" w:rsidR="00513EBA" w:rsidRPr="00BB5E86" w:rsidRDefault="00513EBA" w:rsidP="00513EBA">
      <w:pPr>
        <w:spacing w:before="240" w:after="120" w:line="259" w:lineRule="auto"/>
        <w:jc w:val="left"/>
        <w:rPr>
          <w:lang w:val="fr-CH"/>
        </w:rPr>
      </w:pPr>
      <w:r w:rsidRPr="00BB5E86">
        <w:rPr>
          <w:lang w:val="fr-FR"/>
        </w:rPr>
        <w:t xml:space="preserve">Certains membres de l'AR VI bénéficient d'une aide publique au développement (APD) de la part de donateurs bilatéraux, en particulier, mais sans s'y limiter, les membres du Comité d'aide au développement de l'Organisation de coopération et de développement économiques (CAD de l'OCDE). En raison de la situation géopolitique, une grande partie de l'aide bilatérale actuelle à l'AR VI est axée sur la sécurité, tant physique qu'en termes d'approvisionnement en énergie. Les SMHN peuvent être considérées comme essentielles à la sécurité humaine et </w:t>
      </w:r>
      <w:r w:rsidRPr="00BB5E86">
        <w:rPr>
          <w:lang w:val="fr-FR"/>
        </w:rPr>
        <w:lastRenderedPageBreak/>
        <w:t>économique, et plusieurs donateurs continuent de s'intéresser à la gestion de l'environnement, de l'eau et des risques de catastrophe, de sorte qu'il est possible de mobiliser le soutien des donateurs bilatéraux.</w:t>
      </w:r>
    </w:p>
    <w:p w14:paraId="22A7C605" w14:textId="77777777" w:rsidR="00513EBA" w:rsidRPr="00BB5E86" w:rsidRDefault="00513EBA" w:rsidP="00513EBA">
      <w:pPr>
        <w:spacing w:before="240" w:after="120" w:line="259" w:lineRule="auto"/>
        <w:jc w:val="left"/>
        <w:rPr>
          <w:lang w:val="fr-CH"/>
        </w:rPr>
      </w:pPr>
      <w:r w:rsidRPr="00BB5E86">
        <w:rPr>
          <w:lang w:val="fr-FR"/>
        </w:rPr>
        <w:t>L'UE est de loin le principal contributeur de la plupart des membres de l'AR VI, par l'intermédiaire des différents directeurs généraux (DG) de la Commission européenne (CE). Les principales DG de financement sont différentes pour les États membres de l'UE et les États non membres, les principales sources pour les États non membres étant la DG pour les négociations de voisinage et d'élargissement (DG NEAR), la DG pour les partenariats internationaux (INTPA) et la DG pour la recherche et l'innovation (DG RTD). Sous l'égide de la DG RTD, la plupart des subventions du programme-cadre de recherche de l'UE (Horizon Europe) sont accessibles aux entités situées dans des pays non membres de l'UE qui ont conclu un accord d'association spécifique ou qui figurent sur la liste des "pays à revenu faible ou intermédiaire".</w:t>
      </w:r>
    </w:p>
    <w:p w14:paraId="1964675D" w14:textId="77777777" w:rsidR="00513EBA" w:rsidRPr="00BB5E86" w:rsidRDefault="00513EBA" w:rsidP="00513EBA">
      <w:pPr>
        <w:spacing w:before="240" w:after="120" w:line="259" w:lineRule="auto"/>
        <w:jc w:val="left"/>
        <w:rPr>
          <w:lang w:val="fr-CH"/>
        </w:rPr>
      </w:pPr>
      <w:r w:rsidRPr="00BB5E86">
        <w:rPr>
          <w:lang w:val="fr-FR"/>
        </w:rPr>
        <w:t>Plusieurs DG plus techniques sont essentielles pour mobiliser le soutien de l'UE aux États non membres, notamment la Direction générale de la protection civile et des opérations d'aide humanitaire (DG ECHO), la Direction générale de l'action pour le climat (DG CLIMA) et les DG chargées de l'environnement, de l'énergie, de l'agriculture et d'autres secteurs bénéficiant des services de la SNSM. Actuellement, le secrétariat de l'OMM réussit le mieux à mobiliser des ressources provenant du financement de la recherche appliquée de l'UE, à savoir le programme-cadre Horizon Europe sous l'égide de la DG RTD. En outre, l'OMM collabore avec les DG qui soutiennent les progrès dans les domaines du numérique, de la technologie et de la communication, telles que la DG "Industrie de la défense et espace" (DG DEFIS) et la DG "Réseaux de communication, contenu et technologie" (DG CONNECT), et bénéficie de leur soutien.</w:t>
      </w:r>
    </w:p>
    <w:p w14:paraId="3BDE2171" w14:textId="77777777" w:rsidR="00513EBA" w:rsidRPr="00BB5E86" w:rsidRDefault="00513EBA" w:rsidP="0024064B">
      <w:pPr>
        <w:pStyle w:val="Heading3"/>
        <w:spacing w:after="120"/>
        <w:rPr>
          <w:lang w:val="fr-CH"/>
        </w:rPr>
      </w:pPr>
      <w:r w:rsidRPr="00BB5E86">
        <w:rPr>
          <w:lang w:val="fr-FR"/>
        </w:rPr>
        <w:t>Renforcement des systèmes d'alerte précoce dans le cadre du programme EW4All</w:t>
      </w:r>
    </w:p>
    <w:p w14:paraId="53B5D0E7" w14:textId="465B1510" w:rsidR="00513EBA" w:rsidRPr="00BB5E86" w:rsidRDefault="00513EBA" w:rsidP="00513EBA">
      <w:pPr>
        <w:spacing w:before="240" w:after="120"/>
        <w:jc w:val="left"/>
        <w:rPr>
          <w:lang w:val="fr-CH"/>
        </w:rPr>
      </w:pPr>
      <w:r w:rsidRPr="00BB5E86">
        <w:rPr>
          <w:lang w:val="fr-FR"/>
        </w:rPr>
        <w:t>L'initiative EW4All a été lancée en 2022 par le secrétaire général des Nations unies afin d'assurer une protection universelle contre les phénomènes hydrométéorologiques, climatologiques et environnementaux dangereux grâce à des systèmes d'alerte précoce (SAP) capables de sauver des vies d'ici à la fin de 2027. Dans le cadre du programme EW4All, les actions requises pour atteindre cet objectif ont été réparties en quatre piliers alignés sur les quatre composantes des SMTPE dirigées par des institutions spécialisées:</w:t>
      </w:r>
    </w:p>
    <w:p w14:paraId="011C1A7E" w14:textId="18E41E89" w:rsidR="00513EBA" w:rsidRPr="00BB5E86" w:rsidRDefault="00513EBA" w:rsidP="00054C8F">
      <w:pPr>
        <w:pStyle w:val="ListParagraph"/>
        <w:numPr>
          <w:ilvl w:val="0"/>
          <w:numId w:val="4"/>
        </w:numPr>
        <w:spacing w:before="240" w:after="120"/>
        <w:ind w:left="567" w:hanging="567"/>
        <w:contextualSpacing w:val="0"/>
        <w:jc w:val="left"/>
        <w:rPr>
          <w:lang w:val="fr-CH"/>
        </w:rPr>
      </w:pPr>
      <w:r w:rsidRPr="00BB5E86">
        <w:rPr>
          <w:lang w:val="fr-FR"/>
        </w:rPr>
        <w:t>Connaissance des risques de catastrophes, sous l'égide du Bureau des Nations unies pour la réduction des risques de catastrophes (UNDRR);</w:t>
      </w:r>
    </w:p>
    <w:p w14:paraId="2E310ED1" w14:textId="6A08DB32" w:rsidR="00513EBA" w:rsidRPr="00BB5E86" w:rsidRDefault="00513EBA" w:rsidP="00054C8F">
      <w:pPr>
        <w:pStyle w:val="ListParagraph"/>
        <w:numPr>
          <w:ilvl w:val="0"/>
          <w:numId w:val="4"/>
        </w:numPr>
        <w:spacing w:before="240" w:after="120"/>
        <w:ind w:left="567" w:hanging="567"/>
        <w:contextualSpacing w:val="0"/>
        <w:jc w:val="left"/>
        <w:rPr>
          <w:lang w:val="fr-CH"/>
        </w:rPr>
      </w:pPr>
      <w:r w:rsidRPr="00BB5E86">
        <w:rPr>
          <w:lang w:val="fr-FR"/>
        </w:rPr>
        <w:t>Observations et prévisions, sous l'égide de l'OMM;</w:t>
      </w:r>
    </w:p>
    <w:p w14:paraId="2B1246DD" w14:textId="66680CF7" w:rsidR="00513EBA" w:rsidRPr="00BB5E86" w:rsidRDefault="00513EBA" w:rsidP="00054C8F">
      <w:pPr>
        <w:pStyle w:val="ListParagraph"/>
        <w:numPr>
          <w:ilvl w:val="0"/>
          <w:numId w:val="4"/>
        </w:numPr>
        <w:spacing w:before="240" w:after="120"/>
        <w:ind w:left="567" w:hanging="567"/>
        <w:contextualSpacing w:val="0"/>
        <w:jc w:val="left"/>
        <w:rPr>
          <w:lang w:val="fr-CH"/>
        </w:rPr>
      </w:pPr>
      <w:r w:rsidRPr="00BB5E86">
        <w:rPr>
          <w:lang w:val="fr-FR"/>
        </w:rPr>
        <w:t>Diffusion et communication, sous l'égide de l'Union internationale des télécommunications (UIT);</w:t>
      </w:r>
    </w:p>
    <w:p w14:paraId="77355094" w14:textId="77777777" w:rsidR="00513EBA" w:rsidRPr="00BB5E86" w:rsidRDefault="00513EBA" w:rsidP="00054C8F">
      <w:pPr>
        <w:pStyle w:val="ListParagraph"/>
        <w:numPr>
          <w:ilvl w:val="0"/>
          <w:numId w:val="4"/>
        </w:numPr>
        <w:spacing w:before="240" w:after="120"/>
        <w:ind w:left="567" w:hanging="567"/>
        <w:contextualSpacing w:val="0"/>
        <w:jc w:val="left"/>
        <w:rPr>
          <w:lang w:val="fr-CH"/>
        </w:rPr>
      </w:pPr>
      <w:r w:rsidRPr="00BB5E86">
        <w:rPr>
          <w:lang w:val="fr-FR"/>
        </w:rPr>
        <w:t>De la préparation à la réponse, sous la direction de la Fédération internationale des sociétés de la Croix-Rouge et du Croissant-Rouge (FICR).</w:t>
      </w:r>
    </w:p>
    <w:p w14:paraId="5361407A" w14:textId="77777777" w:rsidR="00513EBA" w:rsidRPr="00BB5E86" w:rsidRDefault="00513EBA" w:rsidP="00513EBA">
      <w:pPr>
        <w:spacing w:before="240" w:after="120"/>
        <w:jc w:val="left"/>
        <w:rPr>
          <w:lang w:val="fr-CH"/>
        </w:rPr>
      </w:pPr>
      <w:r w:rsidRPr="00BB5E86">
        <w:rPr>
          <w:lang w:val="fr-FR"/>
        </w:rPr>
        <w:t>L'initiative encourage la collaboration et les synergies entre tous les partenaires qui travaillent à la mise en œuvre des SMHE.</w:t>
      </w:r>
    </w:p>
    <w:p w14:paraId="54F3708B"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 xml:space="preserve">Pour concrétiser cette vision, EW4All a élaboré un plan de déploiement stratégique comprenant deux phases essentielles : la phase catalytique et la phase d'action soutenue. Pendant la phase catalytique, les pays identifient les lacunes et mobilisent les parties prenantes afin d'accélérer la couverture universelle en SMTPE par le biais de feuilles de route nationales EW4All. Vient ensuite la phase d'action soutenue, qui se concentre sur la mise en œuvre collective des feuilles de route et le renforcement des capacités des SMES. Le groupe de coordination technique interpiliers, composé de l'UNDRR, de l'OMM, de l'UIT et de la FICR, a facilité ce </w:t>
      </w:r>
      <w:r w:rsidRPr="00BB5E86">
        <w:rPr>
          <w:lang w:val="fr-FR"/>
        </w:rPr>
        <w:lastRenderedPageBreak/>
        <w:t>processus en élaborant des outils et des conseils destinés à orienter le déploiement national dans les différents pays, notamment un tableau de bord interactif destiné à améliorer la transparence et l'accessibilité des informations relatives aux SAP. Cet outil dynamique permet aux parties prenantes de suivre les progrès, les affectations de fonds et les principaux indicateurs de performance, favorisant ainsi une approche collaborative et fondée sur les données pour atteindre les objectifs globaux des SMSPS.</w:t>
      </w:r>
    </w:p>
    <w:p w14:paraId="1A3177BD"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Au niveau mondial, grâce au leadership national et au soutien des partenaires piliers, 29 pays ont à ce jour organisé leur EW4All national, démontrant ainsi leur engagement à atteindre l'objectif d'une couverture universelle en SMTPE d'ici 2027. Cela a donné lieu à huit feuilles de route nationales, que les pays et leurs partenaires utilisent pour intensifier et coordonner l'action dans les quatre piliers, y compris les éléments inter-piliers.</w:t>
      </w:r>
    </w:p>
    <w:p w14:paraId="76CB4F12"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Il est essentiel de continuer à soutenir les 30 premiers pays désignés par le Secrétaire général des Nations unies pour garantir la réussite de la mise en œuvre des initiatives EW4All. Ces pays ont déjà réalisé des progrès significatifs en finalisant leurs feuilles de route nationales et en mobilisant des ressources pour le déploiement des SMNE. Il sera essentiel de maintenir cet élan et de fournir une assistance continue alors qu'ils s'efforcent d'atteindre la couverture universelle.</w:t>
      </w:r>
    </w:p>
    <w:p w14:paraId="70A55554" w14:textId="77777777" w:rsidR="00513EBA" w:rsidRPr="00BB5E86" w:rsidRDefault="00513EBA" w:rsidP="00513EBA">
      <w:pPr>
        <w:shd w:val="clear" w:color="auto" w:fill="FFFFFF" w:themeFill="background1"/>
        <w:spacing w:before="240" w:after="120"/>
        <w:jc w:val="left"/>
        <w:rPr>
          <w:rStyle w:val="eop"/>
          <w:rFonts w:eastAsia="Verdana" w:cs="Verdana"/>
          <w:color w:val="000000" w:themeColor="text1"/>
          <w:lang w:val="fr-CH"/>
        </w:rPr>
      </w:pPr>
      <w:r w:rsidRPr="00BB5E86">
        <w:rPr>
          <w:lang w:val="fr-FR"/>
        </w:rPr>
        <w:t>Simultanément, les efforts en 2024 se sont concentrés sur l'extension de l'initiative au-delà des 30 pays initiaux, en fonction de la demande émanant d'autres pays. Reconnaissant le besoin urgent d'un SAP complet dans le monde entier, EW4All s'engage activement avec d'autres pays qui ont exprimé leur intérêt à participer. Une fois de plus, un éventail unique de partenariats permettra cette montée en puissance.</w:t>
      </w:r>
    </w:p>
    <w:p w14:paraId="11C77805"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Afin de jeter les bases des travaux menés dans l'ensemble des pays de l'AR VI, l'OMM a collaboré avec les SMHN à la réalisation d'évaluations nationales rapides pour le deuxième pilier. L'objectif est d'éclairer la phase de planification de l'initiative EW4All au moyen de données et d'analyses de référence. L'objectif est également d'identifier les domaines où les lacunes en matière de capacités sont les plus importantes, afin de mieux cibler l'assistance technique et les investissements.</w:t>
      </w:r>
    </w:p>
    <w:p w14:paraId="2C541F13"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L'OMM a préparé des évaluations rapides EW4All pour l'Albanie, l'Arménie, la Géorgie, la Bosnie-Herzégovine, la République de Moldavie, le Monténégro, la Macédoine du Nord, la Jordanie, la Serbie, la République arabe syrienne et l'Ukraine afin d'évaluer les capacités nationales dans le cadre du deuxième pilier. La plupart de ces pays présentent des lacunes importantes dans les systèmes d'observation, de traitement des données et de prévision, manquent de liens formels entre les parties prenantes de la chaîne de diffusion et ne disposent pas de cadres réglementaires permettant de relier les alertes précoces aux plans d'urgence.</w:t>
      </w:r>
    </w:p>
    <w:p w14:paraId="3238EBC7"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Une autre activité notable visant à jeter les bases d'une plus grande mise en œuvre de l'initiative EW4All dans la région de l'AR VI est la collaboration de l'OMM et de l'UNDRR avec la DG NEAR de la CE pour soutenir le développement du système d'alerte précoce multirisque de l'Europe du Sud-Est, qui vise à améliorer les prévisions et les dispositions d'alerte liées aux risques météorologiques et hydrologiques dans 18 pays de l'Europe du Sud-Est. En avril 2024, un événement sous-régional EW4All a été organisé à Athènes, en Grèce, avec des représentants des SMHN de ces pays afin de planifier les prochaines étapes du développement du système régional d'alerte précoce.</w:t>
      </w:r>
    </w:p>
    <w:p w14:paraId="4CB9FCE5" w14:textId="77777777" w:rsidR="00513EBA" w:rsidRPr="00BB5E86" w:rsidRDefault="00513EBA" w:rsidP="00513EBA">
      <w:pPr>
        <w:spacing w:before="240" w:after="120"/>
        <w:jc w:val="left"/>
        <w:rPr>
          <w:lang w:val="fr-CH"/>
        </w:rPr>
      </w:pPr>
      <w:r w:rsidRPr="00BB5E86">
        <w:rPr>
          <w:lang w:val="fr-FR"/>
        </w:rPr>
        <w:t>En août 2024, le Centre européen pour les prévisions météorologiques à moyen terme (CEPMMT) a annoncé un important coup de pouce à la mise en œuvre de l'initiative EW4All, qui concerne les pays de l'AR VI de l'OMM et les SMHN. Dans le cadre de sa stratégie d'ouverture des données, le CEPMMT a confirmé que tous les membres de l'OMM seraient en mesure d'accéder à ses produits ecCharts et à ses couches du Service de cartographie Web (WMS) pour leurs besoins internes en matière de prévisions. Par ailleurs, la qualité et l'accessibilité des données du CEPMMT seront améliorées pour tous les membres de l'OMM, en se concentrant d'abord sur les nations moins développées au sein du RA VI de l'OMM, ainsi que sur les pays soutenus par le SOFF (voir ci-dessous).</w:t>
      </w:r>
    </w:p>
    <w:p w14:paraId="1627C199" w14:textId="77777777" w:rsidR="00513EBA" w:rsidRPr="00BB5E86" w:rsidRDefault="00513EBA" w:rsidP="00513EBA">
      <w:pPr>
        <w:spacing w:before="240" w:after="120"/>
        <w:jc w:val="left"/>
        <w:rPr>
          <w:lang w:val="fr-CH"/>
        </w:rPr>
      </w:pPr>
      <w:r w:rsidRPr="00BB5E86">
        <w:rPr>
          <w:lang w:val="fr-FR"/>
        </w:rPr>
        <w:lastRenderedPageBreak/>
        <w:t>Associée à une formation au développement des capacités, cette amélioration de l'accès aux produits mondiaux et régionaux et, en fin de compte, des prévisions et autres services, pourrait réduire la nécessité pour les Membres de l'OMM et les SMHN de mobiliser des ressources financières externes pour améliorer la prestation de services.</w:t>
      </w:r>
    </w:p>
    <w:p w14:paraId="0E3ACD59" w14:textId="77777777" w:rsidR="00513EBA" w:rsidRPr="00BB5E86" w:rsidRDefault="00513EBA" w:rsidP="0024064B">
      <w:pPr>
        <w:pStyle w:val="Heading3"/>
        <w:spacing w:after="240"/>
        <w:rPr>
          <w:lang w:val="fr-CH"/>
        </w:rPr>
      </w:pPr>
      <w:r w:rsidRPr="00BB5E86">
        <w:rPr>
          <w:lang w:val="fr-FR"/>
        </w:rPr>
        <w:t>Combler les lacunes d'observation du GBON avec SOFF</w:t>
      </w:r>
    </w:p>
    <w:p w14:paraId="00E47CBE" w14:textId="77777777" w:rsidR="00513EBA" w:rsidRPr="00BB5E86" w:rsidRDefault="00513EBA" w:rsidP="00513EBA">
      <w:pPr>
        <w:spacing w:before="240" w:after="120"/>
        <w:jc w:val="left"/>
      </w:pPr>
      <w:bookmarkStart w:id="2" w:name="_Hlk175216011"/>
      <w:r w:rsidRPr="00BB5E86">
        <w:rPr>
          <w:lang w:val="fr-FR"/>
        </w:rPr>
        <w:t>Le SOFF est un fonds spécialisé des Nations Unies créé conjointement par l'OMM, le Programme des Nations Unies pour le développement (PNUD) et le Programme des Nations Unies pour l'environnement (PNUE) afin de combler le manque de données d'observation du climat et du temps dans les pays où les lacunes en matière d'observation sont les plus graves, en accordant la priorité aux pays les moins avancés (PMA) et aux petits États insulaires en développement (PEID). Le SOFF fournit une assistance financière et technique à long terme pour soutenir l'acquisition et le partage international des observations météorologiques et climatiques de base, conformément aux réglementations GBON convenues au niveau international. Le soutien du SOFF est fourni en trois phases:</w:t>
      </w:r>
      <w:bookmarkEnd w:id="2"/>
    </w:p>
    <w:p w14:paraId="58923B58" w14:textId="36858876" w:rsidR="00513EBA" w:rsidRPr="00BB5E86" w:rsidRDefault="00513EBA" w:rsidP="00054C8F">
      <w:pPr>
        <w:numPr>
          <w:ilvl w:val="0"/>
          <w:numId w:val="5"/>
        </w:numPr>
        <w:tabs>
          <w:tab w:val="clear" w:pos="1134"/>
          <w:tab w:val="left" w:pos="567"/>
        </w:tabs>
        <w:spacing w:before="240" w:after="120"/>
        <w:ind w:left="567" w:hanging="567"/>
        <w:jc w:val="left"/>
        <w:rPr>
          <w:lang w:val="fr-CH"/>
        </w:rPr>
      </w:pPr>
      <w:r w:rsidRPr="00BB5E86">
        <w:rPr>
          <w:lang w:val="fr-FR"/>
        </w:rPr>
        <w:t>Phase de préparation : soutien permettant aux pays d'évaluer leur situation hydrométrique nationale, de définir les lacunes du GBON et d'élaborer un plan pour combler ces lacunes;</w:t>
      </w:r>
    </w:p>
    <w:p w14:paraId="7CFB9341" w14:textId="2673A976" w:rsidR="00513EBA" w:rsidRPr="00BB5E86" w:rsidRDefault="00513EBA" w:rsidP="00054C8F">
      <w:pPr>
        <w:numPr>
          <w:ilvl w:val="0"/>
          <w:numId w:val="5"/>
        </w:numPr>
        <w:tabs>
          <w:tab w:val="clear" w:pos="1134"/>
          <w:tab w:val="left" w:pos="567"/>
        </w:tabs>
        <w:spacing w:before="240" w:after="120"/>
        <w:ind w:left="567" w:hanging="567"/>
        <w:jc w:val="left"/>
        <w:rPr>
          <w:lang w:val="fr-CH"/>
        </w:rPr>
      </w:pPr>
      <w:r w:rsidRPr="00BB5E86">
        <w:rPr>
          <w:lang w:val="fr-FR"/>
        </w:rPr>
        <w:t>Phase d'investissement : financement de subventions pour l'infrastructure et le développement des capacités humaines afin de permettre aux pays de se conformer aux normes GBON;</w:t>
      </w:r>
    </w:p>
    <w:p w14:paraId="5A4D2CAF" w14:textId="77777777" w:rsidR="00513EBA" w:rsidRPr="00BB5E86" w:rsidRDefault="00513EBA" w:rsidP="00054C8F">
      <w:pPr>
        <w:numPr>
          <w:ilvl w:val="0"/>
          <w:numId w:val="5"/>
        </w:numPr>
        <w:tabs>
          <w:tab w:val="clear" w:pos="1134"/>
          <w:tab w:val="left" w:pos="567"/>
        </w:tabs>
        <w:spacing w:before="240" w:after="120"/>
        <w:ind w:left="567" w:hanging="567"/>
        <w:jc w:val="left"/>
        <w:rPr>
          <w:lang w:val="fr-CH"/>
        </w:rPr>
      </w:pPr>
      <w:r w:rsidRPr="00BB5E86">
        <w:rPr>
          <w:lang w:val="fr-FR"/>
        </w:rPr>
        <w:t>Phase de mise en conformité : soutien aux opérations et à la maintenance afin de maintenir la conformité au GBON et d'accéder à des prévisions météorologiques améliorées et à des produits d'analyse du climat.</w:t>
      </w:r>
    </w:p>
    <w:p w14:paraId="5DB80A04" w14:textId="77777777" w:rsidR="00513EBA" w:rsidRPr="00BB5E86" w:rsidRDefault="00513EBA" w:rsidP="00513EBA">
      <w:pPr>
        <w:spacing w:before="240" w:after="120" w:line="259" w:lineRule="auto"/>
        <w:jc w:val="left"/>
        <w:rPr>
          <w:lang w:val="fr-CH"/>
        </w:rPr>
      </w:pPr>
      <w:r w:rsidRPr="00BB5E86">
        <w:rPr>
          <w:lang w:val="fr-FR"/>
        </w:rPr>
        <w:t>À ce jour, 66 pays sont programmés pour bénéficier du soutien du SOFF. Sur ces 66 pays, le comité de pilotage du SOFF a approuvé le financement de la phase de préparation dans 60 pays et le financement de la phase d'investissement dans 13 pays, cinq autres pays ayant reçu une approbation conditionnelle. Actuellement, le SOFF n'est pas autorisé à fournir un soutien aux pays à revenu intermédiaire (PRI); Toutefois, 13 pays de l'AR VI font office de conseillers pairs, fournissant des conseils techniques et un soutien analytique aux pays bénéficiaires et aux entités chargées de la mise en œuvre lors de la conception et de la mise en œuvre des activités.</w:t>
      </w:r>
    </w:p>
    <w:p w14:paraId="7865307D" w14:textId="58678146" w:rsidR="00513EBA" w:rsidRPr="00BB5E86" w:rsidRDefault="00513EBA" w:rsidP="0024064B">
      <w:pPr>
        <w:pStyle w:val="Heading3"/>
        <w:spacing w:after="240"/>
        <w:rPr>
          <w:lang w:val="fr-CH"/>
        </w:rPr>
      </w:pPr>
      <w:r w:rsidRPr="00BB5E86">
        <w:rPr>
          <w:lang w:val="fr-FR"/>
        </w:rPr>
        <w:t>Améliorer la surveillance des gaz à effet de serre (GES) grâce au G3W</w:t>
      </w:r>
    </w:p>
    <w:p w14:paraId="5D0220F9" w14:textId="77777777" w:rsidR="00513EBA" w:rsidRPr="00BB5E86" w:rsidRDefault="00513EBA" w:rsidP="00513EBA">
      <w:pPr>
        <w:spacing w:before="240" w:after="120"/>
        <w:jc w:val="left"/>
        <w:rPr>
          <w:b/>
          <w:bCs/>
          <w:lang w:val="fr-CH"/>
        </w:rPr>
      </w:pPr>
      <w:r w:rsidRPr="00BB5E86">
        <w:rPr>
          <w:lang w:val="fr-FR"/>
        </w:rPr>
        <w:t>G3W vise à mettre en place une surveillance et une modélisation coordonnées au niveau international des concentrations et des flux de gaz à effet de serre afin de fournir des informations exploitables aux parties à la convention-cadre des Nations unies sur les changements climatiques (CCNUCC) et à d'autres parties prenantes.</w:t>
      </w:r>
    </w:p>
    <w:p w14:paraId="35B7CA26" w14:textId="77777777" w:rsidR="00513EBA" w:rsidRPr="00BB5E86" w:rsidRDefault="00513EBA" w:rsidP="00513EBA">
      <w:pPr>
        <w:spacing w:before="240" w:after="120"/>
        <w:jc w:val="left"/>
        <w:rPr>
          <w:lang w:val="fr-CH"/>
        </w:rPr>
      </w:pPr>
      <w:r w:rsidRPr="00BB5E86">
        <w:rPr>
          <w:lang w:val="fr-FR"/>
        </w:rPr>
        <w:t>Le G3W vise à établir un réseau d'observation mondial coordonné pour mesurer avec précision les gaz à effet de serre (GES), en se concentrant sur les trois principaux gaz responsables du réchauffement de la planète et des impacts associés qui se manifestent par des conditions météorologiques extrêmes. L'intégration d'observations et de modélisations spatiales et de surface (utilisant également l'intelligence artificielle) dans le cadre du G3W permettra de produire des informations globales consolidées et continues sur les flux totaux et les concentrations de GES. Les données et les orientations qui en résulteront permettront de mieux comprendre en temps réel les émissions et les puits de GES, ainsi que de prévoir les tendances climatiques, ce qui est essentiel pour la gouvernance internationale dans le cadre de la CCNUCC et pour permettre aux pays de planifier et de mettre en œuvre des activités d'atténuation du changement climatique dans le cadre de leurs contributions déterminées au niveau national (CDN).</w:t>
      </w:r>
    </w:p>
    <w:p w14:paraId="66D2D78A" w14:textId="77777777" w:rsidR="00513EBA" w:rsidRPr="00BB5E86" w:rsidRDefault="00513EBA" w:rsidP="00513EBA">
      <w:pPr>
        <w:spacing w:before="240" w:after="120"/>
        <w:jc w:val="left"/>
        <w:rPr>
          <w:lang w:val="fr-CH"/>
        </w:rPr>
      </w:pPr>
      <w:r w:rsidRPr="00BB5E86">
        <w:rPr>
          <w:lang w:val="fr-FR"/>
        </w:rPr>
        <w:lastRenderedPageBreak/>
        <w:t>Les ressources initiales de G3W permettront de répondre aux besoins techniques, de coordination, de suivi et de communication, y compris les contributions d'entités extérieures à l'OMM, afin que l'action en faveur du climat et le soutien au développement s'appuient sur des données scientifiques et des services qui répondent aux besoins des Membres de l'OMM.</w:t>
      </w:r>
    </w:p>
    <w:p w14:paraId="41A3AAC4" w14:textId="77777777" w:rsidR="00513EBA" w:rsidRPr="00BB5E86" w:rsidRDefault="00513EBA" w:rsidP="0024064B">
      <w:pPr>
        <w:pStyle w:val="Heading3"/>
        <w:spacing w:after="240"/>
        <w:rPr>
          <w:lang w:val="fr-CH"/>
        </w:rPr>
      </w:pPr>
      <w:r w:rsidRPr="00BB5E86">
        <w:rPr>
          <w:lang w:val="fr-FR"/>
        </w:rPr>
        <w:t>Aperçu des projets et activités de l'AR VI</w:t>
      </w:r>
    </w:p>
    <w:p w14:paraId="3EDAEEAE" w14:textId="77777777" w:rsidR="00513EBA" w:rsidRPr="00BB5E86" w:rsidRDefault="00513EBA" w:rsidP="00513EBA">
      <w:pPr>
        <w:spacing w:before="240" w:after="120"/>
        <w:jc w:val="left"/>
        <w:rPr>
          <w:lang w:val="fr-CH"/>
        </w:rPr>
      </w:pPr>
      <w:r w:rsidRPr="00BB5E86">
        <w:rPr>
          <w:lang w:val="fr-FR"/>
        </w:rPr>
        <w:t>L'OMM met actuellement en œuvre un portefeuille de 47 projets et activités financés par des fonds extrabudgétaires, pour un montant total de 130 millions de francs suisses. Dans le cadre de l'AR VI, l'OMM met actuellement en œuvre quatre projets financés par l'UE, représentant un investissement de 2 600 000 francs suisses dans les services météorologiques, hydrologiques et climatiques, en soutien direct aux membres de l'OMM. L'OMM met également en œuvre des activités d'un montant d'environ 900 000 francs suisses dans la région dans le cadre d'un projet mondial financé par le Bureau d'aide humanitaire (BHA) de l'USAID, dans le but de renforcer l'alerte précoce hydrométéorologique multirisque et le renforcement des capacités dans le monde entier (voir plus loin dans le présent document). L'OMM travaille actuellement à l'élaboration de deux projets supplémentaires, d'un montant potentiel d'environ 25 millions de francs suisses, pour soutenir la région.</w:t>
      </w:r>
    </w:p>
    <w:p w14:paraId="70035C01" w14:textId="77777777" w:rsidR="00513EBA" w:rsidRPr="00BB5E86" w:rsidRDefault="00513EBA" w:rsidP="00513EBA">
      <w:pPr>
        <w:spacing w:before="240" w:after="120"/>
        <w:jc w:val="left"/>
        <w:rPr>
          <w:lang w:val="fr-CH"/>
        </w:rPr>
      </w:pPr>
      <w:r w:rsidRPr="00BB5E86">
        <w:rPr>
          <w:lang w:val="fr-FR"/>
        </w:rPr>
        <w:t xml:space="preserve">Si l'une des principales sources de financement des projets du Secrétariat, le système d'alerte précoce et de gestion des risques climatiques (CREWS), ne peut pas investir dans les PRI, ce qui limite les possibilités dans l'AR VI, d'autres, comme le Fonds d'adaptation (AF), le peuvent, et l'OMM a un projet pour l'AR VI dans le pipeline de l'AF. L'OMM collabore également avec des banques multilatérales de développement telles que la Banque mondiale afin d'influencer leurs priorités et leurs opérations dans l'AR VI, par exemple en reconnaissant en amont l'importance des services de SMHN pour l'adaptation au climat et le développement (exemple : </w:t>
      </w:r>
      <w:proofErr w:type="spellStart"/>
      <w:r w:rsidRPr="00BB5E86">
        <w:rPr>
          <w:lang w:val="fr-FR"/>
        </w:rPr>
        <w:t>WeBa</w:t>
      </w:r>
      <w:proofErr w:type="spellEnd"/>
      <w:r w:rsidRPr="00BB5E86">
        <w:rPr>
          <w:lang w:val="fr-FR"/>
        </w:rPr>
        <w:t xml:space="preserve"> CCDR).</w:t>
      </w:r>
    </w:p>
    <w:p w14:paraId="4BED878D" w14:textId="77777777" w:rsidR="00513EBA" w:rsidRPr="00BB5E86" w:rsidRDefault="00513EBA" w:rsidP="00513EBA">
      <w:pPr>
        <w:shd w:val="clear" w:color="auto" w:fill="FFFFFF" w:themeFill="background1"/>
        <w:spacing w:before="240" w:after="120"/>
        <w:jc w:val="left"/>
        <w:rPr>
          <w:lang w:val="fr-CH"/>
        </w:rPr>
      </w:pPr>
      <w:r w:rsidRPr="00BB5E86">
        <w:rPr>
          <w:lang w:val="fr-FR"/>
        </w:rPr>
        <w:t>Depuis décembre 2020, l'OMM a un accord de travail avec la CE qui couvre également le soutien à la mise en œuvre du Green Deal européen par le biais d'activités de recherche et d'innovation et de missions Horizon Europe pertinentes telles que Mission Starfish 2030 et A Climate Resilient Europe 24. L'engagement en amont pour aider à orienter les appels de fonds vers les priorités de l'OMM a été réalisé avec succès grâce à des réunions régulières organisées par le Bureau des affaires européennes entre le département Science et Innovation de l'OMM et le département RDT de la CE, et continuera à être poursuivi dans les DG de la CE.</w:t>
      </w:r>
    </w:p>
    <w:p w14:paraId="7276095B" w14:textId="77777777" w:rsidR="00513EBA" w:rsidRPr="00BB5E86" w:rsidRDefault="00513EBA" w:rsidP="00513EBA">
      <w:pPr>
        <w:shd w:val="clear" w:color="auto" w:fill="FFFFFF" w:themeFill="background1"/>
        <w:spacing w:before="240" w:after="120"/>
        <w:jc w:val="left"/>
        <w:rPr>
          <w:lang w:val="fr-CH"/>
        </w:rPr>
      </w:pPr>
      <w:r w:rsidRPr="00BB5E86">
        <w:rPr>
          <w:lang w:val="fr-FR"/>
        </w:rPr>
        <w:t>L'OMM participe activement à plusieurs projets de recherche financés par l'UE dans le cadre du programme Horizon Europe, qui visent à fournir des produits et des services et à améliorer les politiques nationales dans le cadre de la mise en œuvre de l'initiative EW4All, en particulier au sein de l'AR VI, une région composée de divers Membres de l'OMM à des stades de développement différents.</w:t>
      </w:r>
    </w:p>
    <w:p w14:paraId="3551DFCC" w14:textId="77777777" w:rsidR="00513EBA" w:rsidRPr="00BB5E86" w:rsidRDefault="00513EBA" w:rsidP="0024064B">
      <w:pPr>
        <w:pStyle w:val="Heading3"/>
        <w:spacing w:after="240"/>
        <w:rPr>
          <w:lang w:val="fr-CH"/>
        </w:rPr>
      </w:pPr>
      <w:r w:rsidRPr="00BB5E86">
        <w:rPr>
          <w:lang w:val="fr-FR"/>
        </w:rPr>
        <w:t xml:space="preserve">Projet </w:t>
      </w:r>
      <w:proofErr w:type="spellStart"/>
      <w:r w:rsidRPr="00BB5E86">
        <w:rPr>
          <w:lang w:val="fr-FR"/>
        </w:rPr>
        <w:t>MedEWSa</w:t>
      </w:r>
      <w:proofErr w:type="spellEnd"/>
    </w:p>
    <w:p w14:paraId="210352C7" w14:textId="77777777" w:rsidR="00513EBA" w:rsidRPr="00BB5E86" w:rsidRDefault="00513EBA" w:rsidP="00513EBA">
      <w:pPr>
        <w:shd w:val="clear" w:color="auto" w:fill="FFFFFF" w:themeFill="background1"/>
        <w:spacing w:before="240" w:after="120"/>
        <w:jc w:val="left"/>
        <w:rPr>
          <w:lang w:val="fr-CH"/>
        </w:rPr>
      </w:pPr>
      <w:r w:rsidRPr="00BB5E86">
        <w:rPr>
          <w:lang w:val="fr-FR"/>
        </w:rPr>
        <w:t>Le projet méditerranéen et paneuropéen de prévision et de SAP contre les risques naturels (MedEWSa) est un projet de 3-4 ans mené parallèlement à l'initiative EW4All de 2024 à 2027. MedEWSa se concentre explicitement sur EW4All et inclut des SMHN de pays tels que l'Égypte, l'Autriche, la Slovaquie, la Géorgie et l'Italie. Le projet vise à développer une solution globale paneuropéenne, méditerranéenne et africaine, intégrant des SMHE basés sur l'impact. Il fonctionne par l'intermédiaire de huit sites pilotes jumelés, reliant des régions présentant des risques similaires mais des conditions climatiques différentes, afin de favoriser le transfert de connaissances et le renforcement des capacités.</w:t>
      </w:r>
    </w:p>
    <w:p w14:paraId="178B6294" w14:textId="77777777" w:rsidR="00513EBA" w:rsidRPr="00BB5E86" w:rsidRDefault="00513EBA" w:rsidP="0024064B">
      <w:pPr>
        <w:pStyle w:val="Heading3"/>
        <w:spacing w:after="240"/>
        <w:rPr>
          <w:lang w:val="fr-CH"/>
        </w:rPr>
      </w:pPr>
      <w:r w:rsidRPr="00BB5E86">
        <w:rPr>
          <w:lang w:val="fr-FR"/>
        </w:rPr>
        <w:t>Projets CROSSEU et CARMINE</w:t>
      </w:r>
    </w:p>
    <w:p w14:paraId="595189C7" w14:textId="77777777" w:rsidR="00513EBA" w:rsidRPr="00BB5E86" w:rsidRDefault="00513EBA" w:rsidP="00513EBA">
      <w:pPr>
        <w:shd w:val="clear" w:color="auto" w:fill="FFFFFF" w:themeFill="background1"/>
        <w:spacing w:before="240" w:after="120"/>
        <w:jc w:val="left"/>
        <w:rPr>
          <w:lang w:val="fr-CH"/>
        </w:rPr>
      </w:pPr>
      <w:r w:rsidRPr="00BB5E86">
        <w:rPr>
          <w:lang w:val="fr-FR"/>
        </w:rPr>
        <w:t xml:space="preserve">Le cadre intersectoriel pour la résilience socio-économique au changement climatique et aux événements extrêmes en Europe (CROSSEU) et les voies de développement résilientes au </w:t>
      </w:r>
      <w:r w:rsidRPr="00BB5E86">
        <w:rPr>
          <w:lang w:val="fr-FR"/>
        </w:rPr>
        <w:lastRenderedPageBreak/>
        <w:t>climat dans les régions métropolitaines d'Europe (CARMINE) sont tous deux axés sur le renforcement de la résilience au changement climatique et aux événements météorologiques extrêmes dans toute l'Europe. Ces projets visent à développer des systèmes d'aide à la décision et des jumeaux numériques pour soutenir les réponses politiques et les stratégies d'adaptation. CROSSEU s'intéresse à la résilience socio-économique, en fournissant un cadre sensible au climat et un système d'aide à la décision pour l'Europe. CARMINE se concentre spécifiquement sur la résilience urbaine, en fournissant une aide à la décision basée sur l'impact et une gouvernance climatique à plusieurs niveaux.</w:t>
      </w:r>
    </w:p>
    <w:p w14:paraId="281F721C" w14:textId="77777777" w:rsidR="00513EBA" w:rsidRPr="00BB5E86" w:rsidRDefault="00513EBA" w:rsidP="0024064B">
      <w:pPr>
        <w:pStyle w:val="Heading3"/>
        <w:spacing w:after="240"/>
        <w:rPr>
          <w:lang w:val="fr-CH"/>
        </w:rPr>
      </w:pPr>
      <w:r w:rsidRPr="00BB5E86">
        <w:rPr>
          <w:lang w:val="fr-FR"/>
        </w:rPr>
        <w:t>Projet FOCI</w:t>
      </w:r>
    </w:p>
    <w:p w14:paraId="59695557" w14:textId="77777777" w:rsidR="00513EBA" w:rsidRPr="00BB5E86" w:rsidRDefault="00513EBA" w:rsidP="00513EBA">
      <w:pPr>
        <w:shd w:val="clear" w:color="auto" w:fill="FFFFFF" w:themeFill="background1"/>
        <w:spacing w:before="240" w:after="120"/>
        <w:jc w:val="left"/>
        <w:rPr>
          <w:lang w:val="fr-CH"/>
        </w:rPr>
      </w:pPr>
      <w:r w:rsidRPr="00BB5E86">
        <w:rPr>
          <w:lang w:val="fr-FR"/>
        </w:rPr>
        <w:t>Le projet FOCI (forçages non CO2 et leurs impacts sur le climat, les conditions météorologiques, la qualité de l'air et la santé) vise à réduire les incertitudes scientifiques concernant les forçages radiatifs non CO2. Financé par le programme Horizon de l'UE, ce projet d'envergure mondiale teste des modèles climatiques régionaux en Europe avant de s'étendre à l'Amérique latine et à l'Afrique. De 2022 à 2026, l'initiative FOCI permet de mieux comprendre l'impact des forçages autres que le CO2 sur le climat et les conditions météorologiques.</w:t>
      </w:r>
    </w:p>
    <w:p w14:paraId="38FBDB26" w14:textId="77777777" w:rsidR="00513EBA" w:rsidRPr="00BB5E86" w:rsidRDefault="00513EBA" w:rsidP="0024064B">
      <w:pPr>
        <w:pStyle w:val="Heading3"/>
        <w:spacing w:after="240"/>
        <w:rPr>
          <w:b w:val="0"/>
          <w:bCs w:val="0"/>
          <w:lang w:val="fr-CH"/>
        </w:rPr>
      </w:pPr>
      <w:r w:rsidRPr="00BB5E86">
        <w:rPr>
          <w:lang w:val="fr-FR"/>
        </w:rPr>
        <w:t>Projet Climateurope2</w:t>
      </w:r>
    </w:p>
    <w:p w14:paraId="311313E7" w14:textId="77777777" w:rsidR="00513EBA" w:rsidRPr="00BB5E86" w:rsidRDefault="00513EBA" w:rsidP="00513EBA">
      <w:pPr>
        <w:shd w:val="clear" w:color="auto" w:fill="FFFFFF" w:themeFill="background1"/>
        <w:spacing w:before="240" w:after="120"/>
        <w:jc w:val="left"/>
        <w:rPr>
          <w:lang w:val="fr-CH"/>
        </w:rPr>
      </w:pPr>
      <w:r w:rsidRPr="00BB5E86">
        <w:rPr>
          <w:lang w:val="fr-FR"/>
        </w:rPr>
        <w:t>Climateurope2, un projet financé par l'UE qui se déroulera de 2022 à 2027, se concentre sur la normalisation des services climatiques à travers l'Europe et au-delà. Le projet vise à améliorer la qualité et l'adoption des services climatiques en élaborant des lignes directrices, des critères de certification et des bonnes pratiques conformes aux principes FAIR (findability, accessibility, interoperability, and reusability). Les contributions de l'OMM comprennent la mise en place de procédures de vérification des données, de méthodologies de gestion de la qualité et l'évaluation du paysage actuel des services climatiques.</w:t>
      </w:r>
    </w:p>
    <w:p w14:paraId="43EF4941" w14:textId="77777777" w:rsidR="00513EBA" w:rsidRPr="00BB5E86" w:rsidRDefault="00513EBA" w:rsidP="0024064B">
      <w:pPr>
        <w:pStyle w:val="Heading3"/>
        <w:spacing w:after="240"/>
        <w:rPr>
          <w:b w:val="0"/>
          <w:bCs w:val="0"/>
          <w:color w:val="000000" w:themeColor="text1"/>
          <w:lang w:val="fr-CH"/>
        </w:rPr>
      </w:pPr>
      <w:r w:rsidRPr="00BB5E86">
        <w:rPr>
          <w:lang w:val="fr-FR"/>
        </w:rPr>
        <w:t>USAID - Alerte précoce hydrométéorologique multirisque et renforcement des capacités</w:t>
      </w:r>
    </w:p>
    <w:p w14:paraId="4DDA0F44" w14:textId="77777777" w:rsidR="00513EBA" w:rsidRPr="00BB5E86" w:rsidRDefault="00513EBA" w:rsidP="00513EBA">
      <w:pPr>
        <w:pStyle w:val="paragraph"/>
        <w:spacing w:before="240" w:beforeAutospacing="0" w:after="120" w:afterAutospacing="0"/>
        <w:rPr>
          <w:rStyle w:val="normaltextrun"/>
          <w:rFonts w:ascii="Verdana" w:hAnsi="Verdana" w:cs="Segoe UI"/>
          <w:sz w:val="20"/>
          <w:szCs w:val="20"/>
          <w:lang w:val="fr-CH"/>
        </w:rPr>
      </w:pPr>
      <w:r w:rsidRPr="00BB5E86">
        <w:rPr>
          <w:rFonts w:ascii="Verdana" w:hAnsi="Verdana"/>
          <w:sz w:val="20"/>
          <w:szCs w:val="20"/>
          <w:lang w:val="fr-FR"/>
        </w:rPr>
        <w:t>L'initiative "Multi-</w:t>
      </w:r>
      <w:proofErr w:type="spellStart"/>
      <w:r w:rsidRPr="00BB5E86">
        <w:rPr>
          <w:rFonts w:ascii="Verdana" w:hAnsi="Verdana"/>
          <w:sz w:val="20"/>
          <w:szCs w:val="20"/>
          <w:lang w:val="fr-FR"/>
        </w:rPr>
        <w:t>hazard</w:t>
      </w:r>
      <w:proofErr w:type="spellEnd"/>
      <w:r w:rsidRPr="00BB5E86">
        <w:rPr>
          <w:rFonts w:ascii="Verdana" w:hAnsi="Verdana"/>
          <w:sz w:val="20"/>
          <w:szCs w:val="20"/>
          <w:lang w:val="fr-FR"/>
        </w:rPr>
        <w:t xml:space="preserve"> </w:t>
      </w:r>
      <w:proofErr w:type="spellStart"/>
      <w:r w:rsidRPr="00BB5E86">
        <w:rPr>
          <w:rFonts w:ascii="Verdana" w:hAnsi="Verdana"/>
          <w:sz w:val="20"/>
          <w:szCs w:val="20"/>
          <w:lang w:val="fr-FR"/>
        </w:rPr>
        <w:t>Hydrometeorological</w:t>
      </w:r>
      <w:proofErr w:type="spellEnd"/>
      <w:r w:rsidRPr="00BB5E86">
        <w:rPr>
          <w:rFonts w:ascii="Verdana" w:hAnsi="Verdana"/>
          <w:sz w:val="20"/>
          <w:szCs w:val="20"/>
          <w:lang w:val="fr-FR"/>
        </w:rPr>
        <w:t xml:space="preserve"> </w:t>
      </w:r>
      <w:proofErr w:type="spellStart"/>
      <w:r w:rsidRPr="00BB5E86">
        <w:rPr>
          <w:rFonts w:ascii="Verdana" w:hAnsi="Verdana"/>
          <w:sz w:val="20"/>
          <w:szCs w:val="20"/>
          <w:lang w:val="fr-FR"/>
        </w:rPr>
        <w:t>Early</w:t>
      </w:r>
      <w:proofErr w:type="spellEnd"/>
      <w:r w:rsidRPr="00BB5E86">
        <w:rPr>
          <w:rFonts w:ascii="Verdana" w:hAnsi="Verdana"/>
          <w:sz w:val="20"/>
          <w:szCs w:val="20"/>
          <w:lang w:val="fr-FR"/>
        </w:rPr>
        <w:t xml:space="preserve"> Warning and Capacity Building" est financée par USAID/BHA à hauteur de 25 millions de dollars. L'objectif de cette initiative est de collaborer pour faire progresser les SAP hydrométéorologiques de bout en bout et les capacités afin de permettre aux pays de prendre des mesures précoces et de réduire les risques liés au climat, aux conditions météorologiques et à l'eau, tels que les inondations et les crues soudaines, les cyclones, les phénomènes météorologiques violents, les ondes de tempête, les températures extrêmes, les sécheresses, la variabilité et le changement climatiques et d'autres catastrophes hydrométéorologiques. Il aidera les pays à réduire l'impact des risques liés au temps, au climat et à l'eau en faisant progresser les SAP, en développant des outils, des orientations et des plans, en prévoyant les événements et leur impact, en renforçant les capacités et en menant d'autres actions pour permettre aux populations d'accéder aux alertes précoces de ces événements et de prendre des mesures rapides, ce qui est un intérêt commun pour l'OMM et l'USAID/BHA. L'initiative comporte deux grands domaines d'intervention : les SMHE et l'avancement de la réduction des risques d'inondation. L'initiative a une portée mondiale et, par conséquent, des interventions auront lieu dans l'AR VI.</w:t>
      </w:r>
    </w:p>
    <w:p w14:paraId="41887693" w14:textId="77777777" w:rsidR="00513EBA" w:rsidRPr="00BB5E86" w:rsidRDefault="00513EBA" w:rsidP="0024064B">
      <w:pPr>
        <w:pStyle w:val="Heading3"/>
        <w:spacing w:after="240"/>
        <w:rPr>
          <w:lang w:val="fr-CH"/>
        </w:rPr>
      </w:pPr>
      <w:r w:rsidRPr="00BB5E86">
        <w:rPr>
          <w:lang w:val="fr-FR"/>
        </w:rPr>
        <w:t>Programme de coopération volontaire (PCV)</w:t>
      </w:r>
    </w:p>
    <w:p w14:paraId="2B39BB32" w14:textId="77777777" w:rsidR="00513EBA" w:rsidRPr="00BB5E86" w:rsidRDefault="00513EBA" w:rsidP="00513EBA">
      <w:pPr>
        <w:shd w:val="clear" w:color="auto" w:fill="FFFFFF" w:themeFill="background1"/>
        <w:spacing w:before="240" w:after="120"/>
        <w:jc w:val="left"/>
        <w:rPr>
          <w:rFonts w:eastAsia="Verdana" w:cs="Verdana"/>
          <w:color w:val="000000" w:themeColor="text1"/>
          <w:lang w:val="fr-CH"/>
        </w:rPr>
      </w:pPr>
      <w:r w:rsidRPr="00BB5E86">
        <w:rPr>
          <w:lang w:val="fr-FR"/>
        </w:rPr>
        <w:t xml:space="preserve">L'OMM encourage et facilite également le soutien et la collaboration entre les SMHN par l'intermédiaire du PCV, qui vise à répondre aux besoins urgents des membres par le biais d'un financement direct, de petites subventions et d'un transfert d'expertise et de technologie entre les membres. Depuis sa création, le programme a apporté un soutien important, notamment aux membres de l'AR VI. Son succès est largement dû à la volonté des membres de l'OMM de partager leurs connaissances scientifiques et les dernières avancées technologiques. Alors que les pays donateurs fournissent des équipements, des bourses, de l'expertise et des financements, les pays bénéficiaires garantissent leur utilisation efficace en apportant des </w:t>
      </w:r>
      <w:r w:rsidRPr="00BB5E86">
        <w:rPr>
          <w:lang w:val="fr-FR"/>
        </w:rPr>
        <w:lastRenderedPageBreak/>
        <w:t>contributions de contrepartie considérables provenant des ressources nationales, telles que l'infrastructure locale, le personnel et les coûts opérationnels. L'OMM s'efforce de développer le PCV en créant davantage de liens entre les SMHN, en associant davantage de Membres au programme et en renforçant ainsi l'esprit de coopération et d'amitié.</w:t>
      </w:r>
    </w:p>
    <w:p w14:paraId="60CF462D" w14:textId="2F43D9E9" w:rsidR="00513EBA" w:rsidRPr="00BB5E86" w:rsidRDefault="00513EBA" w:rsidP="00513EBA">
      <w:pPr>
        <w:keepNext/>
        <w:keepLines/>
        <w:shd w:val="clear" w:color="auto" w:fill="FFFFFF" w:themeFill="background1"/>
        <w:spacing w:before="240" w:after="120"/>
        <w:jc w:val="left"/>
        <w:rPr>
          <w:rFonts w:eastAsia="Verdana" w:cs="Verdana"/>
          <w:color w:val="000000" w:themeColor="text1"/>
          <w:lang w:val="fr-CH"/>
        </w:rPr>
      </w:pPr>
      <w:r w:rsidRPr="00BB5E86">
        <w:rPr>
          <w:lang w:val="fr-FR"/>
        </w:rPr>
        <w:t>Dans l'AR VI, il y a actuellement trois projets actifs:</w:t>
      </w:r>
    </w:p>
    <w:tbl>
      <w:tblPr>
        <w:tblStyle w:val="TableGrid"/>
        <w:tblW w:w="5000" w:type="pct"/>
        <w:tblLayout w:type="fixed"/>
        <w:tblLook w:val="06A0" w:firstRow="1" w:lastRow="0" w:firstColumn="1" w:lastColumn="0" w:noHBand="1" w:noVBand="1"/>
      </w:tblPr>
      <w:tblGrid>
        <w:gridCol w:w="1525"/>
        <w:gridCol w:w="946"/>
        <w:gridCol w:w="5922"/>
        <w:gridCol w:w="1236"/>
      </w:tblGrid>
      <w:tr w:rsidR="00513EBA" w:rsidRPr="00BB5E86" w14:paraId="1CAE8CF6" w14:textId="77777777" w:rsidTr="00661A59">
        <w:trPr>
          <w:trHeight w:val="498"/>
          <w:tblHeader/>
        </w:trPr>
        <w:tc>
          <w:tcPr>
            <w:tcW w:w="792" w:type="pct"/>
            <w:shd w:val="clear" w:color="auto" w:fill="F0F9FE"/>
          </w:tcPr>
          <w:p w14:paraId="0AC42476" w14:textId="77777777" w:rsidR="00513EBA" w:rsidRPr="00BB5E86" w:rsidRDefault="00513EBA" w:rsidP="00661A59">
            <w:pPr>
              <w:keepNext/>
              <w:spacing w:before="120" w:after="120"/>
              <w:jc w:val="center"/>
              <w:rPr>
                <w:rFonts w:eastAsia="Verdana" w:cs="Verdana"/>
                <w:i/>
                <w:iCs/>
                <w:color w:val="000000" w:themeColor="text1"/>
              </w:rPr>
            </w:pPr>
            <w:r w:rsidRPr="00BB5E86">
              <w:rPr>
                <w:i/>
                <w:iCs/>
                <w:lang w:val="fr-FR"/>
              </w:rPr>
              <w:t>Les membres</w:t>
            </w:r>
          </w:p>
        </w:tc>
        <w:tc>
          <w:tcPr>
            <w:tcW w:w="491" w:type="pct"/>
            <w:shd w:val="clear" w:color="auto" w:fill="F0F9FE"/>
          </w:tcPr>
          <w:p w14:paraId="21B77CDD" w14:textId="77777777" w:rsidR="00513EBA" w:rsidRPr="00BB5E86" w:rsidRDefault="00513EBA" w:rsidP="00661A59">
            <w:pPr>
              <w:spacing w:before="120" w:after="120"/>
              <w:jc w:val="center"/>
              <w:rPr>
                <w:rFonts w:eastAsia="Verdana" w:cs="Verdana"/>
                <w:i/>
                <w:iCs/>
                <w:color w:val="000000" w:themeColor="text1"/>
              </w:rPr>
            </w:pPr>
            <w:r w:rsidRPr="00BB5E86">
              <w:rPr>
                <w:i/>
                <w:iCs/>
                <w:lang w:val="fr-FR"/>
              </w:rPr>
              <w:t>Année</w:t>
            </w:r>
          </w:p>
        </w:tc>
        <w:tc>
          <w:tcPr>
            <w:tcW w:w="3075" w:type="pct"/>
            <w:shd w:val="clear" w:color="auto" w:fill="F0F9FE"/>
          </w:tcPr>
          <w:p w14:paraId="173DF464" w14:textId="77777777" w:rsidR="00513EBA" w:rsidRPr="00BB5E86" w:rsidRDefault="00513EBA" w:rsidP="00661A59">
            <w:pPr>
              <w:pStyle w:val="ListParagraph"/>
              <w:spacing w:before="120" w:after="120"/>
              <w:contextualSpacing w:val="0"/>
              <w:jc w:val="center"/>
              <w:rPr>
                <w:rFonts w:eastAsia="Verdana" w:cs="Verdana"/>
                <w:i/>
                <w:iCs/>
                <w:color w:val="000000" w:themeColor="text1"/>
              </w:rPr>
            </w:pPr>
            <w:r w:rsidRPr="00BB5E86">
              <w:rPr>
                <w:i/>
                <w:iCs/>
                <w:lang w:val="fr-FR"/>
              </w:rPr>
              <w:t>Projet</w:t>
            </w:r>
          </w:p>
        </w:tc>
        <w:tc>
          <w:tcPr>
            <w:tcW w:w="642" w:type="pct"/>
            <w:shd w:val="clear" w:color="auto" w:fill="F0F9FE"/>
          </w:tcPr>
          <w:p w14:paraId="3ED56C75" w14:textId="77777777" w:rsidR="00513EBA" w:rsidRPr="00BB5E86" w:rsidRDefault="00513EBA" w:rsidP="00661A59">
            <w:pPr>
              <w:spacing w:before="120" w:after="120"/>
              <w:jc w:val="center"/>
              <w:rPr>
                <w:rFonts w:eastAsia="Verdana" w:cs="Verdana"/>
                <w:i/>
                <w:iCs/>
                <w:color w:val="000000" w:themeColor="text1"/>
              </w:rPr>
            </w:pPr>
            <w:r w:rsidRPr="00BB5E86">
              <w:rPr>
                <w:i/>
                <w:iCs/>
                <w:lang w:val="fr-FR"/>
              </w:rPr>
              <w:t>Remarques</w:t>
            </w:r>
          </w:p>
        </w:tc>
      </w:tr>
      <w:tr w:rsidR="00513EBA" w:rsidRPr="00BB5E86" w14:paraId="70B6F411" w14:textId="77777777" w:rsidTr="00661A59">
        <w:trPr>
          <w:trHeight w:val="300"/>
        </w:trPr>
        <w:tc>
          <w:tcPr>
            <w:tcW w:w="792" w:type="pct"/>
            <w:vAlign w:val="center"/>
          </w:tcPr>
          <w:p w14:paraId="6F6285A4" w14:textId="77777777" w:rsidR="00513EBA" w:rsidRPr="00BB5E86" w:rsidRDefault="00513EBA" w:rsidP="00661A59">
            <w:pPr>
              <w:spacing w:before="120" w:after="120"/>
              <w:jc w:val="left"/>
              <w:rPr>
                <w:rFonts w:eastAsia="Verdana" w:cs="Verdana"/>
                <w:color w:val="000000" w:themeColor="text1"/>
              </w:rPr>
            </w:pPr>
            <w:r w:rsidRPr="00BB5E86">
              <w:rPr>
                <w:lang w:val="fr-FR"/>
              </w:rPr>
              <w:t>Macédoine du Nord</w:t>
            </w:r>
          </w:p>
        </w:tc>
        <w:tc>
          <w:tcPr>
            <w:tcW w:w="491" w:type="pct"/>
            <w:vAlign w:val="center"/>
          </w:tcPr>
          <w:p w14:paraId="31ADE156" w14:textId="77777777" w:rsidR="00513EBA" w:rsidRPr="00BB5E86" w:rsidRDefault="00513EBA" w:rsidP="00661A59">
            <w:pPr>
              <w:spacing w:before="120" w:after="120"/>
              <w:jc w:val="left"/>
              <w:rPr>
                <w:rFonts w:eastAsia="Verdana" w:cs="Verdana"/>
                <w:color w:val="000000" w:themeColor="text1"/>
              </w:rPr>
            </w:pPr>
            <w:r w:rsidRPr="00BB5E86">
              <w:rPr>
                <w:lang w:val="fr-FR"/>
              </w:rPr>
              <w:t>2018</w:t>
            </w:r>
          </w:p>
        </w:tc>
        <w:tc>
          <w:tcPr>
            <w:tcW w:w="3075" w:type="pct"/>
            <w:vAlign w:val="center"/>
          </w:tcPr>
          <w:p w14:paraId="76AA6459" w14:textId="77777777" w:rsidR="00513EBA" w:rsidRPr="00BB5E86" w:rsidRDefault="00513EBA" w:rsidP="00661A59">
            <w:pPr>
              <w:spacing w:before="120" w:after="120"/>
              <w:jc w:val="left"/>
              <w:rPr>
                <w:rFonts w:eastAsia="Calibri" w:cs="Calibri"/>
                <w:color w:val="000000" w:themeColor="text1"/>
                <w:lang w:val="fr-CH"/>
              </w:rPr>
            </w:pPr>
            <w:r w:rsidRPr="00BB5E86">
              <w:rPr>
                <w:lang w:val="fr-FR"/>
              </w:rPr>
              <w:t>Achat de matériel pour le logiciel de communication et d'application météorologique (METCAP) Plus, logiciel et matériel de visualisation, et installation des modèles non hydrostatiques NMM-B et NMM-E</w:t>
            </w:r>
          </w:p>
        </w:tc>
        <w:tc>
          <w:tcPr>
            <w:tcW w:w="642" w:type="pct"/>
            <w:vAlign w:val="center"/>
          </w:tcPr>
          <w:p w14:paraId="01D8AECF" w14:textId="77777777" w:rsidR="00513EBA" w:rsidRPr="00BB5E86" w:rsidRDefault="00513EBA" w:rsidP="00661A59">
            <w:pPr>
              <w:spacing w:before="120" w:after="120"/>
              <w:jc w:val="left"/>
              <w:rPr>
                <w:rFonts w:eastAsia="Verdana" w:cs="Verdana"/>
                <w:color w:val="000000" w:themeColor="text1"/>
              </w:rPr>
            </w:pPr>
            <w:r w:rsidRPr="00BB5E86">
              <w:rPr>
                <w:lang w:val="fr-FR"/>
              </w:rPr>
              <w:t>En cours</w:t>
            </w:r>
          </w:p>
        </w:tc>
      </w:tr>
      <w:tr w:rsidR="00513EBA" w:rsidRPr="00BB5E86" w14:paraId="092746E2" w14:textId="77777777" w:rsidTr="00661A59">
        <w:trPr>
          <w:trHeight w:val="300"/>
        </w:trPr>
        <w:tc>
          <w:tcPr>
            <w:tcW w:w="792" w:type="pct"/>
            <w:vAlign w:val="center"/>
          </w:tcPr>
          <w:p w14:paraId="35BE2B36" w14:textId="77777777" w:rsidR="00513EBA" w:rsidRPr="00BB5E86" w:rsidRDefault="00513EBA" w:rsidP="00661A59">
            <w:pPr>
              <w:spacing w:before="120" w:after="120"/>
              <w:jc w:val="left"/>
              <w:rPr>
                <w:rFonts w:eastAsia="Verdana" w:cs="Verdana"/>
                <w:color w:val="000000" w:themeColor="text1"/>
              </w:rPr>
            </w:pPr>
            <w:r w:rsidRPr="00BB5E86">
              <w:rPr>
                <w:lang w:val="fr-FR"/>
              </w:rPr>
              <w:t>République de Moldavie</w:t>
            </w:r>
          </w:p>
        </w:tc>
        <w:tc>
          <w:tcPr>
            <w:tcW w:w="491" w:type="pct"/>
            <w:vAlign w:val="center"/>
          </w:tcPr>
          <w:p w14:paraId="5B8C8AE9" w14:textId="77777777" w:rsidR="00513EBA" w:rsidRPr="00BB5E86" w:rsidRDefault="00513EBA" w:rsidP="00661A59">
            <w:pPr>
              <w:spacing w:before="120" w:after="120"/>
              <w:jc w:val="left"/>
              <w:rPr>
                <w:rFonts w:eastAsia="Verdana" w:cs="Verdana"/>
                <w:color w:val="000000" w:themeColor="text1"/>
              </w:rPr>
            </w:pPr>
            <w:r w:rsidRPr="00BB5E86">
              <w:rPr>
                <w:lang w:val="fr-FR"/>
              </w:rPr>
              <w:t>2022</w:t>
            </w:r>
          </w:p>
        </w:tc>
        <w:tc>
          <w:tcPr>
            <w:tcW w:w="3075" w:type="pct"/>
            <w:vAlign w:val="center"/>
          </w:tcPr>
          <w:p w14:paraId="39B9F3BF" w14:textId="77777777" w:rsidR="00513EBA" w:rsidRPr="00BB5E86" w:rsidRDefault="00513EBA" w:rsidP="00661A59">
            <w:pPr>
              <w:spacing w:before="120" w:after="120"/>
              <w:jc w:val="left"/>
              <w:rPr>
                <w:rFonts w:eastAsia="Verdana" w:cs="Verdana"/>
                <w:lang w:val="fr-CH"/>
              </w:rPr>
            </w:pPr>
            <w:r w:rsidRPr="00BB5E86">
              <w:rPr>
                <w:lang w:val="fr-FR"/>
              </w:rPr>
              <w:t>Aide au renforcement de la capacité de prévention des catastrophes sur la rivière transfrontalière Nistru en relation avec la guerre en Ukraine</w:t>
            </w:r>
          </w:p>
        </w:tc>
        <w:tc>
          <w:tcPr>
            <w:tcW w:w="642" w:type="pct"/>
            <w:vAlign w:val="center"/>
          </w:tcPr>
          <w:p w14:paraId="2DC8BDD4" w14:textId="77777777" w:rsidR="00513EBA" w:rsidRPr="00BB5E86" w:rsidRDefault="00513EBA" w:rsidP="00661A59">
            <w:pPr>
              <w:spacing w:before="120" w:after="120"/>
              <w:jc w:val="left"/>
              <w:rPr>
                <w:rFonts w:eastAsia="Verdana" w:cs="Verdana"/>
                <w:color w:val="000000" w:themeColor="text1"/>
              </w:rPr>
            </w:pPr>
            <w:r w:rsidRPr="00BB5E86">
              <w:rPr>
                <w:lang w:val="fr-FR"/>
              </w:rPr>
              <w:t>Finalisé</w:t>
            </w:r>
          </w:p>
        </w:tc>
      </w:tr>
      <w:tr w:rsidR="00513EBA" w:rsidRPr="00BB5E86" w14:paraId="7426E8F7" w14:textId="77777777" w:rsidTr="00661A59">
        <w:trPr>
          <w:trHeight w:val="300"/>
        </w:trPr>
        <w:tc>
          <w:tcPr>
            <w:tcW w:w="792" w:type="pct"/>
            <w:vAlign w:val="center"/>
          </w:tcPr>
          <w:p w14:paraId="42D70FE9" w14:textId="77777777" w:rsidR="00513EBA" w:rsidRPr="00BB5E86" w:rsidRDefault="00513EBA" w:rsidP="00661A59">
            <w:pPr>
              <w:spacing w:before="120" w:after="120"/>
              <w:jc w:val="left"/>
              <w:rPr>
                <w:rFonts w:eastAsia="Verdana" w:cs="Verdana"/>
                <w:color w:val="000000" w:themeColor="text1"/>
              </w:rPr>
            </w:pPr>
            <w:r w:rsidRPr="00BB5E86">
              <w:rPr>
                <w:lang w:val="fr-FR"/>
              </w:rPr>
              <w:t xml:space="preserve">Arménie </w:t>
            </w:r>
          </w:p>
        </w:tc>
        <w:tc>
          <w:tcPr>
            <w:tcW w:w="491" w:type="pct"/>
            <w:vAlign w:val="center"/>
          </w:tcPr>
          <w:p w14:paraId="4F8A463E" w14:textId="77777777" w:rsidR="00513EBA" w:rsidRPr="00BB5E86" w:rsidRDefault="00513EBA" w:rsidP="00661A59">
            <w:pPr>
              <w:spacing w:before="120" w:after="120"/>
              <w:jc w:val="left"/>
              <w:rPr>
                <w:rFonts w:eastAsia="Verdana" w:cs="Verdana"/>
                <w:color w:val="000000" w:themeColor="text1"/>
              </w:rPr>
            </w:pPr>
            <w:r w:rsidRPr="00BB5E86">
              <w:rPr>
                <w:lang w:val="fr-FR"/>
              </w:rPr>
              <w:t>2024</w:t>
            </w:r>
          </w:p>
        </w:tc>
        <w:tc>
          <w:tcPr>
            <w:tcW w:w="3075" w:type="pct"/>
            <w:vAlign w:val="center"/>
          </w:tcPr>
          <w:p w14:paraId="06B5A83F" w14:textId="77777777" w:rsidR="00513EBA" w:rsidRPr="00BB5E86" w:rsidRDefault="00513EBA" w:rsidP="00661A59">
            <w:pPr>
              <w:spacing w:before="120" w:after="120"/>
              <w:jc w:val="left"/>
              <w:rPr>
                <w:rFonts w:eastAsia="Verdana" w:cs="Verdana"/>
                <w:color w:val="000000" w:themeColor="text1"/>
              </w:rPr>
            </w:pPr>
            <w:r w:rsidRPr="00BB5E86">
              <w:rPr>
                <w:lang w:val="fr-FR"/>
              </w:rPr>
              <w:t>Changements structurels dans l'Armhydromet</w:t>
            </w:r>
          </w:p>
        </w:tc>
        <w:tc>
          <w:tcPr>
            <w:tcW w:w="642" w:type="pct"/>
            <w:vAlign w:val="center"/>
          </w:tcPr>
          <w:p w14:paraId="020425B3" w14:textId="77777777" w:rsidR="00513EBA" w:rsidRPr="00BB5E86" w:rsidRDefault="00513EBA" w:rsidP="00661A59">
            <w:pPr>
              <w:spacing w:before="120" w:after="120"/>
              <w:jc w:val="left"/>
              <w:rPr>
                <w:rFonts w:eastAsia="Verdana" w:cs="Verdana"/>
                <w:color w:val="000000" w:themeColor="text1"/>
              </w:rPr>
            </w:pPr>
            <w:r w:rsidRPr="00BB5E86">
              <w:rPr>
                <w:lang w:val="fr-FR"/>
              </w:rPr>
              <w:t>En cours</w:t>
            </w:r>
          </w:p>
        </w:tc>
      </w:tr>
    </w:tbl>
    <w:p w14:paraId="1AE9500B" w14:textId="77777777" w:rsidR="00661A59" w:rsidRPr="00BB5E86" w:rsidRDefault="00661A59" w:rsidP="00513EBA">
      <w:pPr>
        <w:pStyle w:val="WMOSubTitle1"/>
      </w:pPr>
    </w:p>
    <w:p w14:paraId="13C43AA1" w14:textId="1F34C44A" w:rsidR="00513EBA" w:rsidRPr="00BB5E86" w:rsidRDefault="00513EBA" w:rsidP="00513EBA">
      <w:pPr>
        <w:pStyle w:val="WMOSubTitle1"/>
        <w:rPr>
          <w:lang w:val="fr-CH"/>
        </w:rPr>
      </w:pPr>
      <w:r w:rsidRPr="00BB5E86">
        <w:rPr>
          <w:bCs/>
          <w:iCs/>
          <w:lang w:val="fr-FR"/>
        </w:rPr>
        <w:t>Investissements de l'AR VI dans des projets liés au PCV:</w:t>
      </w:r>
    </w:p>
    <w:p w14:paraId="6A09F672" w14:textId="77777777" w:rsidR="00513EBA" w:rsidRPr="00BB5E86" w:rsidRDefault="00513EBA" w:rsidP="00513EBA">
      <w:pPr>
        <w:pStyle w:val="WMOBodyText"/>
        <w:rPr>
          <w:lang w:val="fr-CH"/>
        </w:rPr>
      </w:pPr>
    </w:p>
    <w:tbl>
      <w:tblPr>
        <w:tblStyle w:val="TableGrid"/>
        <w:tblW w:w="0" w:type="auto"/>
        <w:tblLayout w:type="fixed"/>
        <w:tblLook w:val="06A0" w:firstRow="1" w:lastRow="0" w:firstColumn="1" w:lastColumn="0" w:noHBand="1" w:noVBand="1"/>
      </w:tblPr>
      <w:tblGrid>
        <w:gridCol w:w="1521"/>
        <w:gridCol w:w="1489"/>
        <w:gridCol w:w="1042"/>
        <w:gridCol w:w="4239"/>
        <w:gridCol w:w="1338"/>
      </w:tblGrid>
      <w:tr w:rsidR="00513EBA" w:rsidRPr="00BB5E86" w14:paraId="24CB4F59" w14:textId="77777777" w:rsidTr="00661A59">
        <w:trPr>
          <w:trHeight w:val="660"/>
        </w:trPr>
        <w:tc>
          <w:tcPr>
            <w:tcW w:w="1521" w:type="dxa"/>
            <w:shd w:val="clear" w:color="auto" w:fill="F0F9FE"/>
            <w:vAlign w:val="center"/>
          </w:tcPr>
          <w:p w14:paraId="1B4069F4" w14:textId="77777777" w:rsidR="00513EBA" w:rsidRPr="00BB5E86" w:rsidRDefault="00513EBA" w:rsidP="005F4A70">
            <w:pPr>
              <w:spacing w:before="120" w:after="120"/>
              <w:jc w:val="center"/>
              <w:rPr>
                <w:rFonts w:eastAsia="Verdana" w:cs="Verdana"/>
                <w:i/>
                <w:iCs/>
                <w:color w:val="000000" w:themeColor="text1"/>
              </w:rPr>
            </w:pPr>
            <w:r w:rsidRPr="00BB5E86">
              <w:rPr>
                <w:i/>
                <w:iCs/>
                <w:lang w:val="fr-FR"/>
              </w:rPr>
              <w:t>Membres investisseurs</w:t>
            </w:r>
          </w:p>
        </w:tc>
        <w:tc>
          <w:tcPr>
            <w:tcW w:w="1489" w:type="dxa"/>
            <w:shd w:val="clear" w:color="auto" w:fill="F0F9FE"/>
            <w:vAlign w:val="center"/>
          </w:tcPr>
          <w:p w14:paraId="112D76C2" w14:textId="77777777" w:rsidR="00513EBA" w:rsidRPr="00BB5E86" w:rsidRDefault="00513EBA" w:rsidP="005F4A70">
            <w:pPr>
              <w:spacing w:before="120" w:after="120"/>
              <w:jc w:val="center"/>
              <w:rPr>
                <w:rFonts w:eastAsia="Verdana" w:cs="Verdana"/>
                <w:i/>
                <w:iCs/>
                <w:color w:val="000000" w:themeColor="text1"/>
              </w:rPr>
            </w:pPr>
            <w:r w:rsidRPr="00BB5E86">
              <w:rPr>
                <w:i/>
                <w:iCs/>
                <w:lang w:val="fr-FR"/>
              </w:rPr>
              <w:t>Bénéficiaire</w:t>
            </w:r>
          </w:p>
        </w:tc>
        <w:tc>
          <w:tcPr>
            <w:tcW w:w="1042" w:type="dxa"/>
            <w:shd w:val="clear" w:color="auto" w:fill="F0F9FE"/>
            <w:vAlign w:val="center"/>
          </w:tcPr>
          <w:p w14:paraId="18319E09" w14:textId="77777777" w:rsidR="00513EBA" w:rsidRPr="00BB5E86" w:rsidRDefault="00513EBA" w:rsidP="005F4A70">
            <w:pPr>
              <w:spacing w:before="120" w:after="120"/>
              <w:jc w:val="center"/>
              <w:rPr>
                <w:rFonts w:eastAsia="Verdana" w:cs="Verdana"/>
                <w:i/>
                <w:iCs/>
                <w:color w:val="000000" w:themeColor="text1"/>
              </w:rPr>
            </w:pPr>
            <w:r w:rsidRPr="00BB5E86">
              <w:rPr>
                <w:i/>
                <w:iCs/>
                <w:lang w:val="fr-FR"/>
              </w:rPr>
              <w:t>Année</w:t>
            </w:r>
          </w:p>
        </w:tc>
        <w:tc>
          <w:tcPr>
            <w:tcW w:w="4239" w:type="dxa"/>
            <w:shd w:val="clear" w:color="auto" w:fill="F0F9FE"/>
            <w:vAlign w:val="center"/>
          </w:tcPr>
          <w:p w14:paraId="42888388" w14:textId="77777777" w:rsidR="00513EBA" w:rsidRPr="00BB5E86" w:rsidRDefault="00513EBA" w:rsidP="005F4A70">
            <w:pPr>
              <w:pStyle w:val="ListParagraph"/>
              <w:spacing w:before="120" w:after="120"/>
              <w:contextualSpacing w:val="0"/>
              <w:jc w:val="center"/>
              <w:rPr>
                <w:rFonts w:eastAsia="Verdana" w:cs="Verdana"/>
                <w:i/>
                <w:iCs/>
                <w:color w:val="000000" w:themeColor="text1"/>
              </w:rPr>
            </w:pPr>
            <w:r w:rsidRPr="00BB5E86">
              <w:rPr>
                <w:i/>
                <w:iCs/>
                <w:lang w:val="fr-FR"/>
              </w:rPr>
              <w:t>Projet</w:t>
            </w:r>
          </w:p>
        </w:tc>
        <w:tc>
          <w:tcPr>
            <w:tcW w:w="1338" w:type="dxa"/>
            <w:shd w:val="clear" w:color="auto" w:fill="F0F9FE"/>
            <w:vAlign w:val="center"/>
          </w:tcPr>
          <w:p w14:paraId="0A2ABE18" w14:textId="77777777" w:rsidR="00513EBA" w:rsidRPr="00BB5E86" w:rsidRDefault="00513EBA" w:rsidP="005F4A70">
            <w:pPr>
              <w:spacing w:before="120" w:after="120"/>
              <w:jc w:val="center"/>
              <w:rPr>
                <w:rFonts w:eastAsia="Verdana" w:cs="Verdana"/>
                <w:i/>
                <w:iCs/>
                <w:color w:val="000000" w:themeColor="text1"/>
              </w:rPr>
            </w:pPr>
            <w:r w:rsidRPr="00BB5E86">
              <w:rPr>
                <w:i/>
                <w:iCs/>
                <w:lang w:val="fr-FR"/>
              </w:rPr>
              <w:t>Remarques</w:t>
            </w:r>
          </w:p>
        </w:tc>
      </w:tr>
      <w:tr w:rsidR="00513EBA" w:rsidRPr="00BB5E86" w14:paraId="3D5C37A3" w14:textId="77777777" w:rsidTr="00661A59">
        <w:trPr>
          <w:trHeight w:val="691"/>
        </w:trPr>
        <w:tc>
          <w:tcPr>
            <w:tcW w:w="1521" w:type="dxa"/>
            <w:vAlign w:val="center"/>
          </w:tcPr>
          <w:p w14:paraId="26AFDEC1" w14:textId="77777777" w:rsidR="00513EBA" w:rsidRPr="00BB5E86" w:rsidRDefault="00513EBA" w:rsidP="005F4A70">
            <w:pPr>
              <w:spacing w:before="120" w:after="120"/>
              <w:rPr>
                <w:rFonts w:eastAsia="Verdana" w:cs="Verdana"/>
                <w:color w:val="000000" w:themeColor="text1"/>
              </w:rPr>
            </w:pPr>
            <w:r w:rsidRPr="00BB5E86">
              <w:rPr>
                <w:lang w:val="fr-FR"/>
              </w:rPr>
              <w:t>Finlande</w:t>
            </w:r>
          </w:p>
        </w:tc>
        <w:tc>
          <w:tcPr>
            <w:tcW w:w="1489" w:type="dxa"/>
            <w:vAlign w:val="center"/>
          </w:tcPr>
          <w:p w14:paraId="44014849" w14:textId="77777777" w:rsidR="00513EBA" w:rsidRPr="00BB5E86" w:rsidRDefault="00513EBA" w:rsidP="005F4A70">
            <w:pPr>
              <w:spacing w:before="120" w:after="120"/>
              <w:rPr>
                <w:rFonts w:eastAsia="Verdana" w:cs="Verdana"/>
                <w:color w:val="000000" w:themeColor="text1"/>
              </w:rPr>
            </w:pPr>
            <w:r w:rsidRPr="00BB5E86">
              <w:rPr>
                <w:lang w:val="fr-FR"/>
              </w:rPr>
              <w:t>Ukraine</w:t>
            </w:r>
          </w:p>
        </w:tc>
        <w:tc>
          <w:tcPr>
            <w:tcW w:w="1042" w:type="dxa"/>
            <w:vAlign w:val="center"/>
          </w:tcPr>
          <w:p w14:paraId="003EFEE0" w14:textId="77777777" w:rsidR="00513EBA" w:rsidRPr="00BB5E86" w:rsidRDefault="00513EBA" w:rsidP="005F4A70">
            <w:pPr>
              <w:spacing w:before="120" w:after="120"/>
              <w:rPr>
                <w:rFonts w:eastAsia="Verdana" w:cs="Verdana"/>
                <w:color w:val="000000" w:themeColor="text1"/>
              </w:rPr>
            </w:pPr>
            <w:r w:rsidRPr="00BB5E86">
              <w:rPr>
                <w:lang w:val="fr-FR"/>
              </w:rPr>
              <w:t>2023</w:t>
            </w:r>
          </w:p>
        </w:tc>
        <w:tc>
          <w:tcPr>
            <w:tcW w:w="4239" w:type="dxa"/>
            <w:vAlign w:val="center"/>
          </w:tcPr>
          <w:p w14:paraId="0BC48F80" w14:textId="77777777" w:rsidR="00513EBA" w:rsidRPr="00BB5E86" w:rsidRDefault="00513EBA" w:rsidP="005F4A70">
            <w:pPr>
              <w:spacing w:before="120" w:after="120"/>
              <w:jc w:val="left"/>
              <w:rPr>
                <w:lang w:val="fr-CH"/>
              </w:rPr>
            </w:pPr>
            <w:r w:rsidRPr="00BB5E86">
              <w:rPr>
                <w:lang w:val="fr-FR"/>
              </w:rPr>
              <w:t xml:space="preserve">Modernisation des services météorologiques ukrainiens </w:t>
            </w:r>
          </w:p>
        </w:tc>
        <w:tc>
          <w:tcPr>
            <w:tcW w:w="1338" w:type="dxa"/>
            <w:vAlign w:val="center"/>
          </w:tcPr>
          <w:p w14:paraId="0EC1D6DB"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r w:rsidR="00513EBA" w:rsidRPr="00BB5E86" w14:paraId="68A268AC" w14:textId="77777777" w:rsidTr="00661A59">
        <w:trPr>
          <w:trHeight w:val="300"/>
        </w:trPr>
        <w:tc>
          <w:tcPr>
            <w:tcW w:w="1521" w:type="dxa"/>
            <w:vAlign w:val="center"/>
          </w:tcPr>
          <w:p w14:paraId="15CF39A1" w14:textId="77777777" w:rsidR="00513EBA" w:rsidRPr="00BB5E86" w:rsidRDefault="00513EBA" w:rsidP="005F4A70">
            <w:pPr>
              <w:spacing w:before="120" w:after="120"/>
              <w:rPr>
                <w:rFonts w:eastAsia="Verdana" w:cs="Verdana"/>
              </w:rPr>
            </w:pPr>
            <w:r w:rsidRPr="00BB5E86">
              <w:rPr>
                <w:lang w:val="fr-FR"/>
              </w:rPr>
              <w:t>Suisse</w:t>
            </w:r>
          </w:p>
        </w:tc>
        <w:tc>
          <w:tcPr>
            <w:tcW w:w="1489" w:type="dxa"/>
            <w:vAlign w:val="center"/>
          </w:tcPr>
          <w:p w14:paraId="49E28358" w14:textId="77777777" w:rsidR="00513EBA" w:rsidRPr="00BB5E86" w:rsidRDefault="00513EBA" w:rsidP="005F4A70">
            <w:pPr>
              <w:spacing w:before="120" w:after="120"/>
              <w:rPr>
                <w:rFonts w:eastAsia="Verdana" w:cs="Verdana"/>
              </w:rPr>
            </w:pPr>
            <w:r w:rsidRPr="00BB5E86">
              <w:rPr>
                <w:lang w:val="fr-FR"/>
              </w:rPr>
              <w:t>Albanie</w:t>
            </w:r>
          </w:p>
        </w:tc>
        <w:tc>
          <w:tcPr>
            <w:tcW w:w="1042" w:type="dxa"/>
            <w:vAlign w:val="center"/>
          </w:tcPr>
          <w:p w14:paraId="11D5A71B" w14:textId="77777777" w:rsidR="00513EBA" w:rsidRPr="00BB5E86" w:rsidRDefault="00513EBA" w:rsidP="005F4A70">
            <w:pPr>
              <w:spacing w:before="120" w:after="120"/>
              <w:rPr>
                <w:rFonts w:eastAsia="Verdana" w:cs="Verdana"/>
                <w:color w:val="000000" w:themeColor="text1"/>
              </w:rPr>
            </w:pPr>
            <w:r w:rsidRPr="00BB5E86">
              <w:rPr>
                <w:lang w:val="fr-FR"/>
              </w:rPr>
              <w:t>2023</w:t>
            </w:r>
          </w:p>
        </w:tc>
        <w:tc>
          <w:tcPr>
            <w:tcW w:w="4239" w:type="dxa"/>
            <w:vAlign w:val="center"/>
          </w:tcPr>
          <w:p w14:paraId="4C786C02" w14:textId="77777777" w:rsidR="00513EBA" w:rsidRPr="00BB5E86" w:rsidRDefault="00513EBA" w:rsidP="005F4A70">
            <w:pPr>
              <w:spacing w:before="120" w:after="120"/>
              <w:jc w:val="left"/>
              <w:rPr>
                <w:rFonts w:eastAsia="Verdana" w:cs="Verdana"/>
                <w:lang w:val="fr-CH"/>
              </w:rPr>
            </w:pPr>
            <w:r w:rsidRPr="00BB5E86">
              <w:rPr>
                <w:i/>
                <w:iCs/>
                <w:lang w:val="fr-FR"/>
              </w:rPr>
              <w:t>ALBAdapt - Services climatiques pour une Albanie résiliente</w:t>
            </w:r>
          </w:p>
        </w:tc>
        <w:tc>
          <w:tcPr>
            <w:tcW w:w="1338" w:type="dxa"/>
            <w:vAlign w:val="center"/>
          </w:tcPr>
          <w:p w14:paraId="42D46138"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r w:rsidR="00513EBA" w:rsidRPr="00BB5E86" w14:paraId="1A2CD9C3" w14:textId="77777777" w:rsidTr="00661A59">
        <w:trPr>
          <w:trHeight w:val="585"/>
        </w:trPr>
        <w:tc>
          <w:tcPr>
            <w:tcW w:w="1521" w:type="dxa"/>
            <w:vMerge w:val="restart"/>
            <w:vAlign w:val="center"/>
          </w:tcPr>
          <w:p w14:paraId="39968BB1" w14:textId="77777777" w:rsidR="00513EBA" w:rsidRPr="00BB5E86" w:rsidRDefault="00513EBA" w:rsidP="005F4A70">
            <w:pPr>
              <w:spacing w:before="120" w:after="120"/>
            </w:pPr>
            <w:r w:rsidRPr="00BB5E86">
              <w:rPr>
                <w:lang w:val="fr-FR"/>
              </w:rPr>
              <w:t>Suède</w:t>
            </w:r>
          </w:p>
        </w:tc>
        <w:tc>
          <w:tcPr>
            <w:tcW w:w="1489" w:type="dxa"/>
            <w:vAlign w:val="center"/>
          </w:tcPr>
          <w:p w14:paraId="5F79CCC8" w14:textId="77777777" w:rsidR="00513EBA" w:rsidRPr="00BB5E86" w:rsidRDefault="00513EBA" w:rsidP="005F4A70">
            <w:pPr>
              <w:spacing w:before="120" w:after="120"/>
              <w:jc w:val="left"/>
            </w:pPr>
            <w:r w:rsidRPr="00BB5E86">
              <w:rPr>
                <w:lang w:val="fr-FR"/>
              </w:rPr>
              <w:t>17 pays africains</w:t>
            </w:r>
          </w:p>
        </w:tc>
        <w:tc>
          <w:tcPr>
            <w:tcW w:w="1042" w:type="dxa"/>
            <w:vAlign w:val="center"/>
          </w:tcPr>
          <w:p w14:paraId="5EB1F96F" w14:textId="77777777" w:rsidR="00513EBA" w:rsidRPr="00BB5E86" w:rsidRDefault="00513EBA" w:rsidP="005F4A70">
            <w:pPr>
              <w:spacing w:before="120" w:after="120"/>
              <w:rPr>
                <w:rFonts w:eastAsia="Verdana" w:cs="Verdana"/>
                <w:color w:val="000000" w:themeColor="text1"/>
              </w:rPr>
            </w:pPr>
            <w:r w:rsidRPr="00BB5E86">
              <w:rPr>
                <w:lang w:val="fr-FR"/>
              </w:rPr>
              <w:t>2015-2023</w:t>
            </w:r>
          </w:p>
        </w:tc>
        <w:tc>
          <w:tcPr>
            <w:tcW w:w="4239" w:type="dxa"/>
            <w:vAlign w:val="center"/>
          </w:tcPr>
          <w:p w14:paraId="6CBAFCED" w14:textId="77777777" w:rsidR="00513EBA" w:rsidRPr="00BB5E86" w:rsidRDefault="00513EBA" w:rsidP="005F4A70">
            <w:pPr>
              <w:spacing w:before="120" w:after="120"/>
              <w:jc w:val="left"/>
              <w:rPr>
                <w:rFonts w:eastAsia="Verdana" w:cs="Verdana"/>
                <w:lang w:val="fr-CH"/>
              </w:rPr>
            </w:pPr>
            <w:r w:rsidRPr="00BB5E86">
              <w:rPr>
                <w:lang w:val="fr-FR"/>
              </w:rPr>
              <w:t>Programme international de formation sur l'atténuation et l'adaptation au changement climatique</w:t>
            </w:r>
          </w:p>
        </w:tc>
        <w:tc>
          <w:tcPr>
            <w:tcW w:w="1338" w:type="dxa"/>
            <w:vAlign w:val="center"/>
          </w:tcPr>
          <w:p w14:paraId="5C85F5A0"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r w:rsidR="00513EBA" w:rsidRPr="00BB5E86" w14:paraId="64BF8E66" w14:textId="77777777" w:rsidTr="00661A59">
        <w:trPr>
          <w:trHeight w:val="840"/>
        </w:trPr>
        <w:tc>
          <w:tcPr>
            <w:tcW w:w="1521" w:type="dxa"/>
            <w:vMerge/>
            <w:vAlign w:val="center"/>
          </w:tcPr>
          <w:p w14:paraId="45AAD120" w14:textId="77777777" w:rsidR="00513EBA" w:rsidRPr="00BB5E86" w:rsidRDefault="00513EBA" w:rsidP="005F4A70">
            <w:pPr>
              <w:spacing w:before="120" w:after="120"/>
            </w:pPr>
          </w:p>
        </w:tc>
        <w:tc>
          <w:tcPr>
            <w:tcW w:w="1489" w:type="dxa"/>
            <w:vAlign w:val="center"/>
          </w:tcPr>
          <w:p w14:paraId="452596CF" w14:textId="77777777" w:rsidR="00513EBA" w:rsidRPr="00BB5E86" w:rsidRDefault="00513EBA" w:rsidP="005F4A70">
            <w:pPr>
              <w:spacing w:before="120" w:after="120"/>
            </w:pPr>
            <w:r w:rsidRPr="00BB5E86">
              <w:rPr>
                <w:lang w:val="fr-FR"/>
              </w:rPr>
              <w:t>Zimbabwe</w:t>
            </w:r>
          </w:p>
        </w:tc>
        <w:tc>
          <w:tcPr>
            <w:tcW w:w="1042" w:type="dxa"/>
            <w:vAlign w:val="center"/>
          </w:tcPr>
          <w:p w14:paraId="4E176967" w14:textId="77777777" w:rsidR="00513EBA" w:rsidRPr="00BB5E86" w:rsidRDefault="00513EBA" w:rsidP="005F4A70">
            <w:pPr>
              <w:spacing w:before="120" w:after="120"/>
              <w:rPr>
                <w:rFonts w:eastAsia="Verdana" w:cs="Verdana"/>
                <w:color w:val="000000" w:themeColor="text1"/>
              </w:rPr>
            </w:pPr>
            <w:r w:rsidRPr="00BB5E86">
              <w:rPr>
                <w:lang w:val="fr-FR"/>
              </w:rPr>
              <w:t>2022-2025</w:t>
            </w:r>
          </w:p>
        </w:tc>
        <w:tc>
          <w:tcPr>
            <w:tcW w:w="4239" w:type="dxa"/>
            <w:vAlign w:val="center"/>
          </w:tcPr>
          <w:p w14:paraId="733364F7" w14:textId="77777777" w:rsidR="00513EBA" w:rsidRPr="00BB5E86" w:rsidRDefault="00513EBA" w:rsidP="005F4A70">
            <w:pPr>
              <w:spacing w:before="120" w:after="120"/>
              <w:jc w:val="left"/>
              <w:rPr>
                <w:lang w:val="fr-CH"/>
              </w:rPr>
            </w:pPr>
            <w:r w:rsidRPr="00BB5E86">
              <w:rPr>
                <w:lang w:val="fr-FR"/>
              </w:rPr>
              <w:t>Adaptation climatique pour les moyens de subsistance ruraux au Zimbabwe</w:t>
            </w:r>
          </w:p>
        </w:tc>
        <w:tc>
          <w:tcPr>
            <w:tcW w:w="1338" w:type="dxa"/>
            <w:vAlign w:val="center"/>
          </w:tcPr>
          <w:p w14:paraId="15B53BB0"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r w:rsidR="00513EBA" w:rsidRPr="00BB5E86" w14:paraId="4289DD2E" w14:textId="77777777" w:rsidTr="00661A59">
        <w:trPr>
          <w:trHeight w:val="840"/>
        </w:trPr>
        <w:tc>
          <w:tcPr>
            <w:tcW w:w="1521" w:type="dxa"/>
            <w:vMerge w:val="restart"/>
            <w:vAlign w:val="center"/>
          </w:tcPr>
          <w:p w14:paraId="23C6D97D" w14:textId="77777777" w:rsidR="00513EBA" w:rsidRPr="00BB5E86" w:rsidRDefault="00513EBA" w:rsidP="005F4A70">
            <w:pPr>
              <w:spacing w:before="120" w:after="120"/>
              <w:rPr>
                <w:rFonts w:eastAsia="Verdana" w:cs="Verdana"/>
              </w:rPr>
            </w:pPr>
            <w:r w:rsidRPr="00BB5E86">
              <w:rPr>
                <w:lang w:val="fr-FR"/>
              </w:rPr>
              <w:t>Royaume-Uni</w:t>
            </w:r>
          </w:p>
        </w:tc>
        <w:tc>
          <w:tcPr>
            <w:tcW w:w="1489" w:type="dxa"/>
            <w:vAlign w:val="center"/>
          </w:tcPr>
          <w:p w14:paraId="1E92629C" w14:textId="77777777" w:rsidR="00513EBA" w:rsidRPr="00BB5E86" w:rsidRDefault="00513EBA" w:rsidP="005F4A70">
            <w:pPr>
              <w:spacing w:before="120" w:after="120"/>
            </w:pPr>
            <w:r w:rsidRPr="00BB5E86">
              <w:rPr>
                <w:lang w:val="fr-FR"/>
              </w:rPr>
              <w:t>Seychelles</w:t>
            </w:r>
          </w:p>
        </w:tc>
        <w:tc>
          <w:tcPr>
            <w:tcW w:w="1042" w:type="dxa"/>
            <w:vAlign w:val="center"/>
          </w:tcPr>
          <w:p w14:paraId="70DDB81C" w14:textId="77777777" w:rsidR="00513EBA" w:rsidRPr="00BB5E86" w:rsidRDefault="00513EBA" w:rsidP="005F4A70">
            <w:pPr>
              <w:spacing w:before="120" w:after="120"/>
              <w:rPr>
                <w:rFonts w:eastAsia="Verdana" w:cs="Verdana"/>
                <w:color w:val="000000" w:themeColor="text1"/>
              </w:rPr>
            </w:pPr>
            <w:r w:rsidRPr="00BB5E86">
              <w:rPr>
                <w:lang w:val="fr-FR"/>
              </w:rPr>
              <w:t>2024</w:t>
            </w:r>
          </w:p>
        </w:tc>
        <w:tc>
          <w:tcPr>
            <w:tcW w:w="4239" w:type="dxa"/>
            <w:vAlign w:val="center"/>
          </w:tcPr>
          <w:p w14:paraId="04ED0848" w14:textId="77777777" w:rsidR="00513EBA" w:rsidRPr="00BB5E86" w:rsidRDefault="00513EBA" w:rsidP="005F4A70">
            <w:pPr>
              <w:spacing w:before="120" w:after="120"/>
              <w:jc w:val="left"/>
              <w:rPr>
                <w:lang w:val="fr-CH"/>
              </w:rPr>
            </w:pPr>
            <w:r w:rsidRPr="00BB5E86">
              <w:rPr>
                <w:lang w:val="fr-FR"/>
              </w:rPr>
              <w:t>Soutien à la station du réseau en altitude du SMOC (GUAN) aux Seychelles</w:t>
            </w:r>
          </w:p>
        </w:tc>
        <w:tc>
          <w:tcPr>
            <w:tcW w:w="1338" w:type="dxa"/>
            <w:vAlign w:val="center"/>
          </w:tcPr>
          <w:p w14:paraId="14635A3F"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r w:rsidR="00513EBA" w:rsidRPr="00BB5E86" w14:paraId="6425D575" w14:textId="77777777" w:rsidTr="00661A59">
        <w:trPr>
          <w:trHeight w:val="840"/>
        </w:trPr>
        <w:tc>
          <w:tcPr>
            <w:tcW w:w="1521" w:type="dxa"/>
            <w:vMerge/>
            <w:vAlign w:val="center"/>
          </w:tcPr>
          <w:p w14:paraId="3DF713B0" w14:textId="77777777" w:rsidR="00513EBA" w:rsidRPr="00BB5E86" w:rsidRDefault="00513EBA" w:rsidP="005F4A70">
            <w:pPr>
              <w:spacing w:before="120" w:after="120"/>
            </w:pPr>
          </w:p>
        </w:tc>
        <w:tc>
          <w:tcPr>
            <w:tcW w:w="1489" w:type="dxa"/>
            <w:vAlign w:val="center"/>
          </w:tcPr>
          <w:p w14:paraId="4ABB28F2" w14:textId="77777777" w:rsidR="00513EBA" w:rsidRPr="00BB5E86" w:rsidRDefault="00513EBA" w:rsidP="005F4A70">
            <w:pPr>
              <w:spacing w:before="120" w:after="120"/>
            </w:pPr>
            <w:r w:rsidRPr="00BB5E86">
              <w:rPr>
                <w:lang w:val="fr-FR"/>
              </w:rPr>
              <w:t>Dominique</w:t>
            </w:r>
          </w:p>
        </w:tc>
        <w:tc>
          <w:tcPr>
            <w:tcW w:w="1042" w:type="dxa"/>
            <w:vAlign w:val="center"/>
          </w:tcPr>
          <w:p w14:paraId="091E95DF" w14:textId="77777777" w:rsidR="00513EBA" w:rsidRPr="00BB5E86" w:rsidRDefault="00513EBA" w:rsidP="005F4A70">
            <w:pPr>
              <w:spacing w:before="120" w:after="120"/>
              <w:rPr>
                <w:rFonts w:eastAsia="Verdana" w:cs="Verdana"/>
                <w:color w:val="000000" w:themeColor="text1"/>
              </w:rPr>
            </w:pPr>
            <w:r w:rsidRPr="00BB5E86">
              <w:rPr>
                <w:lang w:val="fr-FR"/>
              </w:rPr>
              <w:t>2023</w:t>
            </w:r>
          </w:p>
        </w:tc>
        <w:tc>
          <w:tcPr>
            <w:tcW w:w="4239" w:type="dxa"/>
            <w:vAlign w:val="center"/>
          </w:tcPr>
          <w:p w14:paraId="75684A33" w14:textId="77777777" w:rsidR="00513EBA" w:rsidRPr="00BB5E86" w:rsidRDefault="00513EBA" w:rsidP="005F4A70">
            <w:pPr>
              <w:spacing w:before="120" w:after="120"/>
              <w:jc w:val="left"/>
            </w:pPr>
            <w:r w:rsidRPr="00BB5E86">
              <w:rPr>
                <w:lang w:val="fr-FR"/>
              </w:rPr>
              <w:t>Mise à jour de l'équipement du studio et formation au Met. Service en Dominique</w:t>
            </w:r>
          </w:p>
        </w:tc>
        <w:tc>
          <w:tcPr>
            <w:tcW w:w="1338" w:type="dxa"/>
            <w:vAlign w:val="center"/>
          </w:tcPr>
          <w:p w14:paraId="3CF37D97" w14:textId="77777777" w:rsidR="00513EBA" w:rsidRPr="00BB5E86" w:rsidRDefault="00513EBA" w:rsidP="005F4A70">
            <w:pPr>
              <w:spacing w:before="120" w:after="120"/>
              <w:rPr>
                <w:rFonts w:eastAsia="Verdana" w:cs="Verdana"/>
                <w:color w:val="000000" w:themeColor="text1"/>
              </w:rPr>
            </w:pPr>
            <w:r w:rsidRPr="00BB5E86">
              <w:rPr>
                <w:lang w:val="fr-FR"/>
              </w:rPr>
              <w:t>En cours</w:t>
            </w:r>
          </w:p>
        </w:tc>
      </w:tr>
    </w:tbl>
    <w:p w14:paraId="1A7ACDE9" w14:textId="77777777" w:rsidR="00513EBA" w:rsidRPr="00BB5E86" w:rsidRDefault="00513EBA" w:rsidP="003463EC">
      <w:pPr>
        <w:shd w:val="clear" w:color="auto" w:fill="FFFFFF" w:themeFill="background1"/>
        <w:spacing w:before="240" w:after="120" w:line="259" w:lineRule="auto"/>
        <w:jc w:val="center"/>
      </w:pPr>
      <w:r w:rsidRPr="00BB5E86">
        <w:rPr>
          <w:noProof/>
        </w:rPr>
        <w:lastRenderedPageBreak/>
        <w:drawing>
          <wp:inline distT="0" distB="0" distL="0" distR="0" wp14:anchorId="485AB32C" wp14:editId="5E229044">
            <wp:extent cx="5663162" cy="3437431"/>
            <wp:effectExtent l="0" t="0" r="0" b="0"/>
            <wp:docPr id="1332093546" name="Picture 1332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28A0092B-C50C-407E-A947-70E740481C1C}">
                          <a14:useLocalDpi xmlns:a14="http://schemas.microsoft.com/office/drawing/2010/main" val="0"/>
                        </a:ext>
                      </a:extLst>
                    </a:blip>
                    <a:srcRect t="20083"/>
                    <a:stretch/>
                  </pic:blipFill>
                  <pic:spPr bwMode="auto">
                    <a:xfrm>
                      <a:off x="0" y="0"/>
                      <a:ext cx="5675736" cy="3445063"/>
                    </a:xfrm>
                    <a:prstGeom prst="rect">
                      <a:avLst/>
                    </a:prstGeom>
                    <a:ln>
                      <a:noFill/>
                    </a:ln>
                    <a:extLst>
                      <a:ext uri="{53640926-AAD7-44D8-BBD7-CCE9431645EC}">
                        <a14:shadowObscured xmlns:a14="http://schemas.microsoft.com/office/drawing/2010/main"/>
                      </a:ext>
                    </a:extLst>
                  </pic:spPr>
                </pic:pic>
              </a:graphicData>
            </a:graphic>
          </wp:inline>
        </w:drawing>
      </w:r>
    </w:p>
    <w:p w14:paraId="743A2667" w14:textId="77777777" w:rsidR="00513EBA" w:rsidRPr="00BB5E86" w:rsidRDefault="00513EBA" w:rsidP="003463EC">
      <w:pPr>
        <w:spacing w:before="120" w:after="120"/>
        <w:jc w:val="center"/>
        <w:rPr>
          <w:b/>
          <w:bCs/>
          <w:color w:val="000000" w:themeColor="text1"/>
          <w:lang w:val="fr-CH"/>
        </w:rPr>
      </w:pPr>
      <w:r w:rsidRPr="00BB5E86">
        <w:rPr>
          <w:b/>
          <w:bCs/>
          <w:lang w:val="fr-FR"/>
        </w:rPr>
        <w:t>Figure 2.</w:t>
      </w:r>
      <w:r w:rsidRPr="00BB5E86">
        <w:rPr>
          <w:lang w:val="fr-FR"/>
        </w:rPr>
        <w:t xml:space="preserve"> </w:t>
      </w:r>
      <w:r w:rsidRPr="00BB5E86">
        <w:rPr>
          <w:b/>
          <w:bCs/>
          <w:lang w:val="fr-FR"/>
        </w:rPr>
        <w:t>Demandes de PCV (répartition géographique) 1980-2024</w:t>
      </w:r>
    </w:p>
    <w:p w14:paraId="75E0378C" w14:textId="77777777" w:rsidR="00513EBA" w:rsidRPr="00BB5E86" w:rsidRDefault="00513EBA" w:rsidP="003463EC">
      <w:pPr>
        <w:pStyle w:val="Heading3"/>
        <w:spacing w:before="480" w:after="240"/>
        <w:rPr>
          <w:lang w:val="fr-CH"/>
        </w:rPr>
      </w:pPr>
      <w:r w:rsidRPr="00BB5E86">
        <w:rPr>
          <w:lang w:val="fr-FR"/>
        </w:rPr>
        <w:t>Conclusion</w:t>
      </w:r>
    </w:p>
    <w:p w14:paraId="35BFF90F" w14:textId="77777777" w:rsidR="00513EBA" w:rsidRPr="00BB5E86" w:rsidRDefault="00513EBA" w:rsidP="00513EBA">
      <w:pPr>
        <w:shd w:val="clear" w:color="auto" w:fill="FFFFFF" w:themeFill="background1"/>
        <w:spacing w:before="240" w:after="120"/>
        <w:jc w:val="left"/>
        <w:rPr>
          <w:rFonts w:eastAsia="Verdana" w:cs="Verdana"/>
          <w:color w:val="0D0D0D" w:themeColor="text1" w:themeTint="F2"/>
          <w:lang w:val="fr-CH"/>
        </w:rPr>
      </w:pPr>
      <w:r w:rsidRPr="00BB5E86">
        <w:rPr>
          <w:lang w:val="fr-FR"/>
        </w:rPr>
        <w:t>En conclusion, la mobilisation des ressources joue un rôle essentiel dans le renforcement de la capacité des SMHN de la région VI à fournir des services essentiels. La participation de l'OMM à des projets financés par l'UE, tels que ceux qui soutiennent l'initiative EW4All, est essentielle pour garantir l'alignement sur des objectifs mondiaux plus larges, diffuser les connaissances et soutenir les pays moins développés dans le cadre de l'AR VI. Ces projets contribuent à renforcer la résilience et à améliorer les services climatologiques en Europe et au-delà, en parfaite adéquation avec les objectifs stratégiques de l'OMM.</w:t>
      </w:r>
    </w:p>
    <w:p w14:paraId="20C29063" w14:textId="77777777" w:rsidR="00513EBA" w:rsidRPr="00BB5E86" w:rsidRDefault="00513EBA" w:rsidP="00513EBA">
      <w:pPr>
        <w:shd w:val="clear" w:color="auto" w:fill="FFFFFF" w:themeFill="background1"/>
        <w:spacing w:before="240" w:after="120"/>
        <w:jc w:val="left"/>
        <w:rPr>
          <w:rFonts w:eastAsia="Verdana" w:cs="Verdana"/>
          <w:color w:val="0D0D0D" w:themeColor="text1" w:themeTint="F2"/>
          <w:lang w:val="fr-CH"/>
        </w:rPr>
      </w:pPr>
      <w:r w:rsidRPr="00BB5E86">
        <w:rPr>
          <w:lang w:val="fr-FR"/>
        </w:rPr>
        <w:t>Des évaluations récentes révèlent que 11 SMHN de la région VI (RA VI) présentent des lacunes importantes, et que nombre d'entre eux ne disposent pas de SMHE. Cela souligne la nécessité pour les membres de l'AR VI de se concentrer non seulement sur le soutien et la mobilisation des ressources pour les PMA, mais aussi sur la réponse aux besoins critiques des PRI et des pays de l'AR VI qui nécessitent une assistance.</w:t>
      </w:r>
    </w:p>
    <w:p w14:paraId="6329FAEF" w14:textId="77777777" w:rsidR="00513EBA" w:rsidRPr="00BB5E86" w:rsidRDefault="00513EBA" w:rsidP="00513EBA">
      <w:pPr>
        <w:shd w:val="clear" w:color="auto" w:fill="FFFFFF" w:themeFill="background1"/>
        <w:spacing w:before="240" w:after="120"/>
        <w:jc w:val="left"/>
        <w:rPr>
          <w:rFonts w:eastAsia="Verdana" w:cs="Verdana"/>
          <w:color w:val="0D0D0D" w:themeColor="text1" w:themeTint="F2"/>
          <w:lang w:val="fr-CH"/>
        </w:rPr>
      </w:pPr>
      <w:r w:rsidRPr="00BB5E86">
        <w:rPr>
          <w:lang w:val="fr-FR"/>
        </w:rPr>
        <w:t>Il est également essentiel de reconnaître que l'AR VI ne bénéficie pas seulement des projets de l'OMM et du PCV, mais qu'elle joue également un rôle clé dans la mobilisation des ressources pour les régions en développement grâce à des partenariats avec l'UE, d'autres organismes régionaux, des banques de développement multilatérales, le CREWS, le SOFF et les agences nationales responsables de l'APD. Ces collaborations permettent à l'OMM d'apporter son soutien et son expertise technique aux pays du Sud, notamment dans le cadre de l'initiative EW4All. L'OMM encourage les Membres de l'AR VI à poursuivre leur engagement en faveur du développement de services et d'infrastructures hydrométéorologiques dans les régions les moins développées, afin d'assurer la pérennité des services et produits mondiaux et régionaux pour l'ensemble de la communauté de l'OMM.</w:t>
      </w:r>
    </w:p>
    <w:p w14:paraId="5C8C7BEA" w14:textId="77777777" w:rsidR="00513EBA" w:rsidRPr="00BB5E86" w:rsidRDefault="00513EBA" w:rsidP="003463EC">
      <w:pPr>
        <w:pStyle w:val="Heading3"/>
        <w:spacing w:before="480" w:after="240"/>
        <w:rPr>
          <w:lang w:val="fr-CH"/>
        </w:rPr>
      </w:pPr>
      <w:r w:rsidRPr="00BB5E86">
        <w:rPr>
          <w:lang w:val="fr-FR"/>
        </w:rPr>
        <w:t>Ressources</w:t>
      </w:r>
    </w:p>
    <w:p w14:paraId="147A98BA" w14:textId="77777777" w:rsidR="005A28F8" w:rsidRPr="00BB5E86" w:rsidRDefault="00513EBA" w:rsidP="00513EBA">
      <w:pPr>
        <w:pStyle w:val="WMOBodyText"/>
        <w:spacing w:after="120"/>
        <w:rPr>
          <w:lang w:val="fr-CH"/>
        </w:rPr>
      </w:pPr>
      <w:r w:rsidRPr="00BB5E86">
        <w:rPr>
          <w:lang w:val="fr-FR"/>
        </w:rPr>
        <w:t>Stratégie de l’OMM en matière de mobilisation des ressources 2024–2027.</w:t>
      </w:r>
      <w:bookmarkEnd w:id="0"/>
    </w:p>
    <w:p w14:paraId="5C88221E" w14:textId="708E5A21" w:rsidR="00661A59" w:rsidRPr="00BB5E86" w:rsidRDefault="00661A59" w:rsidP="003463EC">
      <w:pPr>
        <w:pStyle w:val="WMOBodyText"/>
        <w:spacing w:before="360" w:after="120"/>
        <w:jc w:val="center"/>
      </w:pPr>
      <w:r w:rsidRPr="00BB5E86">
        <w:rPr>
          <w:lang w:val="fr-FR"/>
        </w:rPr>
        <w:t>_________________</w:t>
      </w:r>
    </w:p>
    <w:sectPr w:rsidR="00661A59" w:rsidRPr="00BB5E86" w:rsidSect="0024064B">
      <w:headerReference w:type="even" r:id="rId14"/>
      <w:headerReference w:type="default" r:id="rId15"/>
      <w:headerReference w:type="first" r:id="rId16"/>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23104" w14:textId="77777777" w:rsidR="00753F70" w:rsidRDefault="00753F70">
      <w:r>
        <w:separator/>
      </w:r>
    </w:p>
    <w:p w14:paraId="4D3F3FD8" w14:textId="77777777" w:rsidR="00753F70" w:rsidRDefault="00753F70"/>
    <w:p w14:paraId="0E810FB2" w14:textId="77777777" w:rsidR="00753F70" w:rsidRDefault="00753F70"/>
  </w:endnote>
  <w:endnote w:type="continuationSeparator" w:id="0">
    <w:p w14:paraId="30AB33DA" w14:textId="77777777" w:rsidR="00753F70" w:rsidRDefault="00753F70">
      <w:r>
        <w:continuationSeparator/>
      </w:r>
    </w:p>
    <w:p w14:paraId="32F0ECB7" w14:textId="77777777" w:rsidR="00753F70" w:rsidRDefault="00753F70"/>
    <w:p w14:paraId="5FB5FCFF" w14:textId="77777777" w:rsidR="00753F70" w:rsidRDefault="00753F70"/>
  </w:endnote>
  <w:endnote w:type="continuationNotice" w:id="1">
    <w:p w14:paraId="1B198B06" w14:textId="77777777" w:rsidR="00753F70" w:rsidRDefault="00753F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C12F" w14:textId="77777777" w:rsidR="00753F70" w:rsidRDefault="00753F70">
      <w:r>
        <w:separator/>
      </w:r>
    </w:p>
  </w:footnote>
  <w:footnote w:type="continuationSeparator" w:id="0">
    <w:p w14:paraId="5CC905AF" w14:textId="77777777" w:rsidR="00753F70" w:rsidRDefault="00753F70">
      <w:r>
        <w:continuationSeparator/>
      </w:r>
    </w:p>
    <w:p w14:paraId="26EBF3A0" w14:textId="77777777" w:rsidR="00753F70" w:rsidRDefault="00753F70"/>
    <w:p w14:paraId="44EE0DED" w14:textId="77777777" w:rsidR="00753F70" w:rsidRDefault="00753F70"/>
  </w:footnote>
  <w:footnote w:type="continuationNotice" w:id="1">
    <w:p w14:paraId="3C1D1AD5" w14:textId="77777777" w:rsidR="00753F70" w:rsidRDefault="00753F70"/>
  </w:footnote>
  <w:footnote w:id="2">
    <w:p w14:paraId="0AA27B2F" w14:textId="77777777" w:rsidR="00513EBA" w:rsidRPr="00BB5E86" w:rsidRDefault="00513EBA" w:rsidP="00513EBA">
      <w:pPr>
        <w:pStyle w:val="FootnoteText"/>
        <w:spacing w:before="0"/>
        <w:ind w:left="0" w:firstLine="0"/>
        <w:rPr>
          <w:rFonts w:eastAsia="Verdana" w:cs="Verdana"/>
          <w:lang w:val="fr-CH"/>
        </w:rPr>
      </w:pPr>
      <w:r>
        <w:rPr>
          <w:lang w:val="fr-FR"/>
        </w:rPr>
        <w:t>[1] Voir la résolution 74 (Cg-18) - Combler le fossé des capacités : renforcer les partenariats efficaces pour les investissements dans des infrastructures et des prestations de services durables et rentables; et la décision 11 (CE 72) - Renforcer les partenariats efficaces et la portée, l'ampleur et l'état d'avancement des projets de développement de l'OMM.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A045" w14:textId="77777777" w:rsidR="00D64474" w:rsidRDefault="003463EC">
    <w:pPr>
      <w:pStyle w:val="Header"/>
    </w:pPr>
    <w:r>
      <w:rPr>
        <w:noProof/>
      </w:rPr>
      <w:pict w14:anchorId="4D0EFF71">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6A6FC9">
        <v:shape id="_x0000_s1025" type="#_x0000_m1042"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4E57399A" w14:textId="77777777" w:rsidR="00CC4ADD" w:rsidRDefault="00CC4ADD"/>
  <w:p w14:paraId="0349AE2D" w14:textId="77777777" w:rsidR="00D64474" w:rsidRDefault="003463EC">
    <w:pPr>
      <w:pStyle w:val="Header"/>
    </w:pPr>
    <w:r>
      <w:rPr>
        <w:noProof/>
      </w:rPr>
      <w:pict w14:anchorId="354F54C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41934">
        <v:shape id="_x0000_s1027" type="#_x0000_m1041" style="position:absolute;left:0;text-align:left;margin-left:0;margin-top:0;width:595.3pt;height:550pt;z-index:-25165516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CABB709" w14:textId="77777777" w:rsidR="00CC4ADD" w:rsidRDefault="00CC4ADD"/>
  <w:p w14:paraId="2299A113" w14:textId="77777777" w:rsidR="00D64474" w:rsidRDefault="003463EC">
    <w:pPr>
      <w:pStyle w:val="Header"/>
    </w:pPr>
    <w:r>
      <w:rPr>
        <w:noProof/>
      </w:rPr>
      <w:pict w14:anchorId="63F7C19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CADF07">
        <v:shape id="_x0000_s1029" type="#_x0000_m1040" style="position:absolute;left:0;text-align:left;margin-left:0;margin-top:0;width:595.3pt;height:550pt;z-index:-25165619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C2D" w14:textId="02D8F28E" w:rsidR="00A432CD" w:rsidRPr="003463EC" w:rsidRDefault="005A28F8" w:rsidP="00B72444">
    <w:pPr>
      <w:pStyle w:val="Header"/>
      <w:rPr>
        <w:sz w:val="18"/>
        <w:szCs w:val="18"/>
      </w:rPr>
    </w:pPr>
    <w:r w:rsidRPr="003463EC">
      <w:rPr>
        <w:sz w:val="18"/>
        <w:szCs w:val="18"/>
      </w:rPr>
      <w:t>RA VI-19(I)/INF. 3.4(2)</w:t>
    </w:r>
    <w:r w:rsidR="00A432CD" w:rsidRPr="003463EC">
      <w:rPr>
        <w:sz w:val="18"/>
        <w:szCs w:val="18"/>
      </w:rPr>
      <w:t xml:space="preserve">, p. </w:t>
    </w:r>
    <w:r w:rsidR="00A432CD" w:rsidRPr="003463EC">
      <w:rPr>
        <w:rStyle w:val="PageNumber"/>
        <w:sz w:val="18"/>
        <w:szCs w:val="18"/>
      </w:rPr>
      <w:fldChar w:fldCharType="begin"/>
    </w:r>
    <w:r w:rsidR="00A432CD" w:rsidRPr="003463EC">
      <w:rPr>
        <w:rStyle w:val="PageNumber"/>
        <w:sz w:val="18"/>
        <w:szCs w:val="18"/>
      </w:rPr>
      <w:instrText xml:space="preserve"> PAGE </w:instrText>
    </w:r>
    <w:r w:rsidR="00A432CD" w:rsidRPr="003463EC">
      <w:rPr>
        <w:rStyle w:val="PageNumber"/>
        <w:sz w:val="18"/>
        <w:szCs w:val="18"/>
      </w:rPr>
      <w:fldChar w:fldCharType="separate"/>
    </w:r>
    <w:r w:rsidR="00A432CD" w:rsidRPr="003463EC">
      <w:rPr>
        <w:rStyle w:val="PageNumber"/>
        <w:noProof/>
        <w:sz w:val="18"/>
        <w:szCs w:val="18"/>
      </w:rPr>
      <w:t>6</w:t>
    </w:r>
    <w:r w:rsidR="00A432CD" w:rsidRPr="003463EC">
      <w:rPr>
        <w:rStyle w:val="PageNumber"/>
        <w:sz w:val="18"/>
        <w:szCs w:val="18"/>
      </w:rPr>
      <w:fldChar w:fldCharType="end"/>
    </w:r>
    <w:r w:rsidR="003463EC" w:rsidRPr="003463EC">
      <w:rPr>
        <w:sz w:val="18"/>
        <w:szCs w:val="18"/>
      </w:rPr>
      <w:pict w14:anchorId="2BDA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8240;visibility:hidden;mso-position-horizontal-relative:text;mso-position-vertical-relative:text">
          <v:path gradientshapeok="f"/>
          <o:lock v:ext="edit" selection="t"/>
        </v:shape>
      </w:pict>
    </w:r>
    <w:r w:rsidR="003463EC" w:rsidRPr="003463EC">
      <w:rPr>
        <w:sz w:val="18"/>
        <w:szCs w:val="18"/>
      </w:rPr>
      <w:pict w14:anchorId="3E25831C">
        <v:shape id="_x0000_s1036" type="#_x0000_t75" style="position:absolute;left:0;text-align:left;margin-left:0;margin-top:0;width:50pt;height:50pt;z-index:2516592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36C" w14:textId="3B79416E" w:rsidR="00D64474" w:rsidRPr="00CE7D44" w:rsidRDefault="003463EC" w:rsidP="00CE7D44">
    <w:pPr>
      <w:pStyle w:val="Header"/>
      <w:spacing w:after="0"/>
      <w:rPr>
        <w:sz w:val="2"/>
        <w:szCs w:val="2"/>
      </w:rPr>
    </w:pPr>
    <w:r w:rsidRPr="00CE7D44">
      <w:rPr>
        <w:sz w:val="2"/>
        <w:szCs w:val="2"/>
      </w:rPr>
      <w:pict w14:anchorId="3395E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6192;visibility:hidden">
          <v:path gradientshapeok="f"/>
          <o:lock v:ext="edit" selection="t"/>
        </v:shape>
      </w:pict>
    </w:r>
    <w:r w:rsidRPr="00CE7D44">
      <w:rPr>
        <w:sz w:val="2"/>
        <w:szCs w:val="2"/>
      </w:rPr>
      <w:pict w14:anchorId="06A99BCE">
        <v:shape id="_x0000_s1038"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307"/>
    <w:multiLevelType w:val="hybridMultilevel"/>
    <w:tmpl w:val="4B2C5262"/>
    <w:lvl w:ilvl="0" w:tplc="04090011">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 w15:restartNumberingAfterBreak="0">
    <w:nsid w:val="36368349"/>
    <w:multiLevelType w:val="hybridMultilevel"/>
    <w:tmpl w:val="BF0A5826"/>
    <w:lvl w:ilvl="0" w:tplc="69A8D48C">
      <w:start w:val="1"/>
      <w:numFmt w:val="decimal"/>
      <w:lvlText w:val="(%1)"/>
      <w:lvlJc w:val="left"/>
      <w:pPr>
        <w:ind w:left="720" w:hanging="360"/>
      </w:pPr>
      <w:rPr>
        <w:rFonts w:hint="default"/>
      </w:rPr>
    </w:lvl>
    <w:lvl w:ilvl="1" w:tplc="59BC128C">
      <w:start w:val="1"/>
      <w:numFmt w:val="bullet"/>
      <w:lvlText w:val="o"/>
      <w:lvlJc w:val="left"/>
      <w:pPr>
        <w:ind w:left="1440" w:hanging="360"/>
      </w:pPr>
      <w:rPr>
        <w:rFonts w:ascii="Courier New" w:hAnsi="Courier New" w:hint="default"/>
      </w:rPr>
    </w:lvl>
    <w:lvl w:ilvl="2" w:tplc="000052AC">
      <w:start w:val="1"/>
      <w:numFmt w:val="bullet"/>
      <w:lvlText w:val=""/>
      <w:lvlJc w:val="left"/>
      <w:pPr>
        <w:ind w:left="2160" w:hanging="360"/>
      </w:pPr>
      <w:rPr>
        <w:rFonts w:ascii="Wingdings" w:hAnsi="Wingdings" w:hint="default"/>
      </w:rPr>
    </w:lvl>
    <w:lvl w:ilvl="3" w:tplc="EAFC4E6E">
      <w:start w:val="1"/>
      <w:numFmt w:val="bullet"/>
      <w:lvlText w:val=""/>
      <w:lvlJc w:val="left"/>
      <w:pPr>
        <w:ind w:left="2880" w:hanging="360"/>
      </w:pPr>
      <w:rPr>
        <w:rFonts w:ascii="Symbol" w:hAnsi="Symbol" w:hint="default"/>
      </w:rPr>
    </w:lvl>
    <w:lvl w:ilvl="4" w:tplc="69486114">
      <w:start w:val="1"/>
      <w:numFmt w:val="bullet"/>
      <w:lvlText w:val="o"/>
      <w:lvlJc w:val="left"/>
      <w:pPr>
        <w:ind w:left="3600" w:hanging="360"/>
      </w:pPr>
      <w:rPr>
        <w:rFonts w:ascii="Courier New" w:hAnsi="Courier New" w:hint="default"/>
      </w:rPr>
    </w:lvl>
    <w:lvl w:ilvl="5" w:tplc="974CBE6C">
      <w:start w:val="1"/>
      <w:numFmt w:val="bullet"/>
      <w:lvlText w:val=""/>
      <w:lvlJc w:val="left"/>
      <w:pPr>
        <w:ind w:left="4320" w:hanging="360"/>
      </w:pPr>
      <w:rPr>
        <w:rFonts w:ascii="Wingdings" w:hAnsi="Wingdings" w:hint="default"/>
      </w:rPr>
    </w:lvl>
    <w:lvl w:ilvl="6" w:tplc="D8A255DE">
      <w:start w:val="1"/>
      <w:numFmt w:val="bullet"/>
      <w:lvlText w:val=""/>
      <w:lvlJc w:val="left"/>
      <w:pPr>
        <w:ind w:left="5040" w:hanging="360"/>
      </w:pPr>
      <w:rPr>
        <w:rFonts w:ascii="Symbol" w:hAnsi="Symbol" w:hint="default"/>
      </w:rPr>
    </w:lvl>
    <w:lvl w:ilvl="7" w:tplc="95EAB19A">
      <w:start w:val="1"/>
      <w:numFmt w:val="bullet"/>
      <w:lvlText w:val="o"/>
      <w:lvlJc w:val="left"/>
      <w:pPr>
        <w:ind w:left="5760" w:hanging="360"/>
      </w:pPr>
      <w:rPr>
        <w:rFonts w:ascii="Courier New" w:hAnsi="Courier New" w:hint="default"/>
      </w:rPr>
    </w:lvl>
    <w:lvl w:ilvl="8" w:tplc="04523476">
      <w:start w:val="1"/>
      <w:numFmt w:val="bullet"/>
      <w:lvlText w:val=""/>
      <w:lvlJc w:val="left"/>
      <w:pPr>
        <w:ind w:left="6480" w:hanging="360"/>
      </w:pPr>
      <w:rPr>
        <w:rFonts w:ascii="Wingdings" w:hAnsi="Wingdings" w:hint="default"/>
      </w:rPr>
    </w:lvl>
  </w:abstractNum>
  <w:abstractNum w:abstractNumId="2" w15:restartNumberingAfterBreak="0">
    <w:nsid w:val="428452A7"/>
    <w:multiLevelType w:val="hybridMultilevel"/>
    <w:tmpl w:val="57A48ABC"/>
    <w:lvl w:ilvl="0" w:tplc="04090011">
      <w:start w:val="1"/>
      <w:numFmt w:val="decimal"/>
      <w:lvlText w:val="%1)"/>
      <w:lvlJc w:val="left"/>
      <w:pPr>
        <w:ind w:left="720" w:hanging="360"/>
      </w:pPr>
      <w:rPr>
        <w:rFonts w:hint="default"/>
      </w:rPr>
    </w:lvl>
    <w:lvl w:ilvl="1" w:tplc="3F40D712">
      <w:start w:val="1"/>
      <w:numFmt w:val="bullet"/>
      <w:lvlText w:val="o"/>
      <w:lvlJc w:val="left"/>
      <w:pPr>
        <w:ind w:left="1440" w:hanging="360"/>
      </w:pPr>
      <w:rPr>
        <w:rFonts w:ascii="Courier New" w:hAnsi="Courier New" w:hint="default"/>
      </w:rPr>
    </w:lvl>
    <w:lvl w:ilvl="2" w:tplc="7A42BB9A">
      <w:start w:val="1"/>
      <w:numFmt w:val="bullet"/>
      <w:lvlText w:val=""/>
      <w:lvlJc w:val="left"/>
      <w:pPr>
        <w:ind w:left="2160" w:hanging="360"/>
      </w:pPr>
      <w:rPr>
        <w:rFonts w:ascii="Wingdings" w:hAnsi="Wingdings" w:hint="default"/>
      </w:rPr>
    </w:lvl>
    <w:lvl w:ilvl="3" w:tplc="9BCC75F4">
      <w:start w:val="1"/>
      <w:numFmt w:val="bullet"/>
      <w:lvlText w:val=""/>
      <w:lvlJc w:val="left"/>
      <w:pPr>
        <w:ind w:left="2880" w:hanging="360"/>
      </w:pPr>
      <w:rPr>
        <w:rFonts w:ascii="Symbol" w:hAnsi="Symbol" w:hint="default"/>
      </w:rPr>
    </w:lvl>
    <w:lvl w:ilvl="4" w:tplc="A99C368A">
      <w:start w:val="1"/>
      <w:numFmt w:val="bullet"/>
      <w:lvlText w:val="o"/>
      <w:lvlJc w:val="left"/>
      <w:pPr>
        <w:ind w:left="3600" w:hanging="360"/>
      </w:pPr>
      <w:rPr>
        <w:rFonts w:ascii="Courier New" w:hAnsi="Courier New" w:hint="default"/>
      </w:rPr>
    </w:lvl>
    <w:lvl w:ilvl="5" w:tplc="C52A7F52">
      <w:start w:val="1"/>
      <w:numFmt w:val="bullet"/>
      <w:lvlText w:val=""/>
      <w:lvlJc w:val="left"/>
      <w:pPr>
        <w:ind w:left="4320" w:hanging="360"/>
      </w:pPr>
      <w:rPr>
        <w:rFonts w:ascii="Wingdings" w:hAnsi="Wingdings" w:hint="default"/>
      </w:rPr>
    </w:lvl>
    <w:lvl w:ilvl="6" w:tplc="10F617A4">
      <w:start w:val="1"/>
      <w:numFmt w:val="bullet"/>
      <w:lvlText w:val=""/>
      <w:lvlJc w:val="left"/>
      <w:pPr>
        <w:ind w:left="5040" w:hanging="360"/>
      </w:pPr>
      <w:rPr>
        <w:rFonts w:ascii="Symbol" w:hAnsi="Symbol" w:hint="default"/>
      </w:rPr>
    </w:lvl>
    <w:lvl w:ilvl="7" w:tplc="4C46B15E">
      <w:start w:val="1"/>
      <w:numFmt w:val="bullet"/>
      <w:lvlText w:val="o"/>
      <w:lvlJc w:val="left"/>
      <w:pPr>
        <w:ind w:left="5760" w:hanging="360"/>
      </w:pPr>
      <w:rPr>
        <w:rFonts w:ascii="Courier New" w:hAnsi="Courier New" w:hint="default"/>
      </w:rPr>
    </w:lvl>
    <w:lvl w:ilvl="8" w:tplc="07EC6A50">
      <w:start w:val="1"/>
      <w:numFmt w:val="bullet"/>
      <w:lvlText w:val=""/>
      <w:lvlJc w:val="left"/>
      <w:pPr>
        <w:ind w:left="6480" w:hanging="360"/>
      </w:pPr>
      <w:rPr>
        <w:rFonts w:ascii="Wingdings" w:hAnsi="Wingdings" w:hint="default"/>
      </w:rPr>
    </w:lvl>
  </w:abstractNum>
  <w:abstractNum w:abstractNumId="3" w15:restartNumberingAfterBreak="0">
    <w:nsid w:val="4613009D"/>
    <w:multiLevelType w:val="hybridMultilevel"/>
    <w:tmpl w:val="D15EA018"/>
    <w:lvl w:ilvl="0" w:tplc="69A8D48C">
      <w:start w:val="1"/>
      <w:numFmt w:val="decimal"/>
      <w:lvlText w:val="(%1)"/>
      <w:lvlJc w:val="left"/>
      <w:pPr>
        <w:ind w:left="789" w:hanging="72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 w15:restartNumberingAfterBreak="0">
    <w:nsid w:val="5A972955"/>
    <w:multiLevelType w:val="hybridMultilevel"/>
    <w:tmpl w:val="47D2D29E"/>
    <w:lvl w:ilvl="0" w:tplc="04090011">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5563768"/>
    <w:multiLevelType w:val="hybridMultilevel"/>
    <w:tmpl w:val="683C35E0"/>
    <w:lvl w:ilvl="0" w:tplc="04090011">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38791933">
    <w:abstractNumId w:val="1"/>
  </w:num>
  <w:num w:numId="2" w16cid:durableId="1526555541">
    <w:abstractNumId w:val="2"/>
  </w:num>
  <w:num w:numId="3" w16cid:durableId="1178155579">
    <w:abstractNumId w:val="5"/>
  </w:num>
  <w:num w:numId="4" w16cid:durableId="1495949310">
    <w:abstractNumId w:val="4"/>
  </w:num>
  <w:num w:numId="5" w16cid:durableId="1659966952">
    <w:abstractNumId w:val="0"/>
  </w:num>
  <w:num w:numId="6" w16cid:durableId="9895596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F8"/>
    <w:rsid w:val="00005301"/>
    <w:rsid w:val="000133EE"/>
    <w:rsid w:val="00017F7F"/>
    <w:rsid w:val="000206A8"/>
    <w:rsid w:val="00027205"/>
    <w:rsid w:val="0003137A"/>
    <w:rsid w:val="00041171"/>
    <w:rsid w:val="00041727"/>
    <w:rsid w:val="0004226F"/>
    <w:rsid w:val="00050F8E"/>
    <w:rsid w:val="000518BB"/>
    <w:rsid w:val="00054C8F"/>
    <w:rsid w:val="000564F0"/>
    <w:rsid w:val="00056FD4"/>
    <w:rsid w:val="000573AD"/>
    <w:rsid w:val="0006123B"/>
    <w:rsid w:val="00064F6B"/>
    <w:rsid w:val="00072F17"/>
    <w:rsid w:val="000731AA"/>
    <w:rsid w:val="000806D8"/>
    <w:rsid w:val="00082C80"/>
    <w:rsid w:val="00083847"/>
    <w:rsid w:val="00083930"/>
    <w:rsid w:val="00083C36"/>
    <w:rsid w:val="00084D58"/>
    <w:rsid w:val="00092CAE"/>
    <w:rsid w:val="00095E48"/>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B7FA9"/>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064B"/>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463EC"/>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05AB"/>
    <w:rsid w:val="003E381F"/>
    <w:rsid w:val="003E4046"/>
    <w:rsid w:val="003F003A"/>
    <w:rsid w:val="003F125B"/>
    <w:rsid w:val="003F7B3F"/>
    <w:rsid w:val="004058AD"/>
    <w:rsid w:val="0041078D"/>
    <w:rsid w:val="0041464A"/>
    <w:rsid w:val="00416F97"/>
    <w:rsid w:val="00425173"/>
    <w:rsid w:val="0043039B"/>
    <w:rsid w:val="00432ED0"/>
    <w:rsid w:val="00436197"/>
    <w:rsid w:val="00440BF6"/>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EBA"/>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421F"/>
    <w:rsid w:val="005A136D"/>
    <w:rsid w:val="005A28F8"/>
    <w:rsid w:val="005B0AE2"/>
    <w:rsid w:val="005B1F2C"/>
    <w:rsid w:val="005B5F3C"/>
    <w:rsid w:val="005C41F2"/>
    <w:rsid w:val="005D03D9"/>
    <w:rsid w:val="005D1EE8"/>
    <w:rsid w:val="005D2E74"/>
    <w:rsid w:val="005D4451"/>
    <w:rsid w:val="005D56AE"/>
    <w:rsid w:val="005D666D"/>
    <w:rsid w:val="005E3A59"/>
    <w:rsid w:val="005F4A70"/>
    <w:rsid w:val="00604802"/>
    <w:rsid w:val="00615AB0"/>
    <w:rsid w:val="00616247"/>
    <w:rsid w:val="0061778C"/>
    <w:rsid w:val="00623918"/>
    <w:rsid w:val="0063469C"/>
    <w:rsid w:val="00636B90"/>
    <w:rsid w:val="0064738B"/>
    <w:rsid w:val="00647EB2"/>
    <w:rsid w:val="006508EA"/>
    <w:rsid w:val="006525E0"/>
    <w:rsid w:val="00661A59"/>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3F70"/>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1DDC"/>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845D7"/>
    <w:rsid w:val="00893376"/>
    <w:rsid w:val="0089601F"/>
    <w:rsid w:val="008970B8"/>
    <w:rsid w:val="008A5623"/>
    <w:rsid w:val="008A7313"/>
    <w:rsid w:val="008A7D91"/>
    <w:rsid w:val="008B7FC7"/>
    <w:rsid w:val="008C4337"/>
    <w:rsid w:val="008C4F06"/>
    <w:rsid w:val="008C6D8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29D4"/>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B5E86"/>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372B5"/>
    <w:rsid w:val="00C42C95"/>
    <w:rsid w:val="00C4470F"/>
    <w:rsid w:val="00C455B6"/>
    <w:rsid w:val="00C50727"/>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4ADD"/>
    <w:rsid w:val="00CD0549"/>
    <w:rsid w:val="00CE6B3C"/>
    <w:rsid w:val="00CE6B78"/>
    <w:rsid w:val="00CE7D44"/>
    <w:rsid w:val="00CF68C8"/>
    <w:rsid w:val="00D05E6F"/>
    <w:rsid w:val="00D14E0C"/>
    <w:rsid w:val="00D16766"/>
    <w:rsid w:val="00D20296"/>
    <w:rsid w:val="00D2231A"/>
    <w:rsid w:val="00D276BD"/>
    <w:rsid w:val="00D27929"/>
    <w:rsid w:val="00D33442"/>
    <w:rsid w:val="00D419C6"/>
    <w:rsid w:val="00D44BAD"/>
    <w:rsid w:val="00D45B55"/>
    <w:rsid w:val="00D4785A"/>
    <w:rsid w:val="00D52E43"/>
    <w:rsid w:val="00D64474"/>
    <w:rsid w:val="00D664D7"/>
    <w:rsid w:val="00D67E1E"/>
    <w:rsid w:val="00D7097B"/>
    <w:rsid w:val="00D7197D"/>
    <w:rsid w:val="00D72BC4"/>
    <w:rsid w:val="00D815FC"/>
    <w:rsid w:val="00D84885"/>
    <w:rsid w:val="00D8517B"/>
    <w:rsid w:val="00D91DFA"/>
    <w:rsid w:val="00DA0E5A"/>
    <w:rsid w:val="00DA159A"/>
    <w:rsid w:val="00DB0F9B"/>
    <w:rsid w:val="00DB1AB2"/>
    <w:rsid w:val="00DC17C2"/>
    <w:rsid w:val="00DC2E94"/>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B79CE"/>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23BE"/>
    <w:rsid w:val="00F6686B"/>
    <w:rsid w:val="00F67F74"/>
    <w:rsid w:val="00F712B3"/>
    <w:rsid w:val="00F71E9F"/>
    <w:rsid w:val="00F73DE3"/>
    <w:rsid w:val="00F744BF"/>
    <w:rsid w:val="00F7632C"/>
    <w:rsid w:val="00F77219"/>
    <w:rsid w:val="00F82743"/>
    <w:rsid w:val="00F84DD2"/>
    <w:rsid w:val="00F93301"/>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9203E"/>
  <w15:docId w15:val="{EBFD13D1-F739-4AB1-B8B2-6316DB6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ft,single space,footnote text,FOOTNOTES,fn,Footnote Text Char Char,ft1,(NECG) Footnote Text,Footnote Text Char Char Char Char Char,Footnote Text Char Char Char Char Char Char,(NECG) Footnote Text Char Char Char Char Char,ft2,Fußnote"/>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ft Char,single space Char,footnote text Char,FOOTNOTES Char,fn Char,Footnote Text Char Char Char,ft1 Char,(NECG) Footnote Text Char,Footnote Text Char Char Char Char Char Char1,Footnote Text Char Char Char Char Char Char Char,ft2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13EBA"/>
  </w:style>
  <w:style w:type="paragraph" w:styleId="ListParagraph">
    <w:name w:val="List Paragraph"/>
    <w:basedOn w:val="Normal"/>
    <w:uiPriority w:val="34"/>
    <w:qFormat/>
    <w:rsid w:val="00513EBA"/>
    <w:pPr>
      <w:ind w:left="720"/>
      <w:contextualSpacing/>
    </w:pPr>
  </w:style>
  <w:style w:type="character" w:customStyle="1" w:styleId="eop">
    <w:name w:val="eop"/>
    <w:basedOn w:val="DefaultParagraphFont"/>
    <w:rsid w:val="00513EBA"/>
  </w:style>
  <w:style w:type="paragraph" w:customStyle="1" w:styleId="paragraph">
    <w:name w:val="paragraph"/>
    <w:basedOn w:val="Normal"/>
    <w:rsid w:val="00513EBA"/>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wmoomm.sharepoint.com/sites/GS/Shared%20Documents/Linguistic%20Resources/WMORibbon/Templates/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4.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96C0644E-6146-4C3F-A84A-F4938FF5B7E5}"/>
</file>

<file path=customXml/itemProps3.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WMO-Session-Template_en</Template>
  <TotalTime>8</TotalTime>
  <Pages>11</Pages>
  <Words>5258</Words>
  <Characters>29972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35160</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Frédérique Julliard</cp:lastModifiedBy>
  <cp:revision>9</cp:revision>
  <cp:lastPrinted>2013-03-12T09:27:00Z</cp:lastPrinted>
  <dcterms:created xsi:type="dcterms:W3CDTF">2024-09-09T13:07:00Z</dcterms:created>
  <dcterms:modified xsi:type="dcterms:W3CDTF">2024-09-12T14:29:00Z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jullien.aurelie</vt:lpwstr>
  </property>
  <property fmtid="{D5CDD505-2E9C-101B-9397-08002B2CF9AE}" pid="6" name="GeneratedDate">
    <vt:lpwstr>09/12/2024 14:01:35</vt:lpwstr>
  </property>
  <property fmtid="{D5CDD505-2E9C-101B-9397-08002B2CF9AE}" pid="7" name="OriginalDocID">
    <vt:lpwstr>559d0624-2837-444f-9f3a-9045162fe855</vt:lpwstr>
  </property>
</Properties>
</file>