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A29BD" w14:paraId="1875CD02" w14:textId="77777777" w:rsidTr="00826D53">
        <w:trPr>
          <w:trHeight w:val="282"/>
        </w:trPr>
        <w:tc>
          <w:tcPr>
            <w:tcW w:w="500" w:type="dxa"/>
            <w:vMerge w:val="restart"/>
            <w:tcBorders>
              <w:bottom w:val="nil"/>
            </w:tcBorders>
            <w:textDirection w:val="btLr"/>
          </w:tcPr>
          <w:p w14:paraId="22B03DF0" w14:textId="77777777" w:rsidR="00A80767" w:rsidRPr="002A29BD" w:rsidRDefault="00F075C1" w:rsidP="00826D53">
            <w:pPr>
              <w:tabs>
                <w:tab w:val="clear" w:pos="1134"/>
                <w:tab w:val="left" w:pos="6946"/>
              </w:tabs>
              <w:suppressAutoHyphens/>
              <w:spacing w:after="120" w:line="252" w:lineRule="auto"/>
              <w:ind w:left="175" w:right="113"/>
              <w:jc w:val="right"/>
              <w:rPr>
                <w:color w:val="365F91" w:themeColor="accent1" w:themeShade="BF"/>
                <w:sz w:val="12"/>
                <w:szCs w:val="12"/>
                <w:lang w:val="es-419" w:eastAsia="zh-CN"/>
              </w:rPr>
            </w:pPr>
            <w:r w:rsidRPr="002A29BD">
              <w:rPr>
                <w:color w:val="365F91" w:themeColor="accent1" w:themeShade="BF"/>
                <w:sz w:val="10"/>
                <w:szCs w:val="10"/>
                <w:lang w:val="es-419" w:eastAsia="zh-CN"/>
              </w:rPr>
              <w:t>T</w:t>
            </w:r>
            <w:r w:rsidR="002A29BD">
              <w:rPr>
                <w:color w:val="365F91" w:themeColor="accent1" w:themeShade="BF"/>
                <w:sz w:val="10"/>
                <w:szCs w:val="10"/>
                <w:lang w:val="es-419" w:eastAsia="zh-CN"/>
              </w:rPr>
              <w:t>I</w:t>
            </w:r>
            <w:r w:rsidRPr="002A29BD">
              <w:rPr>
                <w:color w:val="365F91" w:themeColor="accent1" w:themeShade="BF"/>
                <w:sz w:val="10"/>
                <w:szCs w:val="10"/>
                <w:lang w:val="es-419" w:eastAsia="zh-CN"/>
              </w:rPr>
              <w:t>EMP</w:t>
            </w:r>
            <w:r w:rsidR="00472D8C" w:rsidRPr="002A29BD">
              <w:rPr>
                <w:color w:val="365F91" w:themeColor="accent1" w:themeShade="BF"/>
                <w:sz w:val="10"/>
                <w:szCs w:val="10"/>
                <w:lang w:val="es-419" w:eastAsia="zh-CN"/>
              </w:rPr>
              <w:t>O</w:t>
            </w:r>
            <w:r w:rsidRPr="002A29BD">
              <w:rPr>
                <w:color w:val="365F91" w:themeColor="accent1" w:themeShade="BF"/>
                <w:sz w:val="10"/>
                <w:szCs w:val="10"/>
                <w:lang w:val="es-419" w:eastAsia="zh-CN"/>
              </w:rPr>
              <w:t xml:space="preserve"> CLIMA </w:t>
            </w:r>
            <w:r w:rsidR="00472D8C" w:rsidRPr="002A29BD">
              <w:rPr>
                <w:color w:val="365F91" w:themeColor="accent1" w:themeShade="BF"/>
                <w:sz w:val="10"/>
                <w:szCs w:val="10"/>
                <w:lang w:val="es-419" w:eastAsia="zh-CN"/>
              </w:rPr>
              <w:t>AGUA</w:t>
            </w:r>
          </w:p>
        </w:tc>
        <w:tc>
          <w:tcPr>
            <w:tcW w:w="6852" w:type="dxa"/>
            <w:vMerge w:val="restart"/>
          </w:tcPr>
          <w:p w14:paraId="5E44EDF6" w14:textId="77777777" w:rsidR="00A80767" w:rsidRPr="002A29BD" w:rsidRDefault="005E6AA1" w:rsidP="00826D53">
            <w:pPr>
              <w:tabs>
                <w:tab w:val="left" w:pos="6946"/>
              </w:tabs>
              <w:suppressAutoHyphens/>
              <w:spacing w:after="120" w:line="252" w:lineRule="auto"/>
              <w:ind w:left="1134"/>
              <w:jc w:val="left"/>
              <w:rPr>
                <w:rFonts w:cs="Tahoma"/>
                <w:b/>
                <w:bCs/>
                <w:color w:val="365F91" w:themeColor="accent1" w:themeShade="BF"/>
                <w:szCs w:val="22"/>
                <w:lang w:val="es-419"/>
              </w:rPr>
            </w:pPr>
            <w:r w:rsidRPr="002A29BD">
              <w:rPr>
                <w:rFonts w:cs="Tahoma"/>
                <w:b/>
                <w:bCs/>
                <w:color w:val="365F91" w:themeColor="accent1" w:themeShade="BF"/>
                <w:szCs w:val="22"/>
                <w:lang w:val="es-419"/>
              </w:rPr>
              <w:t>Organi</w:t>
            </w:r>
            <w:r w:rsidR="003D423B" w:rsidRPr="002A29BD">
              <w:rPr>
                <w:rFonts w:cs="Tahoma"/>
                <w:b/>
                <w:bCs/>
                <w:color w:val="365F91" w:themeColor="accent1" w:themeShade="BF"/>
                <w:szCs w:val="22"/>
                <w:lang w:val="es-419"/>
              </w:rPr>
              <w:t>zación</w:t>
            </w:r>
            <w:r w:rsidRPr="002A29BD">
              <w:rPr>
                <w:rFonts w:cs="Tahoma"/>
                <w:b/>
                <w:bCs/>
                <w:color w:val="365F91" w:themeColor="accent1" w:themeShade="BF"/>
                <w:szCs w:val="22"/>
                <w:lang w:val="es-419"/>
              </w:rPr>
              <w:t xml:space="preserve"> </w:t>
            </w:r>
            <w:r w:rsidR="00472D8C" w:rsidRPr="002A29BD">
              <w:rPr>
                <w:rFonts w:cs="Tahoma"/>
                <w:b/>
                <w:bCs/>
                <w:color w:val="365F91" w:themeColor="accent1" w:themeShade="BF"/>
                <w:szCs w:val="22"/>
                <w:lang w:val="es-419"/>
              </w:rPr>
              <w:t>M</w:t>
            </w:r>
            <w:r w:rsidR="003D423B" w:rsidRPr="002A29BD">
              <w:rPr>
                <w:rFonts w:cs="Tahoma"/>
                <w:b/>
                <w:bCs/>
                <w:color w:val="365F91" w:themeColor="accent1" w:themeShade="BF"/>
                <w:szCs w:val="22"/>
                <w:lang w:val="es-419"/>
              </w:rPr>
              <w:t xml:space="preserve">eteorológica </w:t>
            </w:r>
            <w:r w:rsidR="00472D8C" w:rsidRPr="002A29BD">
              <w:rPr>
                <w:rFonts w:cs="Tahoma"/>
                <w:b/>
                <w:bCs/>
                <w:color w:val="365F91" w:themeColor="accent1" w:themeShade="BF"/>
                <w:szCs w:val="22"/>
                <w:lang w:val="es-419"/>
              </w:rPr>
              <w:t>M</w:t>
            </w:r>
            <w:r w:rsidR="003D423B" w:rsidRPr="002A29BD">
              <w:rPr>
                <w:rFonts w:cs="Tahoma"/>
                <w:b/>
                <w:bCs/>
                <w:color w:val="365F91" w:themeColor="accent1" w:themeShade="BF"/>
                <w:szCs w:val="22"/>
                <w:lang w:val="es-419"/>
              </w:rPr>
              <w:t>undial</w:t>
            </w:r>
            <w:r w:rsidR="00A80767" w:rsidRPr="002A29BD">
              <w:rPr>
                <w:noProof/>
                <w:color w:val="365F91" w:themeColor="accent1" w:themeShade="BF"/>
                <w:szCs w:val="22"/>
                <w:lang w:val="es-419" w:eastAsia="zh-CN"/>
              </w:rPr>
              <w:drawing>
                <wp:anchor distT="0" distB="0" distL="114300" distR="114300" simplePos="0" relativeHeight="251659264" behindDoc="1" locked="1" layoutInCell="1" allowOverlap="1" wp14:anchorId="745E2111" wp14:editId="5A278BC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9E50A" w14:textId="77777777" w:rsidR="00A80767" w:rsidRPr="002A29BD" w:rsidRDefault="008C11BE" w:rsidP="00826D53">
            <w:pPr>
              <w:tabs>
                <w:tab w:val="left" w:pos="6946"/>
              </w:tabs>
              <w:suppressAutoHyphens/>
              <w:spacing w:after="120" w:line="252" w:lineRule="auto"/>
              <w:ind w:left="1134"/>
              <w:jc w:val="left"/>
              <w:rPr>
                <w:rFonts w:cs="Tahoma"/>
                <w:b/>
                <w:color w:val="365F91" w:themeColor="accent1" w:themeShade="BF"/>
                <w:spacing w:val="-2"/>
                <w:szCs w:val="22"/>
                <w:lang w:val="es-419"/>
              </w:rPr>
            </w:pPr>
            <w:r w:rsidRPr="002A29BD">
              <w:rPr>
                <w:rFonts w:cs="Tahoma"/>
                <w:b/>
                <w:color w:val="365F91" w:themeColor="accent1" w:themeShade="BF"/>
                <w:spacing w:val="-2"/>
                <w:szCs w:val="22"/>
                <w:lang w:val="es-419"/>
              </w:rPr>
              <w:t>ASOCIACIÓN REGIONAL</w:t>
            </w:r>
            <w:r w:rsidR="00BF2233" w:rsidRPr="002A29BD">
              <w:rPr>
                <w:rFonts w:cs="Tahoma"/>
                <w:b/>
                <w:color w:val="365F91" w:themeColor="accent1" w:themeShade="BF"/>
                <w:spacing w:val="-2"/>
                <w:szCs w:val="22"/>
                <w:lang w:val="es-419"/>
              </w:rPr>
              <w:t xml:space="preserve"> </w:t>
            </w:r>
            <w:r w:rsidR="00B24C31" w:rsidRPr="002A29BD">
              <w:rPr>
                <w:rFonts w:cs="Tahoma"/>
                <w:b/>
                <w:color w:val="365F91" w:themeColor="accent1" w:themeShade="BF"/>
                <w:spacing w:val="-2"/>
                <w:szCs w:val="22"/>
                <w:lang w:val="es-419"/>
              </w:rPr>
              <w:t>V</w:t>
            </w:r>
            <w:r w:rsidR="00FD0351" w:rsidRPr="002A29BD">
              <w:rPr>
                <w:rFonts w:cs="Tahoma"/>
                <w:b/>
                <w:color w:val="365F91" w:themeColor="accent1" w:themeShade="BF"/>
                <w:spacing w:val="-2"/>
                <w:szCs w:val="22"/>
                <w:lang w:val="es-419"/>
              </w:rPr>
              <w:t>I (</w:t>
            </w:r>
            <w:r w:rsidR="00B24C31" w:rsidRPr="002A29BD">
              <w:rPr>
                <w:rFonts w:cs="Tahoma"/>
                <w:b/>
                <w:color w:val="365F91" w:themeColor="accent1" w:themeShade="BF"/>
                <w:spacing w:val="-2"/>
                <w:szCs w:val="22"/>
                <w:lang w:val="es-419"/>
              </w:rPr>
              <w:t>EUROPA</w:t>
            </w:r>
            <w:r w:rsidR="00FD0351" w:rsidRPr="002A29BD">
              <w:rPr>
                <w:rFonts w:cs="Tahoma"/>
                <w:b/>
                <w:color w:val="365F91" w:themeColor="accent1" w:themeShade="BF"/>
                <w:spacing w:val="-2"/>
                <w:szCs w:val="22"/>
                <w:lang w:val="es-419"/>
              </w:rPr>
              <w:t>)</w:t>
            </w:r>
          </w:p>
          <w:p w14:paraId="1A846EFA" w14:textId="77777777" w:rsidR="00A80767" w:rsidRPr="002A29BD" w:rsidRDefault="00751667" w:rsidP="00826D53">
            <w:pPr>
              <w:tabs>
                <w:tab w:val="left" w:pos="6946"/>
              </w:tabs>
              <w:suppressAutoHyphens/>
              <w:spacing w:after="120" w:line="252" w:lineRule="auto"/>
              <w:ind w:left="1134"/>
              <w:jc w:val="left"/>
              <w:rPr>
                <w:rFonts w:cs="Tahoma"/>
                <w:b/>
                <w:bCs/>
                <w:color w:val="365F91" w:themeColor="accent1" w:themeShade="BF"/>
                <w:szCs w:val="22"/>
                <w:lang w:val="es-419"/>
              </w:rPr>
            </w:pPr>
            <w:r w:rsidRPr="002A29BD">
              <w:rPr>
                <w:rFonts w:cstheme="minorBidi"/>
                <w:b/>
                <w:snapToGrid w:val="0"/>
                <w:color w:val="365F91" w:themeColor="accent1" w:themeShade="BF"/>
                <w:szCs w:val="22"/>
                <w:lang w:val="es-419"/>
              </w:rPr>
              <w:t>D</w:t>
            </w:r>
            <w:r w:rsidR="00BF2233" w:rsidRPr="002A29BD">
              <w:rPr>
                <w:rFonts w:cstheme="minorBidi"/>
                <w:b/>
                <w:snapToGrid w:val="0"/>
                <w:color w:val="365F91" w:themeColor="accent1" w:themeShade="BF"/>
                <w:szCs w:val="22"/>
                <w:lang w:val="es-419"/>
              </w:rPr>
              <w:t>ecimonovena reunión</w:t>
            </w:r>
            <w:r w:rsidR="00EA6A2D" w:rsidRPr="002A29BD">
              <w:rPr>
                <w:rFonts w:cstheme="minorBidi"/>
                <w:b/>
                <w:snapToGrid w:val="0"/>
                <w:color w:val="365F91" w:themeColor="accent1" w:themeShade="BF"/>
                <w:szCs w:val="22"/>
                <w:lang w:val="es-419"/>
              </w:rPr>
              <w:t xml:space="preserve"> (</w:t>
            </w:r>
            <w:r w:rsidR="008C11BE" w:rsidRPr="002A29BD">
              <w:rPr>
                <w:rFonts w:cstheme="minorBidi"/>
                <w:b/>
                <w:snapToGrid w:val="0"/>
                <w:color w:val="365F91" w:themeColor="accent1" w:themeShade="BF"/>
                <w:szCs w:val="22"/>
                <w:lang w:val="es-419"/>
              </w:rPr>
              <w:t xml:space="preserve">primera </w:t>
            </w:r>
            <w:r w:rsidR="00BF2233" w:rsidRPr="002A29BD">
              <w:rPr>
                <w:rFonts w:cstheme="minorBidi"/>
                <w:b/>
                <w:snapToGrid w:val="0"/>
                <w:color w:val="365F91" w:themeColor="accent1" w:themeShade="BF"/>
                <w:szCs w:val="22"/>
                <w:lang w:val="es-419"/>
              </w:rPr>
              <w:t>fa</w:t>
            </w:r>
            <w:r w:rsidR="00EA6A2D" w:rsidRPr="002A29BD">
              <w:rPr>
                <w:rFonts w:cstheme="minorBidi"/>
                <w:b/>
                <w:snapToGrid w:val="0"/>
                <w:color w:val="365F91" w:themeColor="accent1" w:themeShade="BF"/>
                <w:szCs w:val="22"/>
                <w:lang w:val="es-419"/>
              </w:rPr>
              <w:t>se)</w:t>
            </w:r>
            <w:r w:rsidR="00A80767" w:rsidRPr="002A29BD">
              <w:rPr>
                <w:rFonts w:cstheme="minorBidi"/>
                <w:b/>
                <w:snapToGrid w:val="0"/>
                <w:color w:val="365F91" w:themeColor="accent1" w:themeShade="BF"/>
                <w:szCs w:val="22"/>
                <w:lang w:val="es-419"/>
              </w:rPr>
              <w:br/>
            </w:r>
            <w:r w:rsidR="008C11BE" w:rsidRPr="002A29BD">
              <w:rPr>
                <w:snapToGrid w:val="0"/>
                <w:color w:val="365F91" w:themeColor="accent1" w:themeShade="BF"/>
                <w:szCs w:val="22"/>
                <w:lang w:val="es-419"/>
              </w:rPr>
              <w:t xml:space="preserve">Reunión virtual, </w:t>
            </w:r>
            <w:r w:rsidR="00FC2996" w:rsidRPr="002A29BD">
              <w:rPr>
                <w:snapToGrid w:val="0"/>
                <w:color w:val="365F91" w:themeColor="accent1" w:themeShade="BF"/>
                <w:szCs w:val="22"/>
                <w:lang w:val="es-419"/>
              </w:rPr>
              <w:t>1</w:t>
            </w:r>
            <w:r w:rsidR="00B24C31" w:rsidRPr="002A29BD">
              <w:rPr>
                <w:snapToGrid w:val="0"/>
                <w:color w:val="365F91" w:themeColor="accent1" w:themeShade="BF"/>
                <w:szCs w:val="22"/>
                <w:lang w:val="es-419"/>
              </w:rPr>
              <w:t>5</w:t>
            </w:r>
            <w:r w:rsidR="00BF2233" w:rsidRPr="002A29BD">
              <w:rPr>
                <w:snapToGrid w:val="0"/>
                <w:color w:val="365F91" w:themeColor="accent1" w:themeShade="BF"/>
                <w:szCs w:val="22"/>
                <w:lang w:val="es-419"/>
              </w:rPr>
              <w:t xml:space="preserve"> </w:t>
            </w:r>
            <w:r w:rsidR="00B24C31" w:rsidRPr="002A29BD">
              <w:rPr>
                <w:snapToGrid w:val="0"/>
                <w:color w:val="365F91" w:themeColor="accent1" w:themeShade="BF"/>
                <w:szCs w:val="22"/>
                <w:lang w:val="es-419"/>
              </w:rPr>
              <w:t>y</w:t>
            </w:r>
            <w:r w:rsidR="00BF2233" w:rsidRPr="002A29BD">
              <w:rPr>
                <w:snapToGrid w:val="0"/>
                <w:color w:val="365F91" w:themeColor="accent1" w:themeShade="BF"/>
                <w:szCs w:val="22"/>
                <w:lang w:val="es-419"/>
              </w:rPr>
              <w:t xml:space="preserve"> </w:t>
            </w:r>
            <w:r w:rsidR="00FC2996" w:rsidRPr="002A29BD">
              <w:rPr>
                <w:snapToGrid w:val="0"/>
                <w:color w:val="365F91" w:themeColor="accent1" w:themeShade="BF"/>
                <w:szCs w:val="22"/>
                <w:lang w:val="es-419"/>
              </w:rPr>
              <w:t>1</w:t>
            </w:r>
            <w:r w:rsidR="00B24C31" w:rsidRPr="002A29BD">
              <w:rPr>
                <w:snapToGrid w:val="0"/>
                <w:color w:val="365F91" w:themeColor="accent1" w:themeShade="BF"/>
                <w:szCs w:val="22"/>
                <w:lang w:val="es-419"/>
              </w:rPr>
              <w:t>6</w:t>
            </w:r>
            <w:r w:rsidR="00FC2996" w:rsidRPr="002A29BD">
              <w:rPr>
                <w:snapToGrid w:val="0"/>
                <w:color w:val="365F91" w:themeColor="accent1" w:themeShade="BF"/>
                <w:szCs w:val="22"/>
                <w:lang w:val="es-419"/>
              </w:rPr>
              <w:t xml:space="preserve"> </w:t>
            </w:r>
            <w:r w:rsidR="00BF2233" w:rsidRPr="002A29BD">
              <w:rPr>
                <w:snapToGrid w:val="0"/>
                <w:color w:val="365F91" w:themeColor="accent1" w:themeShade="BF"/>
                <w:szCs w:val="22"/>
                <w:lang w:val="es-419"/>
              </w:rPr>
              <w:t xml:space="preserve">de </w:t>
            </w:r>
            <w:r w:rsidR="00B24C31" w:rsidRPr="002A29BD">
              <w:rPr>
                <w:snapToGrid w:val="0"/>
                <w:color w:val="365F91" w:themeColor="accent1" w:themeShade="BF"/>
                <w:szCs w:val="22"/>
                <w:lang w:val="es-419"/>
              </w:rPr>
              <w:t xml:space="preserve">octubre de </w:t>
            </w:r>
            <w:r w:rsidR="00EA6A2D" w:rsidRPr="002A29BD">
              <w:rPr>
                <w:snapToGrid w:val="0"/>
                <w:color w:val="365F91" w:themeColor="accent1" w:themeShade="BF"/>
                <w:szCs w:val="22"/>
                <w:lang w:val="es-419"/>
              </w:rPr>
              <w:t>2024</w:t>
            </w:r>
          </w:p>
        </w:tc>
        <w:tc>
          <w:tcPr>
            <w:tcW w:w="2962" w:type="dxa"/>
          </w:tcPr>
          <w:p w14:paraId="65A22517" w14:textId="2C3392DC" w:rsidR="00A80767" w:rsidRPr="00886A6C" w:rsidRDefault="0069167A" w:rsidP="00826D53">
            <w:pPr>
              <w:tabs>
                <w:tab w:val="clear" w:pos="1134"/>
              </w:tabs>
              <w:spacing w:after="60"/>
              <w:ind w:right="-108"/>
              <w:jc w:val="right"/>
              <w:rPr>
                <w:rFonts w:cs="Tahoma"/>
                <w:b/>
                <w:bCs/>
                <w:color w:val="365F91" w:themeColor="accent1" w:themeShade="BF"/>
                <w:szCs w:val="22"/>
                <w:lang w:val="en-US"/>
              </w:rPr>
            </w:pPr>
            <w:r w:rsidRPr="00886A6C">
              <w:rPr>
                <w:rFonts w:cs="Tahoma"/>
                <w:b/>
                <w:bCs/>
                <w:color w:val="365F91" w:themeColor="accent1" w:themeShade="BF"/>
                <w:szCs w:val="22"/>
                <w:lang w:val="en-US"/>
              </w:rPr>
              <w:t>AR</w:t>
            </w:r>
            <w:r w:rsidR="00FC2996" w:rsidRPr="00886A6C">
              <w:rPr>
                <w:rFonts w:cs="Tahoma"/>
                <w:b/>
                <w:bCs/>
                <w:color w:val="365F91" w:themeColor="accent1" w:themeShade="BF"/>
                <w:szCs w:val="22"/>
                <w:lang w:val="en-US"/>
              </w:rPr>
              <w:t xml:space="preserve"> </w:t>
            </w:r>
            <w:r w:rsidR="00B24C31" w:rsidRPr="00886A6C">
              <w:rPr>
                <w:rFonts w:cs="Tahoma"/>
                <w:b/>
                <w:bCs/>
                <w:color w:val="365F91" w:themeColor="accent1" w:themeShade="BF"/>
                <w:szCs w:val="22"/>
                <w:lang w:val="en-US"/>
              </w:rPr>
              <w:t>V</w:t>
            </w:r>
            <w:r w:rsidR="00FC2996" w:rsidRPr="00886A6C">
              <w:rPr>
                <w:rFonts w:cs="Tahoma"/>
                <w:b/>
                <w:bCs/>
                <w:color w:val="365F91" w:themeColor="accent1" w:themeShade="BF"/>
                <w:szCs w:val="22"/>
                <w:lang w:val="en-US"/>
              </w:rPr>
              <w:t>I</w:t>
            </w:r>
            <w:r w:rsidR="002A29BD" w:rsidRPr="00886A6C">
              <w:rPr>
                <w:rFonts w:cs="Tahoma"/>
                <w:b/>
                <w:bCs/>
                <w:color w:val="365F91" w:themeColor="accent1" w:themeShade="BF"/>
                <w:szCs w:val="22"/>
                <w:lang w:val="en-US"/>
              </w:rPr>
              <w:t>-</w:t>
            </w:r>
            <w:r w:rsidR="00FC2996" w:rsidRPr="00886A6C">
              <w:rPr>
                <w:rFonts w:cs="Tahoma"/>
                <w:b/>
                <w:bCs/>
                <w:color w:val="365F91" w:themeColor="accent1" w:themeShade="BF"/>
                <w:szCs w:val="22"/>
                <w:lang w:val="en-US"/>
              </w:rPr>
              <w:t>1</w:t>
            </w:r>
            <w:r w:rsidR="00EA6A2D" w:rsidRPr="00886A6C">
              <w:rPr>
                <w:rFonts w:cs="Tahoma"/>
                <w:b/>
                <w:bCs/>
                <w:color w:val="365F91" w:themeColor="accent1" w:themeShade="BF"/>
                <w:szCs w:val="22"/>
                <w:lang w:val="en-US"/>
              </w:rPr>
              <w:t>9(I)</w:t>
            </w:r>
            <w:r w:rsidR="00FC2996" w:rsidRPr="00886A6C">
              <w:rPr>
                <w:rFonts w:cs="Tahoma"/>
                <w:b/>
                <w:bCs/>
                <w:color w:val="365F91" w:themeColor="accent1" w:themeShade="BF"/>
                <w:szCs w:val="22"/>
                <w:lang w:val="en-US"/>
              </w:rPr>
              <w:t>/</w:t>
            </w:r>
            <w:r w:rsidR="00886A6C">
              <w:rPr>
                <w:rFonts w:cs="Tahoma"/>
                <w:b/>
                <w:bCs/>
                <w:color w:val="365F91" w:themeColor="accent1" w:themeShade="BF"/>
                <w:szCs w:val="22"/>
                <w:lang w:val="en-US"/>
              </w:rPr>
              <w:t>INF. 3.4(2)</w:t>
            </w:r>
          </w:p>
        </w:tc>
      </w:tr>
      <w:tr w:rsidR="00A80767" w:rsidRPr="00886A6C" w14:paraId="3C65EC9C" w14:textId="77777777" w:rsidTr="00826D53">
        <w:trPr>
          <w:trHeight w:val="730"/>
        </w:trPr>
        <w:tc>
          <w:tcPr>
            <w:tcW w:w="500" w:type="dxa"/>
            <w:vMerge/>
            <w:tcBorders>
              <w:bottom w:val="nil"/>
            </w:tcBorders>
          </w:tcPr>
          <w:p w14:paraId="7A467D8B" w14:textId="77777777" w:rsidR="00A80767" w:rsidRPr="00886A6C" w:rsidRDefault="00A80767" w:rsidP="00826D53">
            <w:pPr>
              <w:tabs>
                <w:tab w:val="left" w:pos="6946"/>
              </w:tabs>
              <w:suppressAutoHyphens/>
              <w:spacing w:after="120" w:line="252" w:lineRule="auto"/>
              <w:ind w:left="1134"/>
              <w:jc w:val="left"/>
              <w:rPr>
                <w:color w:val="365F91" w:themeColor="accent1" w:themeShade="BF"/>
                <w:szCs w:val="22"/>
                <w:lang w:val="en-US" w:eastAsia="zh-CN"/>
              </w:rPr>
            </w:pPr>
          </w:p>
        </w:tc>
        <w:tc>
          <w:tcPr>
            <w:tcW w:w="6852" w:type="dxa"/>
            <w:vMerge/>
          </w:tcPr>
          <w:p w14:paraId="7D4B4A0F" w14:textId="77777777" w:rsidR="00A80767" w:rsidRPr="00886A6C" w:rsidRDefault="00A80767" w:rsidP="00826D53">
            <w:pPr>
              <w:tabs>
                <w:tab w:val="left" w:pos="6946"/>
              </w:tabs>
              <w:suppressAutoHyphens/>
              <w:spacing w:after="120" w:line="252" w:lineRule="auto"/>
              <w:ind w:left="1134"/>
              <w:jc w:val="left"/>
              <w:rPr>
                <w:color w:val="365F91" w:themeColor="accent1" w:themeShade="BF"/>
                <w:szCs w:val="22"/>
                <w:lang w:val="en-US" w:eastAsia="zh-CN"/>
              </w:rPr>
            </w:pPr>
          </w:p>
        </w:tc>
        <w:tc>
          <w:tcPr>
            <w:tcW w:w="2962" w:type="dxa"/>
          </w:tcPr>
          <w:p w14:paraId="4C65185C" w14:textId="4DF29B44" w:rsidR="00A80767" w:rsidRPr="00886A6C" w:rsidRDefault="00347201" w:rsidP="00826D53">
            <w:pPr>
              <w:tabs>
                <w:tab w:val="clear" w:pos="1134"/>
              </w:tabs>
              <w:spacing w:before="120" w:after="60"/>
              <w:ind w:right="-108"/>
              <w:jc w:val="right"/>
              <w:rPr>
                <w:rFonts w:cs="Tahoma"/>
                <w:color w:val="365F91" w:themeColor="accent1" w:themeShade="BF"/>
                <w:szCs w:val="22"/>
                <w:lang w:val="es-419"/>
              </w:rPr>
            </w:pPr>
            <w:r w:rsidRPr="00886A6C">
              <w:rPr>
                <w:rFonts w:cs="Tahoma"/>
                <w:color w:val="365F91" w:themeColor="accent1" w:themeShade="BF"/>
                <w:szCs w:val="22"/>
                <w:lang w:val="es-419"/>
              </w:rPr>
              <w:t>Pr</w:t>
            </w:r>
            <w:r w:rsidR="00BF2233" w:rsidRPr="00886A6C">
              <w:rPr>
                <w:rFonts w:cs="Tahoma"/>
                <w:color w:val="365F91" w:themeColor="accent1" w:themeShade="BF"/>
                <w:szCs w:val="22"/>
                <w:lang w:val="es-419"/>
              </w:rPr>
              <w:t>esentado por</w:t>
            </w:r>
            <w:r w:rsidRPr="00886A6C">
              <w:rPr>
                <w:rFonts w:cs="Tahoma"/>
                <w:color w:val="365F91" w:themeColor="accent1" w:themeShade="BF"/>
                <w:szCs w:val="22"/>
                <w:lang w:val="es-419"/>
              </w:rPr>
              <w:t>:</w:t>
            </w:r>
            <w:r w:rsidR="00A80767" w:rsidRPr="00886A6C">
              <w:rPr>
                <w:rFonts w:cs="Tahoma"/>
                <w:color w:val="365F91" w:themeColor="accent1" w:themeShade="BF"/>
                <w:szCs w:val="22"/>
                <w:lang w:val="es-419"/>
              </w:rPr>
              <w:br/>
            </w:r>
            <w:proofErr w:type="gramStart"/>
            <w:r w:rsidR="00886A6C" w:rsidRPr="00886A6C">
              <w:rPr>
                <w:rFonts w:cs="Tahoma"/>
                <w:color w:val="365F91" w:themeColor="accent1" w:themeShade="BF"/>
                <w:szCs w:val="22"/>
                <w:lang w:val="es-419"/>
              </w:rPr>
              <w:t>Secretaria General</w:t>
            </w:r>
            <w:proofErr w:type="gramEnd"/>
          </w:p>
          <w:p w14:paraId="5D646573" w14:textId="6F34526F" w:rsidR="00A80767" w:rsidRPr="00886A6C" w:rsidRDefault="00886A6C" w:rsidP="00826D53">
            <w:pPr>
              <w:tabs>
                <w:tab w:val="clear" w:pos="1134"/>
              </w:tabs>
              <w:spacing w:before="120" w:after="60"/>
              <w:ind w:right="-108"/>
              <w:jc w:val="right"/>
              <w:rPr>
                <w:rFonts w:cs="Tahoma"/>
                <w:color w:val="365F91" w:themeColor="accent1" w:themeShade="BF"/>
                <w:szCs w:val="22"/>
                <w:lang w:val="es-419"/>
              </w:rPr>
            </w:pPr>
            <w:r w:rsidRPr="00886A6C">
              <w:rPr>
                <w:rFonts w:cs="Tahoma"/>
                <w:color w:val="365F91" w:themeColor="accent1" w:themeShade="BF"/>
                <w:szCs w:val="22"/>
                <w:lang w:val="es-419"/>
              </w:rPr>
              <w:t>9</w:t>
            </w:r>
            <w:r w:rsidR="00FC2996" w:rsidRPr="00886A6C">
              <w:rPr>
                <w:rFonts w:cs="Tahoma"/>
                <w:color w:val="365F91" w:themeColor="accent1" w:themeShade="BF"/>
                <w:szCs w:val="22"/>
                <w:lang w:val="es-419"/>
              </w:rPr>
              <w:t>.</w:t>
            </w:r>
            <w:r w:rsidRPr="00886A6C">
              <w:rPr>
                <w:rFonts w:cs="Tahoma"/>
                <w:color w:val="365F91" w:themeColor="accent1" w:themeShade="BF"/>
                <w:szCs w:val="22"/>
                <w:lang w:val="es-419"/>
              </w:rPr>
              <w:t>I</w:t>
            </w:r>
            <w:r w:rsidR="00740EE4" w:rsidRPr="00886A6C">
              <w:rPr>
                <w:rFonts w:cs="Tahoma"/>
                <w:color w:val="365F91" w:themeColor="accent1" w:themeShade="BF"/>
                <w:szCs w:val="22"/>
                <w:lang w:val="es-419"/>
              </w:rPr>
              <w:t>X</w:t>
            </w:r>
            <w:r w:rsidR="00FC2996" w:rsidRPr="00886A6C">
              <w:rPr>
                <w:rFonts w:cs="Tahoma"/>
                <w:color w:val="365F91" w:themeColor="accent1" w:themeShade="BF"/>
                <w:szCs w:val="22"/>
                <w:lang w:val="es-419"/>
              </w:rPr>
              <w:t>.202</w:t>
            </w:r>
            <w:r w:rsidR="00EA6A2D" w:rsidRPr="00886A6C">
              <w:rPr>
                <w:rFonts w:cs="Tahoma"/>
                <w:color w:val="365F91" w:themeColor="accent1" w:themeShade="BF"/>
                <w:szCs w:val="22"/>
                <w:lang w:val="es-419"/>
              </w:rPr>
              <w:t>4</w:t>
            </w:r>
          </w:p>
          <w:p w14:paraId="6F94D96C" w14:textId="77777777" w:rsidR="00A80767" w:rsidRPr="00886A6C" w:rsidRDefault="00740EE4" w:rsidP="00826D53">
            <w:pPr>
              <w:tabs>
                <w:tab w:val="clear" w:pos="1134"/>
              </w:tabs>
              <w:spacing w:before="120" w:after="60"/>
              <w:ind w:right="-108"/>
              <w:jc w:val="right"/>
              <w:rPr>
                <w:rFonts w:cs="Tahoma"/>
                <w:b/>
                <w:bCs/>
                <w:color w:val="365F91" w:themeColor="accent1" w:themeShade="BF"/>
                <w:szCs w:val="22"/>
                <w:lang w:val="es-419"/>
              </w:rPr>
            </w:pPr>
            <w:r w:rsidRPr="00886A6C">
              <w:rPr>
                <w:rFonts w:cs="Tahoma"/>
                <w:b/>
                <w:bCs/>
                <w:color w:val="365F91" w:themeColor="accent1" w:themeShade="BF"/>
                <w:szCs w:val="22"/>
                <w:lang w:val="es-419"/>
              </w:rPr>
              <w:t>VERSI</w:t>
            </w:r>
            <w:r w:rsidR="002A29BD" w:rsidRPr="00886A6C">
              <w:rPr>
                <w:rFonts w:cs="Tahoma"/>
                <w:b/>
                <w:bCs/>
                <w:color w:val="365F91" w:themeColor="accent1" w:themeShade="BF"/>
                <w:szCs w:val="22"/>
                <w:lang w:val="es-419"/>
              </w:rPr>
              <w:t>Ó</w:t>
            </w:r>
            <w:r w:rsidRPr="00886A6C">
              <w:rPr>
                <w:rFonts w:cs="Tahoma"/>
                <w:b/>
                <w:bCs/>
                <w:color w:val="365F91" w:themeColor="accent1" w:themeShade="BF"/>
                <w:szCs w:val="22"/>
                <w:lang w:val="es-419"/>
              </w:rPr>
              <w:t>N</w:t>
            </w:r>
            <w:r w:rsidR="00A80767" w:rsidRPr="00886A6C">
              <w:rPr>
                <w:rFonts w:cs="Tahoma"/>
                <w:b/>
                <w:bCs/>
                <w:color w:val="365F91" w:themeColor="accent1" w:themeShade="BF"/>
                <w:szCs w:val="22"/>
                <w:lang w:val="es-419"/>
              </w:rPr>
              <w:t xml:space="preserve"> 1</w:t>
            </w:r>
          </w:p>
        </w:tc>
      </w:tr>
    </w:tbl>
    <w:p w14:paraId="646FE7C2" w14:textId="77777777" w:rsidR="00886A6C" w:rsidRPr="00BF5B5C" w:rsidRDefault="00886A6C" w:rsidP="00886A6C">
      <w:pPr>
        <w:rPr>
          <w:rFonts w:ascii="Calibri" w:hAnsi="Calibri" w:cs="Calibri"/>
          <w:i/>
          <w:iCs/>
          <w:color w:val="FF0000"/>
          <w:lang w:val="es-ES"/>
        </w:rPr>
      </w:pPr>
      <w:bookmarkStart w:id="0" w:name="_APPENDIX_A:_"/>
      <w:bookmarkEnd w:id="0"/>
      <w:r w:rsidRPr="00BF5B5C">
        <w:rPr>
          <w:rFonts w:ascii="Calibri" w:eastAsia="Calibri" w:hAnsi="Calibri" w:cs="Calibri"/>
          <w:i/>
          <w:iCs/>
          <w:color w:val="FF0000"/>
          <w:sz w:val="22"/>
          <w:szCs w:val="22"/>
          <w:lang w:val="es-ES"/>
        </w:rPr>
        <w:t xml:space="preserve">[El presente documento ha sido traducido para su comodidad empleando tecnologías de traducción automática sin </w:t>
      </w:r>
      <w:proofErr w:type="spellStart"/>
      <w:r w:rsidRPr="00BF5B5C">
        <w:rPr>
          <w:rFonts w:ascii="Calibri" w:eastAsia="Calibri" w:hAnsi="Calibri" w:cs="Calibri"/>
          <w:i/>
          <w:iCs/>
          <w:color w:val="FF0000"/>
          <w:sz w:val="22"/>
          <w:szCs w:val="22"/>
          <w:lang w:val="es-ES"/>
        </w:rPr>
        <w:t>posedición</w:t>
      </w:r>
      <w:proofErr w:type="spellEnd"/>
      <w:r w:rsidRPr="00BF5B5C">
        <w:rPr>
          <w:rFonts w:ascii="Calibri" w:eastAsia="Calibri" w:hAnsi="Calibri" w:cs="Calibri"/>
          <w:i/>
          <w:iCs/>
          <w:color w:val="FF0000"/>
          <w:sz w:val="22"/>
          <w:szCs w:val="22"/>
          <w:lang w:val="es-ES"/>
        </w:rPr>
        <w:t xml:space="preserve">. </w:t>
      </w:r>
      <w:r w:rsidRPr="00BF5B5C">
        <w:rPr>
          <w:i/>
          <w:iCs/>
          <w:color w:val="FF0000"/>
          <w:lang w:val="es-ES"/>
        </w:rPr>
        <w:t>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p>
    <w:p w14:paraId="341AE028" w14:textId="77777777" w:rsidR="00886A6C" w:rsidRPr="00BF5B5C" w:rsidRDefault="00886A6C" w:rsidP="00886A6C">
      <w:pPr>
        <w:pStyle w:val="Heading2"/>
        <w:rPr>
          <w:lang w:val="es-ES"/>
        </w:rPr>
      </w:pPr>
      <w:r>
        <w:rPr>
          <w:lang w:val="es-ES"/>
        </w:rPr>
        <w:t>MOVILIZACIÓN DE RECURSOS</w:t>
      </w:r>
    </w:p>
    <w:p w14:paraId="061640D7" w14:textId="77777777" w:rsidR="00886A6C" w:rsidRPr="00BF5B5C" w:rsidRDefault="00886A6C" w:rsidP="00886A6C">
      <w:pPr>
        <w:pStyle w:val="Heading2"/>
        <w:rPr>
          <w:sz w:val="20"/>
          <w:szCs w:val="20"/>
          <w:lang w:val="es-ES"/>
        </w:rPr>
      </w:pPr>
      <w:r>
        <w:rPr>
          <w:lang w:val="es-ES"/>
        </w:rPr>
        <w:t>ESTRATEGIA DE MOVILIZACIÓN DE RECURSOS DE LA OMM Y APOYO DE LOS MIEMBROS A TRAVÉS DE INICIATIVAS EMBLEMÁTICAS (EW4ALL, GBON/SOFF Y G3W), EL PROGRAMA DE COOPERACIÓN VOLUNTARIA (VCP) Y PROYECTOS FINANCIADOS CON CONTRIBUCIONES VOLUNTARIAS</w:t>
      </w:r>
    </w:p>
    <w:p w14:paraId="1EC23792" w14:textId="77777777" w:rsidR="00886A6C" w:rsidRPr="00BF5B5C" w:rsidRDefault="00886A6C" w:rsidP="00886A6C">
      <w:pPr>
        <w:pStyle w:val="Heading3"/>
        <w:rPr>
          <w:lang w:val="es-ES"/>
        </w:rPr>
      </w:pPr>
      <w:r w:rsidRPr="00BF5B5C">
        <w:rPr>
          <w:lang w:val="es-ES"/>
        </w:rPr>
        <w:t>Introducción</w:t>
      </w:r>
    </w:p>
    <w:p w14:paraId="1BDAB01C" w14:textId="77777777" w:rsidR="00886A6C" w:rsidRPr="00BF5B5C" w:rsidRDefault="00886A6C" w:rsidP="00886A6C">
      <w:pPr>
        <w:spacing w:before="240" w:after="120"/>
        <w:jc w:val="left"/>
        <w:rPr>
          <w:rFonts w:eastAsia="Verdana" w:cs="Verdana"/>
          <w:color w:val="0D0D0D" w:themeColor="text1" w:themeTint="F2"/>
          <w:lang w:val="es-ES"/>
        </w:rPr>
      </w:pPr>
      <w:r w:rsidRPr="00BF5B5C">
        <w:rPr>
          <w:lang w:val="es-ES"/>
        </w:rPr>
        <w:t>La movilización de recursos es fundamental para modernizar y reforzar las capacidades operativas, los servicios y la sostenibilidad de los Servicios Meteorológicos e Hidrológicos Nacionales (SMHN) de todo el mundo. Esta necesidad también está presente en el AR VI, que incluye un grupo diverso de Miembros de la OMM en distintas fases de desarrollo. La necesidad de ampliar la movilización de recursos viene impulsada por el rápido aumento de la demanda de servicios meteorológicos, climáticos e hidrológicos y la correspondiente ambición de colmar el déficit de capacidad (objetivo estratégico 4, Plan Estratégico 2024-2027 de la OMM). Al mismo tiempo, están aumentando las oportunidades de movilizar recursos a mayor escala, dado el creciente impulso político para mejorar el volumen y el acceso a la financiación en condiciones favorables para el clima y el desarrollo con el fin de reforzar la gestión del riesgo climático, la adaptación y la mitigación.</w:t>
      </w:r>
    </w:p>
    <w:p w14:paraId="2FA2F45F" w14:textId="77777777" w:rsidR="00886A6C" w:rsidRPr="00BF5B5C" w:rsidRDefault="00886A6C" w:rsidP="00886A6C">
      <w:pPr>
        <w:shd w:val="clear" w:color="auto" w:fill="FFFFFF" w:themeFill="background1"/>
        <w:spacing w:before="240" w:after="120"/>
        <w:jc w:val="left"/>
        <w:rPr>
          <w:lang w:val="es-ES"/>
        </w:rPr>
      </w:pPr>
      <w:r w:rsidRPr="00BF5B5C">
        <w:rPr>
          <w:lang w:val="es-ES"/>
        </w:rPr>
        <w:t>Los recursos extrapresupuestarios, denominados "contribuciones voluntarias" en la OMM, proceden de asociados para el desarrollo, fondos multilaterales para el clima, organizaciones de investigación, fundaciones, entidades comerciales y otros. Las contribuciones, incluidas las subvenciones para proyectos, se proporcionan a la OMM y a sus asociados y Miembros para ejecutar proyectos de desarrollo, asistencia técnica, creación de capacidad y programas temáticos. El apoyo no es sólo financiero, sino que también consiste en la aportación de conocimientos especializados, el envío de especialistas en comisión de servicio y otras formas de ayuda en especie.</w:t>
      </w:r>
    </w:p>
    <w:p w14:paraId="19859DF5" w14:textId="77777777" w:rsidR="00886A6C" w:rsidRPr="00BF5B5C" w:rsidRDefault="00886A6C" w:rsidP="00886A6C">
      <w:pPr>
        <w:spacing w:before="240" w:after="120"/>
        <w:jc w:val="left"/>
        <w:rPr>
          <w:rFonts w:eastAsia="Verdana" w:cs="Verdana"/>
          <w:color w:val="0D0D0D" w:themeColor="text1" w:themeTint="F2"/>
          <w:lang w:val="es-ES"/>
        </w:rPr>
      </w:pPr>
      <w:r w:rsidRPr="00BF5B5C">
        <w:rPr>
          <w:lang w:val="es-ES"/>
        </w:rPr>
        <w:t>Este documento resume la estrategia de la OMM en materia de movilización de recursos y destaca el papel fundamental que pueden desempeñar los SMHN a la hora de impulsar la movilización de financiación para el clima y el desarrollo. Además, describe los mecanismos específicos de apoyo a los Miembros, incluidas las iniciativas emblemáticas de la OMM -Alertas tempranas para todos (EW4All), la Red mundial de observación básica y el Servicio de financiación de observaciones sistemáticas asociado (GBON/SOFF), y la Vigilancia Mundial de los Gases de Efecto Invernadero (G3W)- junto con el Programa de Cooperación Voluntaria (PCV) y otros financiadores de proyectos extrapresupuestarios.</w:t>
      </w:r>
    </w:p>
    <w:p w14:paraId="36097162" w14:textId="77777777" w:rsidR="00886A6C" w:rsidRPr="00BF5B5C" w:rsidRDefault="00886A6C" w:rsidP="00886A6C">
      <w:pPr>
        <w:pStyle w:val="Heading3"/>
        <w:spacing w:after="120"/>
      </w:pPr>
      <w:r w:rsidRPr="00BF5B5C">
        <w:rPr>
          <w:lang w:val="en-US"/>
        </w:rPr>
        <w:lastRenderedPageBreak/>
        <w:t>WMO Resource Mobilization Strategy Overview</w:t>
      </w:r>
      <w:r w:rsidRPr="00BF5B5C">
        <w:rPr>
          <w:vertAlign w:val="superscript"/>
          <w:lang w:val="es-ES"/>
        </w:rPr>
        <w:footnoteReference w:id="2"/>
      </w:r>
    </w:p>
    <w:p w14:paraId="234F8AFB" w14:textId="77777777" w:rsidR="00886A6C" w:rsidRPr="00BF5B5C" w:rsidRDefault="00886A6C" w:rsidP="00886A6C">
      <w:pPr>
        <w:shd w:val="clear" w:color="auto" w:fill="FFFFFF" w:themeFill="background1"/>
        <w:spacing w:before="240" w:after="120"/>
        <w:jc w:val="left"/>
        <w:rPr>
          <w:rFonts w:eastAsia="Verdana" w:cs="Verdana"/>
          <w:color w:val="000000" w:themeColor="text1"/>
          <w:lang w:val="es-ES"/>
        </w:rPr>
      </w:pPr>
      <w:r w:rsidRPr="00BF5B5C">
        <w:rPr>
          <w:lang w:val="es-ES"/>
        </w:rPr>
        <w:t>El Decimonoveno Congreso Meteorológico Mundial (Cg-19) aprobó el Plan Estratégico 2024-2027, que establece las principales prioridades estratégicas para guiar a la OMM a lo largo de los próximos cuatro años en un contexto de rápidos cambios climáticos, sociales y tecnológicos. El Plan Estratégico establece cinco objetivos a largo plazo para promover la visión de la OMM de que "para 2030, veamos un mundo en el que todas las naciones, especialmente las más vulnerables, sean más resistentes a las consecuencias socioeconómicas de los fenómenos meteorológicos, climáticos e hidrológicos extremos y de otros fenómenos medioambientales".</w:t>
      </w:r>
    </w:p>
    <w:p w14:paraId="3D937283" w14:textId="77777777" w:rsidR="00886A6C" w:rsidRPr="00BF5B5C" w:rsidRDefault="00886A6C" w:rsidP="00886A6C">
      <w:pPr>
        <w:shd w:val="clear" w:color="auto" w:fill="FFFFFF" w:themeFill="background1"/>
        <w:spacing w:before="240" w:after="120"/>
        <w:jc w:val="left"/>
        <w:rPr>
          <w:rFonts w:eastAsia="Verdana" w:cs="Verdana"/>
          <w:color w:val="000000" w:themeColor="text1"/>
          <w:lang w:val="es-ES"/>
        </w:rPr>
      </w:pPr>
      <w:r w:rsidRPr="00BF5B5C">
        <w:rPr>
          <w:lang w:val="es-ES"/>
        </w:rPr>
        <w:t>Para ayudar a lograr esta visión, la movilización de recursos se llevará a cabo a través de tres esferas de compromiso, todas ellas en apoyo de los Miembros de la OMM:</w:t>
      </w:r>
    </w:p>
    <w:p w14:paraId="5C9CCF53" w14:textId="77777777" w:rsidR="00886A6C" w:rsidRPr="00BF5B5C" w:rsidRDefault="00886A6C" w:rsidP="00886A6C">
      <w:pPr>
        <w:pStyle w:val="ListParagraph"/>
        <w:numPr>
          <w:ilvl w:val="0"/>
          <w:numId w:val="46"/>
        </w:numPr>
        <w:shd w:val="clear" w:color="auto" w:fill="FFFFFF" w:themeFill="background1"/>
        <w:spacing w:before="240" w:after="120"/>
        <w:ind w:left="567" w:hanging="567"/>
        <w:contextualSpacing w:val="0"/>
        <w:jc w:val="left"/>
        <w:rPr>
          <w:rFonts w:eastAsia="Verdana" w:cs="Verdana"/>
          <w:color w:val="000000" w:themeColor="text1"/>
          <w:lang w:val="es-ES"/>
        </w:rPr>
      </w:pPr>
      <w:r w:rsidRPr="00BF5B5C">
        <w:rPr>
          <w:lang w:val="es-ES"/>
        </w:rPr>
        <w:t>Proyectos y actividades extrapresupuestarios de la Secretaría, incluidos la asistencia técnica, el desarrollo de capacidades, los proyectos de desarrollo, las actividades basadas en la investigación y la innovación, y el aumento de los programas mundiales de la OMM que requieren recursos superiores al presupuesto ordinario;</w:t>
      </w:r>
    </w:p>
    <w:p w14:paraId="06CA84CA" w14:textId="77777777" w:rsidR="00886A6C" w:rsidRPr="00BF5B5C" w:rsidRDefault="00886A6C" w:rsidP="00886A6C">
      <w:pPr>
        <w:pStyle w:val="ListParagraph"/>
        <w:numPr>
          <w:ilvl w:val="0"/>
          <w:numId w:val="46"/>
        </w:numPr>
        <w:shd w:val="clear" w:color="auto" w:fill="FFFFFF" w:themeFill="background1"/>
        <w:spacing w:before="240" w:after="120"/>
        <w:ind w:left="567" w:hanging="567"/>
        <w:contextualSpacing w:val="0"/>
        <w:jc w:val="left"/>
        <w:rPr>
          <w:rFonts w:eastAsia="Verdana" w:cs="Verdana"/>
          <w:color w:val="000000" w:themeColor="text1"/>
          <w:lang w:val="es-ES"/>
        </w:rPr>
      </w:pPr>
      <w:r w:rsidRPr="00BF5B5C">
        <w:rPr>
          <w:lang w:val="es-ES"/>
        </w:rPr>
        <w:t>Iniciativas emblemáticas de la OMM, a saber, EW4All, G3W y GBON, para las que la mayor parte de la inversión y la ejecución se llevarán a cabo fuera de la Secretaría de la OMM;</w:t>
      </w:r>
    </w:p>
    <w:p w14:paraId="2254E07F" w14:textId="77777777" w:rsidR="00886A6C" w:rsidRPr="00BF5B5C" w:rsidRDefault="00886A6C" w:rsidP="00886A6C">
      <w:pPr>
        <w:pStyle w:val="ListParagraph"/>
        <w:numPr>
          <w:ilvl w:val="0"/>
          <w:numId w:val="46"/>
        </w:numPr>
        <w:shd w:val="clear" w:color="auto" w:fill="FFFFFF" w:themeFill="background1"/>
        <w:spacing w:before="240" w:after="120"/>
        <w:ind w:left="567" w:hanging="567"/>
        <w:contextualSpacing w:val="0"/>
        <w:jc w:val="left"/>
        <w:rPr>
          <w:rFonts w:eastAsia="Verdana" w:cs="Verdana"/>
          <w:color w:val="000000" w:themeColor="text1"/>
          <w:lang w:val="es-ES"/>
        </w:rPr>
      </w:pPr>
      <w:r w:rsidRPr="00BF5B5C">
        <w:rPr>
          <w:lang w:val="es-ES"/>
        </w:rPr>
        <w:t>Un apoyo más amplio a los Miembros, incluido el apoyo a los socios de desarrollo para que realicen inversiones técnicamente adecuadas en función de las necesidades y la ayuda a los Miembros para que movilicen recursos directamente.</w:t>
      </w:r>
    </w:p>
    <w:p w14:paraId="2D353AEF" w14:textId="77777777" w:rsidR="00886A6C" w:rsidRPr="00BF5B5C" w:rsidRDefault="00886A6C" w:rsidP="00886A6C">
      <w:pPr>
        <w:shd w:val="clear" w:color="auto" w:fill="FFFFFF" w:themeFill="background1"/>
        <w:spacing w:before="240" w:after="120"/>
        <w:jc w:val="left"/>
        <w:rPr>
          <w:rFonts w:eastAsia="Verdana" w:cs="Verdana"/>
          <w:color w:val="000000" w:themeColor="text1"/>
        </w:rPr>
      </w:pPr>
      <w:r w:rsidRPr="00BF5B5C">
        <w:rPr>
          <w:lang w:val="es-ES"/>
        </w:rPr>
        <w:t>Muchas iniciativas y proyectos actúan en más de una de estas esferas, lo que refuerza la eficiencia y amplía el impacto. Tres objetivos de movilización de recursos de:</w:t>
      </w:r>
    </w:p>
    <w:p w14:paraId="6E22B1A5" w14:textId="77777777" w:rsidR="00886A6C" w:rsidRPr="00BF5B5C" w:rsidRDefault="00886A6C" w:rsidP="00886A6C">
      <w:pPr>
        <w:pStyle w:val="ListParagraph"/>
        <w:numPr>
          <w:ilvl w:val="0"/>
          <w:numId w:val="51"/>
        </w:numPr>
        <w:shd w:val="clear" w:color="auto" w:fill="FFFFFF" w:themeFill="background1"/>
        <w:spacing w:before="240" w:after="120"/>
        <w:contextualSpacing w:val="0"/>
        <w:jc w:val="left"/>
        <w:rPr>
          <w:rFonts w:eastAsia="Verdana" w:cs="Verdana"/>
          <w:color w:val="000000" w:themeColor="text1"/>
          <w:lang w:val="es-ES"/>
        </w:rPr>
      </w:pPr>
      <w:r w:rsidRPr="00BF5B5C">
        <w:rPr>
          <w:lang w:val="es-ES"/>
        </w:rPr>
        <w:t>Promover el bien público mundial y los avances de la investigación;</w:t>
      </w:r>
    </w:p>
    <w:p w14:paraId="44060A71" w14:textId="77777777" w:rsidR="00886A6C" w:rsidRPr="00BF5B5C" w:rsidRDefault="00886A6C" w:rsidP="00886A6C">
      <w:pPr>
        <w:pStyle w:val="ListParagraph"/>
        <w:numPr>
          <w:ilvl w:val="0"/>
          <w:numId w:val="51"/>
        </w:numPr>
        <w:shd w:val="clear" w:color="auto" w:fill="FFFFFF" w:themeFill="background1"/>
        <w:spacing w:before="240" w:after="120"/>
        <w:contextualSpacing w:val="0"/>
        <w:jc w:val="left"/>
        <w:rPr>
          <w:rFonts w:eastAsia="Verdana" w:cs="Verdana"/>
          <w:color w:val="000000" w:themeColor="text1"/>
          <w:lang w:val="es-ES"/>
        </w:rPr>
      </w:pPr>
      <w:r w:rsidRPr="00BF5B5C">
        <w:rPr>
          <w:lang w:val="es-ES"/>
        </w:rPr>
        <w:t>Apoyo de toda la institución a los diputados;</w:t>
      </w:r>
    </w:p>
    <w:p w14:paraId="36CB6280" w14:textId="77777777" w:rsidR="00886A6C" w:rsidRPr="00BF5B5C" w:rsidRDefault="00886A6C" w:rsidP="00886A6C">
      <w:pPr>
        <w:pStyle w:val="ListParagraph"/>
        <w:numPr>
          <w:ilvl w:val="0"/>
          <w:numId w:val="51"/>
        </w:numPr>
        <w:shd w:val="clear" w:color="auto" w:fill="FFFFFF" w:themeFill="background1"/>
        <w:spacing w:before="240" w:after="120"/>
        <w:contextualSpacing w:val="0"/>
        <w:jc w:val="left"/>
        <w:rPr>
          <w:rFonts w:eastAsia="Verdana" w:cs="Verdana"/>
          <w:color w:val="000000" w:themeColor="text1"/>
          <w:lang w:val="es-ES"/>
        </w:rPr>
      </w:pPr>
      <w:r w:rsidRPr="00BF5B5C">
        <w:rPr>
          <w:lang w:val="es-ES"/>
        </w:rPr>
        <w:t>Como se muestra en la figura 1, la movilización de recursos para lograr un impacto abarca las tres esferas de la movilización de recursos de la OMM.</w:t>
      </w:r>
    </w:p>
    <w:p w14:paraId="338E8CFC" w14:textId="77777777" w:rsidR="00886A6C" w:rsidRPr="00BF5B5C" w:rsidRDefault="00886A6C" w:rsidP="00886A6C">
      <w:pPr>
        <w:spacing w:before="240" w:after="120"/>
        <w:jc w:val="center"/>
        <w:rPr>
          <w:rStyle w:val="normaltextrun"/>
          <w:color w:val="000000" w:themeColor="text1"/>
        </w:rPr>
      </w:pPr>
      <w:r w:rsidRPr="00BF5B5C">
        <w:rPr>
          <w:rFonts w:eastAsia="Verdana" w:cs="Verdana"/>
          <w:noProof/>
          <w:color w:val="2B579A"/>
          <w:shd w:val="clear" w:color="auto" w:fill="E6E6E6"/>
        </w:rPr>
        <w:lastRenderedPageBreak/>
        <w:drawing>
          <wp:inline distT="0" distB="0" distL="0" distR="0" wp14:anchorId="4ABEF091" wp14:editId="1A1FD228">
            <wp:extent cx="4729995" cy="3370989"/>
            <wp:effectExtent l="0" t="0" r="0" b="1270"/>
            <wp:docPr id="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company&#10;&#10;Description automatically generated"/>
                    <pic:cNvPicPr/>
                  </pic:nvPicPr>
                  <pic:blipFill rotWithShape="1">
                    <a:blip r:embed="rId12" cstate="print">
                      <a:extLst>
                        <a:ext uri="{28A0092B-C50C-407E-A947-70E740481C1C}">
                          <a14:useLocalDpi xmlns:a14="http://schemas.microsoft.com/office/drawing/2010/main" val="0"/>
                        </a:ext>
                      </a:extLst>
                    </a:blip>
                    <a:srcRect t="3392" b="3964"/>
                    <a:stretch/>
                  </pic:blipFill>
                  <pic:spPr bwMode="auto">
                    <a:xfrm>
                      <a:off x="0" y="0"/>
                      <a:ext cx="4750981" cy="3385945"/>
                    </a:xfrm>
                    <a:prstGeom prst="rect">
                      <a:avLst/>
                    </a:prstGeom>
                    <a:ln>
                      <a:noFill/>
                    </a:ln>
                    <a:extLst>
                      <a:ext uri="{53640926-AAD7-44D8-BBD7-CCE9431645EC}">
                        <a14:shadowObscured xmlns:a14="http://schemas.microsoft.com/office/drawing/2010/main"/>
                      </a:ext>
                    </a:extLst>
                  </pic:spPr>
                </pic:pic>
              </a:graphicData>
            </a:graphic>
          </wp:inline>
        </w:drawing>
      </w:r>
    </w:p>
    <w:p w14:paraId="7EC37A22" w14:textId="77777777" w:rsidR="00886A6C" w:rsidRPr="00BF5B5C" w:rsidRDefault="00886A6C" w:rsidP="00886A6C">
      <w:pPr>
        <w:spacing w:before="240" w:after="120"/>
        <w:jc w:val="center"/>
        <w:rPr>
          <w:b/>
          <w:bCs/>
          <w:color w:val="000000" w:themeColor="text1"/>
          <w:lang w:val="es-ES"/>
        </w:rPr>
      </w:pPr>
      <w:r w:rsidRPr="00BF5B5C">
        <w:rPr>
          <w:lang w:val="es-ES"/>
        </w:rPr>
        <w:t xml:space="preserve">Figure 1. </w:t>
      </w:r>
      <w:r w:rsidRPr="00BF5B5C">
        <w:rPr>
          <w:b/>
          <w:bCs/>
          <w:lang w:val="es-ES"/>
        </w:rPr>
        <w:t>Esferas y objetivos transversales de la OMM Movilización de recursos.</w:t>
      </w:r>
      <w:r w:rsidRPr="00BF5B5C">
        <w:rPr>
          <w:lang w:val="es-ES"/>
        </w:rPr>
        <w:t xml:space="preserve"> </w:t>
      </w:r>
      <w:r w:rsidRPr="00BF5B5C">
        <w:rPr>
          <w:b/>
          <w:bCs/>
          <w:lang w:val="es-ES"/>
        </w:rPr>
        <w:t>Todas las esferas y objetivos se solapan y refuerzan mutuamente.</w:t>
      </w:r>
    </w:p>
    <w:p w14:paraId="2C315B58" w14:textId="77777777" w:rsidR="00886A6C" w:rsidRPr="00BF5B5C" w:rsidRDefault="00886A6C" w:rsidP="00886A6C">
      <w:pPr>
        <w:spacing w:before="240" w:after="120"/>
        <w:jc w:val="left"/>
        <w:rPr>
          <w:rStyle w:val="normaltextrun"/>
          <w:color w:val="000000" w:themeColor="text1"/>
          <w:lang w:val="es-ES"/>
        </w:rPr>
      </w:pPr>
      <w:r w:rsidRPr="00BF5B5C">
        <w:rPr>
          <w:lang w:val="es-ES"/>
        </w:rPr>
        <w:t>Teniendo en cuenta este contexto y para acelerar la consecución de las metas y los objetivos a largo plazo, la Secretaría de la OMM dará prioridad a las actividades de movilización de recursos y las llevará a cabo de acuerdo con el siguiente conjunto de principios institucionales.</w:t>
      </w:r>
    </w:p>
    <w:p w14:paraId="7C8A1582" w14:textId="77777777" w:rsidR="00886A6C" w:rsidRPr="00BF5B5C" w:rsidRDefault="00886A6C" w:rsidP="00886A6C">
      <w:pPr>
        <w:pStyle w:val="WMOSubTitle1"/>
        <w:rPr>
          <w:lang w:val="es-ES"/>
        </w:rPr>
      </w:pPr>
      <w:r w:rsidRPr="00BF5B5C">
        <w:rPr>
          <w:bCs/>
          <w:iCs/>
          <w:lang w:val="es-ES"/>
        </w:rPr>
        <w:t>Principios de movilización de recursos de la OMM</w:t>
      </w:r>
    </w:p>
    <w:p w14:paraId="5868148F" w14:textId="77777777" w:rsidR="00886A6C" w:rsidRPr="00BF5B5C" w:rsidRDefault="00886A6C" w:rsidP="00886A6C">
      <w:pPr>
        <w:pStyle w:val="ListParagraph"/>
        <w:numPr>
          <w:ilvl w:val="0"/>
          <w:numId w:val="47"/>
        </w:numPr>
        <w:spacing w:before="240" w:after="120"/>
        <w:ind w:left="567" w:hanging="567"/>
        <w:contextualSpacing w:val="0"/>
        <w:jc w:val="left"/>
        <w:rPr>
          <w:lang w:val="es-ES"/>
        </w:rPr>
      </w:pPr>
      <w:r w:rsidRPr="00BF5B5C">
        <w:rPr>
          <w:lang w:val="es-ES"/>
        </w:rPr>
        <w:t>Alinear la movilización de recursos con las prioridades del Plan Estratégico de la OMM y la Cg-19, con el objetivo de garantizar que todos los proyectos y actividades de la Organización, las iniciativas emblemáticas (EW4All, G3W y GBON) y el apoyo más amplio a los Miembros cuenten con recursos suficientes;</w:t>
      </w:r>
    </w:p>
    <w:p w14:paraId="2BE9A75D" w14:textId="77777777" w:rsidR="00886A6C" w:rsidRPr="00BF5B5C" w:rsidRDefault="00886A6C" w:rsidP="00886A6C">
      <w:pPr>
        <w:pStyle w:val="ListParagraph"/>
        <w:numPr>
          <w:ilvl w:val="0"/>
          <w:numId w:val="47"/>
        </w:numPr>
        <w:spacing w:before="240" w:after="120"/>
        <w:ind w:left="567" w:hanging="567"/>
        <w:contextualSpacing w:val="0"/>
        <w:jc w:val="left"/>
        <w:rPr>
          <w:lang w:val="es-ES"/>
        </w:rPr>
      </w:pPr>
      <w:r w:rsidRPr="00BF5B5C">
        <w:rPr>
          <w:lang w:val="es-ES"/>
        </w:rPr>
        <w:t>Promover la apropiación y el compromiso nacionales y regionales abordando las necesidades prioritarias de los Miembros mediante un apoyo ampliado, garantizando que los proyectos y las contribuciones se ejecuten lo más cerca posible de los Miembros;</w:t>
      </w:r>
    </w:p>
    <w:p w14:paraId="3DC66677" w14:textId="77777777" w:rsidR="00886A6C" w:rsidRPr="00BF5B5C" w:rsidRDefault="00886A6C" w:rsidP="00886A6C">
      <w:pPr>
        <w:pStyle w:val="ListParagraph"/>
        <w:numPr>
          <w:ilvl w:val="0"/>
          <w:numId w:val="47"/>
        </w:numPr>
        <w:spacing w:before="240" w:after="120"/>
        <w:ind w:left="567" w:hanging="567"/>
        <w:contextualSpacing w:val="0"/>
        <w:jc w:val="left"/>
        <w:rPr>
          <w:lang w:val="es-ES"/>
        </w:rPr>
      </w:pPr>
      <w:r w:rsidRPr="00BF5B5C">
        <w:rPr>
          <w:lang w:val="es-ES"/>
        </w:rPr>
        <w:t>Dar prioridad a las iniciativas de apoyo a amplias regiones frente a las intervenciones muy locales;</w:t>
      </w:r>
    </w:p>
    <w:p w14:paraId="7F55A83C" w14:textId="77777777" w:rsidR="00886A6C" w:rsidRPr="00BF5B5C" w:rsidRDefault="00886A6C" w:rsidP="00886A6C">
      <w:pPr>
        <w:pStyle w:val="ListParagraph"/>
        <w:numPr>
          <w:ilvl w:val="0"/>
          <w:numId w:val="47"/>
        </w:numPr>
        <w:spacing w:before="240" w:after="120"/>
        <w:ind w:left="567" w:hanging="567"/>
        <w:contextualSpacing w:val="0"/>
        <w:jc w:val="left"/>
        <w:rPr>
          <w:lang w:val="es-ES"/>
        </w:rPr>
      </w:pPr>
      <w:r w:rsidRPr="00BF5B5C">
        <w:rPr>
          <w:lang w:val="es-ES"/>
        </w:rPr>
        <w:t>Colaborar eficazmente con las Oficinas Regionales de la OMM, las Asociaciones Regionales y los Miembros y prestarles apoyo para movilizar recursos;</w:t>
      </w:r>
    </w:p>
    <w:p w14:paraId="1424112B" w14:textId="77777777" w:rsidR="00886A6C" w:rsidRPr="00BF5B5C" w:rsidRDefault="00886A6C" w:rsidP="00886A6C">
      <w:pPr>
        <w:pStyle w:val="ListParagraph"/>
        <w:numPr>
          <w:ilvl w:val="0"/>
          <w:numId w:val="47"/>
        </w:numPr>
        <w:spacing w:before="240" w:after="120"/>
        <w:ind w:left="567" w:hanging="567"/>
        <w:contextualSpacing w:val="0"/>
        <w:jc w:val="left"/>
        <w:rPr>
          <w:lang w:val="es-ES"/>
        </w:rPr>
      </w:pPr>
      <w:r w:rsidRPr="00BF5B5C">
        <w:rPr>
          <w:lang w:val="es-ES"/>
        </w:rPr>
        <w:t>Alinear y coordinar las actividades de movilización de recursos a través de relaciones claras y eficaces con los socios, aprovechando las inversiones en desarrollo/clima de los socios y evitando la duplicación;</w:t>
      </w:r>
    </w:p>
    <w:p w14:paraId="46B34C67" w14:textId="77777777" w:rsidR="00886A6C" w:rsidRPr="00BF5B5C" w:rsidRDefault="00886A6C" w:rsidP="00886A6C">
      <w:pPr>
        <w:pStyle w:val="ListParagraph"/>
        <w:numPr>
          <w:ilvl w:val="0"/>
          <w:numId w:val="47"/>
        </w:numPr>
        <w:spacing w:before="240" w:after="120"/>
        <w:ind w:left="567" w:hanging="567"/>
        <w:contextualSpacing w:val="0"/>
        <w:jc w:val="left"/>
        <w:rPr>
          <w:lang w:val="es-ES"/>
        </w:rPr>
      </w:pPr>
      <w:r w:rsidRPr="00BF5B5C">
        <w:rPr>
          <w:lang w:val="es-ES"/>
        </w:rPr>
        <w:t>Ser reconocido como un socio fiable, transparente y responsable que persigue soluciones e impactos sostenibles;</w:t>
      </w:r>
    </w:p>
    <w:p w14:paraId="6786E495" w14:textId="77777777" w:rsidR="00886A6C" w:rsidRPr="00BF5B5C" w:rsidRDefault="00886A6C" w:rsidP="00886A6C">
      <w:pPr>
        <w:pStyle w:val="ListParagraph"/>
        <w:numPr>
          <w:ilvl w:val="0"/>
          <w:numId w:val="47"/>
        </w:numPr>
        <w:spacing w:before="240" w:after="120"/>
        <w:ind w:left="567" w:hanging="567"/>
        <w:contextualSpacing w:val="0"/>
        <w:jc w:val="left"/>
        <w:rPr>
          <w:lang w:val="es-ES"/>
        </w:rPr>
      </w:pPr>
      <w:r w:rsidRPr="00BF5B5C">
        <w:rPr>
          <w:lang w:val="es-ES"/>
        </w:rPr>
        <w:t>Alentar a los Miembros a participar en los proyectos de la OMM mediante hermanamientos y apoyo financiero para mejorar el diseño, la ejecución y la sostenibilidad;</w:t>
      </w:r>
    </w:p>
    <w:p w14:paraId="3CFC07D0" w14:textId="77777777" w:rsidR="00886A6C" w:rsidRPr="00BF5B5C" w:rsidRDefault="00886A6C" w:rsidP="00886A6C">
      <w:pPr>
        <w:pStyle w:val="ListParagraph"/>
        <w:numPr>
          <w:ilvl w:val="0"/>
          <w:numId w:val="47"/>
        </w:numPr>
        <w:spacing w:before="240" w:after="120"/>
        <w:ind w:left="567" w:hanging="567"/>
        <w:contextualSpacing w:val="0"/>
        <w:jc w:val="left"/>
        <w:rPr>
          <w:lang w:val="es-ES"/>
        </w:rPr>
      </w:pPr>
      <w:r w:rsidRPr="00BF5B5C">
        <w:rPr>
          <w:lang w:val="es-ES"/>
        </w:rPr>
        <w:lastRenderedPageBreak/>
        <w:t>Reconocer el papel de los recursos humanos como pilar fundamental del desarrollo de capacidades con un papel importante en la planificación estratégica, la calidad de los servicios y la sostenibilidad de los SMHN.</w:t>
      </w:r>
    </w:p>
    <w:p w14:paraId="2BC48EAE" w14:textId="77777777" w:rsidR="00886A6C" w:rsidRPr="00BF5B5C" w:rsidRDefault="00886A6C" w:rsidP="00886A6C">
      <w:pPr>
        <w:pStyle w:val="Heading3"/>
        <w:spacing w:after="120"/>
        <w:rPr>
          <w:lang w:val="es-ES"/>
        </w:rPr>
      </w:pPr>
      <w:bookmarkStart w:id="1" w:name="_Hlk175212241"/>
      <w:r w:rsidRPr="00BF5B5C">
        <w:rPr>
          <w:lang w:val="es-ES"/>
        </w:rPr>
        <w:t>Capacitar a los SMHN para movilizar financiación para el clima y el desarrollo</w:t>
      </w:r>
    </w:p>
    <w:bookmarkEnd w:id="1"/>
    <w:p w14:paraId="2EA27411" w14:textId="77777777" w:rsidR="00886A6C" w:rsidRPr="00BF5B5C" w:rsidRDefault="00886A6C" w:rsidP="00886A6C">
      <w:pPr>
        <w:spacing w:before="240" w:after="120"/>
        <w:jc w:val="left"/>
        <w:rPr>
          <w:rFonts w:eastAsia="Verdana" w:cs="Verdana"/>
          <w:lang w:val="es-ES"/>
        </w:rPr>
      </w:pPr>
      <w:r w:rsidRPr="00BF5B5C">
        <w:rPr>
          <w:lang w:val="es-ES"/>
        </w:rPr>
        <w:t>Los datos y la información climáticos son fundamentales para los procesos de toma de decisiones sobre el cambio climático y para la identificación y el diseño de inversiones climáticas, por lo que sirven como facilitadores clave para movilizar la financiación del clima y el desarrollo. Los datos, conocimientos y experiencia de los SMHN son, por tanto, esenciales para informar las estrategias, procesos e inversiones nacionales relacionados con el clima y, por lo tanto, deben ser reconocidos y facultados para desempeñar eficazmente este papel fundamental.</w:t>
      </w:r>
    </w:p>
    <w:p w14:paraId="294B7543" w14:textId="77777777" w:rsidR="00886A6C" w:rsidRPr="00BF5B5C" w:rsidRDefault="00886A6C" w:rsidP="00886A6C">
      <w:pPr>
        <w:spacing w:before="240" w:after="120"/>
        <w:jc w:val="left"/>
        <w:rPr>
          <w:rFonts w:eastAsia="Verdana" w:cs="Verdana"/>
          <w:color w:val="000000" w:themeColor="text1"/>
          <w:lang w:val="es-ES"/>
        </w:rPr>
      </w:pPr>
      <w:r w:rsidRPr="00BF5B5C">
        <w:rPr>
          <w:lang w:val="es-ES"/>
        </w:rPr>
        <w:t>Para apoyar esta posición, se está elaborando una Nota Orientativa sobre el Refuerzo del Papel de los SMHN en la Movilización de la Financiación Climática a Nivel Nacional con los objetivos de:</w:t>
      </w:r>
    </w:p>
    <w:p w14:paraId="4EDE50F3" w14:textId="77777777" w:rsidR="00886A6C" w:rsidRPr="00BF5B5C" w:rsidRDefault="00886A6C" w:rsidP="00886A6C">
      <w:pPr>
        <w:pStyle w:val="ListParagraph"/>
        <w:numPr>
          <w:ilvl w:val="0"/>
          <w:numId w:val="48"/>
        </w:numPr>
        <w:shd w:val="clear" w:color="auto" w:fill="FFFFFF" w:themeFill="background1"/>
        <w:spacing w:before="240" w:after="120"/>
        <w:ind w:left="567" w:hanging="567"/>
        <w:contextualSpacing w:val="0"/>
        <w:jc w:val="left"/>
        <w:rPr>
          <w:rFonts w:eastAsia="Verdana" w:cs="Verdana"/>
          <w:color w:val="000000" w:themeColor="text1"/>
          <w:lang w:val="es-ES"/>
        </w:rPr>
      </w:pPr>
      <w:r w:rsidRPr="00BF5B5C">
        <w:rPr>
          <w:lang w:val="es-ES"/>
        </w:rPr>
        <w:t>Proporcionar una visión completa de las partes interesadas en la financiación de la lucha contra el cambio climático y de los procesos que suelen llevarse a cabo a nivel nacional;</w:t>
      </w:r>
    </w:p>
    <w:p w14:paraId="41D44A4D" w14:textId="77777777" w:rsidR="00886A6C" w:rsidRPr="00BF5B5C" w:rsidRDefault="00886A6C" w:rsidP="00886A6C">
      <w:pPr>
        <w:pStyle w:val="ListParagraph"/>
        <w:numPr>
          <w:ilvl w:val="0"/>
          <w:numId w:val="48"/>
        </w:numPr>
        <w:shd w:val="clear" w:color="auto" w:fill="FFFFFF" w:themeFill="background1"/>
        <w:spacing w:before="240" w:after="120"/>
        <w:ind w:left="567" w:hanging="567"/>
        <w:contextualSpacing w:val="0"/>
        <w:jc w:val="left"/>
        <w:rPr>
          <w:rFonts w:eastAsia="Verdana" w:cs="Verdana"/>
          <w:color w:val="000000" w:themeColor="text1"/>
          <w:lang w:val="es-ES"/>
        </w:rPr>
      </w:pPr>
      <w:r w:rsidRPr="00BF5B5C">
        <w:rPr>
          <w:lang w:val="es-ES"/>
        </w:rPr>
        <w:t>Iluminar los principios rectores de la toma de decisiones en materia de financiación climática y subrayar el papel fundamental de los SMHN como impulsores clave en el proceso de movilización;</w:t>
      </w:r>
    </w:p>
    <w:p w14:paraId="08334584" w14:textId="77777777" w:rsidR="00886A6C" w:rsidRPr="00BF5B5C" w:rsidRDefault="00886A6C" w:rsidP="00886A6C">
      <w:pPr>
        <w:pStyle w:val="ListParagraph"/>
        <w:numPr>
          <w:ilvl w:val="0"/>
          <w:numId w:val="48"/>
        </w:numPr>
        <w:shd w:val="clear" w:color="auto" w:fill="FFFFFF" w:themeFill="background1"/>
        <w:spacing w:before="240" w:after="120"/>
        <w:ind w:left="567" w:hanging="567"/>
        <w:contextualSpacing w:val="0"/>
        <w:jc w:val="left"/>
        <w:rPr>
          <w:rFonts w:eastAsia="Verdana" w:cs="Verdana"/>
          <w:color w:val="000000" w:themeColor="text1"/>
          <w:lang w:val="es-ES"/>
        </w:rPr>
      </w:pPr>
      <w:r w:rsidRPr="00BF5B5C">
        <w:rPr>
          <w:lang w:val="es-ES"/>
        </w:rPr>
        <w:t>Identificar oportunidades de colaboración con organismos de financiación y partes interesadas nacionales para proponer proyectos destinados a reforzar la infraestructura de los SMHN, mejorando así el diseño y la utilización de los servicios de información climática;</w:t>
      </w:r>
    </w:p>
    <w:p w14:paraId="31FE8EC1" w14:textId="77777777" w:rsidR="00886A6C" w:rsidRPr="00BF5B5C" w:rsidRDefault="00886A6C" w:rsidP="00886A6C">
      <w:pPr>
        <w:pStyle w:val="ListParagraph"/>
        <w:numPr>
          <w:ilvl w:val="0"/>
          <w:numId w:val="48"/>
        </w:numPr>
        <w:shd w:val="clear" w:color="auto" w:fill="FFFFFF" w:themeFill="background1"/>
        <w:spacing w:before="240" w:after="120"/>
        <w:ind w:left="567" w:hanging="567"/>
        <w:contextualSpacing w:val="0"/>
        <w:jc w:val="left"/>
        <w:rPr>
          <w:rFonts w:eastAsia="Verdana" w:cs="Verdana"/>
          <w:color w:val="000000" w:themeColor="text1"/>
          <w:lang w:val="es-ES"/>
        </w:rPr>
      </w:pPr>
      <w:r w:rsidRPr="00BF5B5C">
        <w:rPr>
          <w:lang w:val="es-ES"/>
        </w:rPr>
        <w:t>Esbozar estrategias para capacitar a los SMHN mediante iniciativas deliberadas centradas en el establecimiento de una visión, el desarrollo de estrategias y la mejora de su capacidad percibida para movilizar recursos tanto para las ambiciones climáticas del país como para los propios SMHN.</w:t>
      </w:r>
    </w:p>
    <w:p w14:paraId="0DB745A1" w14:textId="77777777" w:rsidR="00886A6C" w:rsidRPr="00BF5B5C" w:rsidRDefault="00886A6C" w:rsidP="00886A6C">
      <w:pPr>
        <w:pStyle w:val="Heading3"/>
        <w:spacing w:after="120"/>
        <w:rPr>
          <w:lang w:val="es-ES"/>
        </w:rPr>
      </w:pPr>
      <w:r w:rsidRPr="00BF5B5C">
        <w:rPr>
          <w:lang w:val="es-ES"/>
        </w:rPr>
        <w:t>Recursos de financiación para la AR VI</w:t>
      </w:r>
    </w:p>
    <w:p w14:paraId="4AF6D7DA" w14:textId="77777777" w:rsidR="00886A6C" w:rsidRPr="00BF5B5C" w:rsidRDefault="00886A6C" w:rsidP="00886A6C">
      <w:pPr>
        <w:shd w:val="clear" w:color="auto" w:fill="FFFFFF" w:themeFill="background1"/>
        <w:spacing w:before="240" w:after="120"/>
        <w:jc w:val="left"/>
        <w:rPr>
          <w:rFonts w:eastAsia="Verdana" w:cs="Verdana"/>
          <w:color w:val="000000" w:themeColor="text1"/>
          <w:lang w:val="es-ES"/>
        </w:rPr>
      </w:pPr>
      <w:r w:rsidRPr="00BF5B5C">
        <w:rPr>
          <w:lang w:val="es-ES"/>
        </w:rPr>
        <w:t>Algunos países elegibles del AR VI tienen acceso a financiación de instituciones financieras internacionales (IFI) como el Banco Europeo de Inversiones (BEI), el Grupo del Banco Mundial, el Banco Europeo de Reconstrucción y Desarrollo (BERD), el Banco Islámico de Desarrollo y el Banco de Desarrollo del Consejo de Europa (CEB), algunos de los cuales también proporcionan conocimientos y servicios de asesoramiento. Además, varios países del AR VI pueden acogerse a mecanismos internacionales de financiación climática, como el Fondo Verde para el Clima (FVC), y acceder a financiación en condiciones favorables (subvenciones y préstamos a interés bajo o nulo, normalmente denominados créditos) de bancos e instituciones multilaterales y bilaterales de desarrollo. Se anima encarecidamente a los países del AR VI a que utilicen plenamente estos recursos financieros y técnicos ofrecidos por las IFI y los mecanismos de financiación climática para mejorar sus infraestructuras de SMHN, crear capacidades y mejorar la prestación de servicios, incluidos los servicios climáticos y el Sistema de Alerta Temprana Multirriesgo (MHEWS).</w:t>
      </w:r>
    </w:p>
    <w:p w14:paraId="7AC3A008" w14:textId="5DA8609F" w:rsidR="00886A6C" w:rsidRPr="00BF5B5C" w:rsidRDefault="00886A6C" w:rsidP="00886A6C">
      <w:pPr>
        <w:spacing w:before="240" w:after="120" w:line="259" w:lineRule="auto"/>
        <w:jc w:val="left"/>
        <w:rPr>
          <w:lang w:val="es-ES"/>
        </w:rPr>
      </w:pPr>
      <w:r w:rsidRPr="00BF5B5C">
        <w:rPr>
          <w:lang w:val="es-ES"/>
        </w:rPr>
        <w:t xml:space="preserve">Algunos Miembros de la AR VI se benefician de la ayuda oficial al desarrollo (AOD) de donantes bilaterales, en particular, aunque no exclusivamente, los miembros del </w:t>
      </w:r>
      <w:hyperlink r:id="rId13" w:history="1">
        <w:r w:rsidRPr="00886A6C">
          <w:rPr>
            <w:rStyle w:val="Hyperlink"/>
            <w:lang w:val="es-ES"/>
          </w:rPr>
          <w:t>Comité de Ayuda al Desarrollo (CAD) de la Organización para la Cooperación y el Desarrollo Económico (OCDE)</w:t>
        </w:r>
      </w:hyperlink>
      <w:r w:rsidRPr="00BF5B5C">
        <w:rPr>
          <w:lang w:val="es-ES"/>
        </w:rPr>
        <w:t xml:space="preserve">. Impulsado significativamente por la situación geopolítica, gran parte del apoyo bilateral actual en la AR VI se centra en la seguridad, tanto física como en términos de suministro energético. </w:t>
      </w:r>
      <w:r w:rsidRPr="00BF5B5C">
        <w:rPr>
          <w:lang w:val="es-ES"/>
        </w:rPr>
        <w:lastRenderedPageBreak/>
        <w:t>Los SMHN pueden considerarse fundamentales para la seguridad humana y económica, y varios donantes siguen interesados en la gestión de los riesgos medioambientales, hídricos y de catástrofes, por lo que existen oportunidades para movilizar el apoyo de los donantes bilaterales.</w:t>
      </w:r>
    </w:p>
    <w:p w14:paraId="3DDF4AF1" w14:textId="77777777" w:rsidR="00886A6C" w:rsidRPr="00BF5B5C" w:rsidRDefault="00886A6C" w:rsidP="00886A6C">
      <w:pPr>
        <w:spacing w:before="240" w:after="120" w:line="259" w:lineRule="auto"/>
        <w:jc w:val="left"/>
        <w:rPr>
          <w:lang w:val="es-ES"/>
        </w:rPr>
      </w:pPr>
      <w:r w:rsidRPr="00BF5B5C">
        <w:rPr>
          <w:lang w:val="es-ES"/>
        </w:rPr>
        <w:t xml:space="preserve">La UE es, con diferencia, el mayor contribuyente a la mayoría de los miembros de la AR VI, a través de los distintos </w:t>
      </w:r>
      <w:proofErr w:type="gramStart"/>
      <w:r w:rsidRPr="00BF5B5C">
        <w:rPr>
          <w:lang w:val="es-ES"/>
        </w:rPr>
        <w:t>Directores Generales</w:t>
      </w:r>
      <w:proofErr w:type="gramEnd"/>
      <w:r w:rsidRPr="00BF5B5C">
        <w:rPr>
          <w:lang w:val="es-ES"/>
        </w:rPr>
        <w:t xml:space="preserve"> (DG) de la Comisión Europea (CE). Las principales DG financiadoras son diferentes para los Estados miembros de la UE y para los Estados no miembros, siendo las principales fuentes para los Estados no miembros la DG de Negociaciones de Vecindad y Ampliación (DG NEAR), la DG de Asociaciones Internacionales (INTPA) y la DG de Investigación e Innovación (DG RTD). En el marco de la DG RTD, la mayoría de las subvenciones del Programa Marco de Investigación de la UE (Horizonte Europa) son accesibles a entidades situadas en países no pertenecientes a la UE que, o bien tienen un acuerdo de asociación específico, o bien figuran en la lista de "países de renta media-baja".</w:t>
      </w:r>
    </w:p>
    <w:p w14:paraId="3A4AD917" w14:textId="77777777" w:rsidR="00886A6C" w:rsidRPr="00BF5B5C" w:rsidRDefault="00886A6C" w:rsidP="00886A6C">
      <w:pPr>
        <w:spacing w:before="240" w:after="120" w:line="259" w:lineRule="auto"/>
        <w:jc w:val="left"/>
        <w:rPr>
          <w:lang w:val="es-ES"/>
        </w:rPr>
      </w:pPr>
      <w:r w:rsidRPr="00BF5B5C">
        <w:rPr>
          <w:lang w:val="es-ES"/>
        </w:rPr>
        <w:t>Varias DG más técnicas son fundamentales para movilizar el apoyo de la UE a Estados no miembros, entre ellas la Dirección General de Protección Civil y Operaciones de Ayuda Humanitaria (DG ECHO), la Dirección General de Acción por el Clima (DG CLIMA) y las DG que se ocupan del medio ambiente, la energía, la agricultura y otros sectores que se benefician de los servicios de los SMHN. En la actualidad, la Secretaría de la OMM tiene más éxito a la hora de movilizar recursos procedentes de la financiación de la investigación aplicada de la UE, concretamente del programa marco Horizonte Europa, dependiente de la DG RTD. Además, la OMM colabora y recibe apoyo de las DG que apoyan los avances digitales, tecnológicos y de comunicación, como la DG de Industria de Defensa y Espacio (DG DEFIS) y la DG de Redes, Contenidos y Tecnología de las Comunicaciones (DG CONNECT).</w:t>
      </w:r>
    </w:p>
    <w:p w14:paraId="64772384" w14:textId="77777777" w:rsidR="00886A6C" w:rsidRPr="00BF5B5C" w:rsidRDefault="00886A6C" w:rsidP="00886A6C">
      <w:pPr>
        <w:pStyle w:val="Heading3"/>
        <w:spacing w:after="120"/>
        <w:rPr>
          <w:lang w:val="es-ES"/>
        </w:rPr>
      </w:pPr>
      <w:r w:rsidRPr="00BF5B5C">
        <w:rPr>
          <w:lang w:val="es-ES"/>
        </w:rPr>
        <w:t>Refuerzo de los sistemas de alerta rápida en el marco de EW4All</w:t>
      </w:r>
    </w:p>
    <w:p w14:paraId="499A68D4" w14:textId="77777777" w:rsidR="00886A6C" w:rsidRPr="00BF5B5C" w:rsidRDefault="00886A6C" w:rsidP="00886A6C">
      <w:pPr>
        <w:spacing w:before="240" w:after="120"/>
        <w:jc w:val="left"/>
        <w:rPr>
          <w:lang w:val="es-ES"/>
        </w:rPr>
      </w:pPr>
      <w:r w:rsidRPr="00BF5B5C">
        <w:rPr>
          <w:lang w:val="es-ES"/>
        </w:rPr>
        <w:t xml:space="preserve">EW4All fue iniciada en 2022 por el </w:t>
      </w:r>
      <w:proofErr w:type="gramStart"/>
      <w:r w:rsidRPr="00BF5B5C">
        <w:rPr>
          <w:lang w:val="es-ES"/>
        </w:rPr>
        <w:t>Secretario General</w:t>
      </w:r>
      <w:proofErr w:type="gramEnd"/>
      <w:r w:rsidRPr="00BF5B5C">
        <w:rPr>
          <w:lang w:val="es-ES"/>
        </w:rPr>
        <w:t xml:space="preserve"> de las Naciones Unidas para garantizar la protección universal frente a fenómenos hidrometeorológicos, climatológicos y medioambientales conexos peligrosos mediante Sistemas de Alerta Temprana (SAT) que salvan vidas para finales de 2027. En el marco de EW4All, las acciones necesarias para alcanzar este objetivo se han desglosado en cuatro pilares alineados con los cuatro componentes de MHEWS dirigidos por instituciones especializadas:</w:t>
      </w:r>
    </w:p>
    <w:p w14:paraId="43B459BE" w14:textId="77777777" w:rsidR="00886A6C" w:rsidRPr="00BF5B5C" w:rsidRDefault="00886A6C" w:rsidP="00886A6C">
      <w:pPr>
        <w:pStyle w:val="ListParagraph"/>
        <w:numPr>
          <w:ilvl w:val="0"/>
          <w:numId w:val="49"/>
        </w:numPr>
        <w:spacing w:before="240" w:after="120"/>
        <w:ind w:left="567" w:hanging="567"/>
        <w:contextualSpacing w:val="0"/>
        <w:jc w:val="left"/>
        <w:rPr>
          <w:lang w:val="es-ES"/>
        </w:rPr>
      </w:pPr>
      <w:r w:rsidRPr="00BF5B5C">
        <w:rPr>
          <w:lang w:val="es-ES"/>
        </w:rPr>
        <w:t>Conocimiento del riesgo de catástrofes, dirigido por la Oficina de las Naciones Unidas para la Reducción del Riesgo de Catástrofes (UNDRR);</w:t>
      </w:r>
    </w:p>
    <w:p w14:paraId="78E3A7DC" w14:textId="77777777" w:rsidR="00886A6C" w:rsidRPr="00BF5B5C" w:rsidRDefault="00886A6C" w:rsidP="00886A6C">
      <w:pPr>
        <w:pStyle w:val="ListParagraph"/>
        <w:numPr>
          <w:ilvl w:val="0"/>
          <w:numId w:val="49"/>
        </w:numPr>
        <w:spacing w:before="240" w:after="120"/>
        <w:ind w:left="567" w:hanging="567"/>
        <w:contextualSpacing w:val="0"/>
        <w:jc w:val="left"/>
        <w:rPr>
          <w:lang w:val="es-ES"/>
        </w:rPr>
      </w:pPr>
      <w:r w:rsidRPr="00BF5B5C">
        <w:rPr>
          <w:lang w:val="es-ES"/>
        </w:rPr>
        <w:t>Observaciones y previsiones, dirigido por la OMM;</w:t>
      </w:r>
    </w:p>
    <w:p w14:paraId="50AB9AF5" w14:textId="77777777" w:rsidR="00886A6C" w:rsidRPr="00BF5B5C" w:rsidRDefault="00886A6C" w:rsidP="00886A6C">
      <w:pPr>
        <w:pStyle w:val="ListParagraph"/>
        <w:numPr>
          <w:ilvl w:val="0"/>
          <w:numId w:val="49"/>
        </w:numPr>
        <w:spacing w:before="240" w:after="120"/>
        <w:ind w:left="567" w:hanging="567"/>
        <w:contextualSpacing w:val="0"/>
        <w:jc w:val="left"/>
        <w:rPr>
          <w:lang w:val="es-ES"/>
        </w:rPr>
      </w:pPr>
      <w:r w:rsidRPr="00BF5B5C">
        <w:rPr>
          <w:lang w:val="es-ES"/>
        </w:rPr>
        <w:t>Difusión y comunicación, dirigida por la Unión Internacional de Telecomunicaciones (UIT);</w:t>
      </w:r>
    </w:p>
    <w:p w14:paraId="6264828B" w14:textId="77777777" w:rsidR="00886A6C" w:rsidRPr="00BF5B5C" w:rsidRDefault="00886A6C" w:rsidP="00886A6C">
      <w:pPr>
        <w:pStyle w:val="ListParagraph"/>
        <w:numPr>
          <w:ilvl w:val="0"/>
          <w:numId w:val="49"/>
        </w:numPr>
        <w:spacing w:before="240" w:after="120"/>
        <w:ind w:left="567" w:hanging="567"/>
        <w:contextualSpacing w:val="0"/>
        <w:jc w:val="left"/>
        <w:rPr>
          <w:lang w:val="es-ES"/>
        </w:rPr>
      </w:pPr>
      <w:r w:rsidRPr="00BF5B5C">
        <w:rPr>
          <w:lang w:val="es-ES"/>
        </w:rPr>
        <w:t xml:space="preserve">De la preparación a la respuesta, dirigido por la Federación Internacional de Sociedades de la Cruz Roja y de la </w:t>
      </w:r>
      <w:proofErr w:type="gramStart"/>
      <w:r w:rsidRPr="00BF5B5C">
        <w:rPr>
          <w:lang w:val="es-ES"/>
        </w:rPr>
        <w:t>Media Luna</w:t>
      </w:r>
      <w:proofErr w:type="gramEnd"/>
      <w:r w:rsidRPr="00BF5B5C">
        <w:rPr>
          <w:lang w:val="es-ES"/>
        </w:rPr>
        <w:t xml:space="preserve"> Roja (FICR).</w:t>
      </w:r>
    </w:p>
    <w:p w14:paraId="44F0EAA8" w14:textId="77777777" w:rsidR="00886A6C" w:rsidRPr="00BF5B5C" w:rsidRDefault="00886A6C" w:rsidP="00886A6C">
      <w:pPr>
        <w:spacing w:before="240" w:after="120"/>
        <w:jc w:val="left"/>
        <w:rPr>
          <w:lang w:val="es-ES"/>
        </w:rPr>
      </w:pPr>
      <w:r w:rsidRPr="00BF5B5C">
        <w:rPr>
          <w:lang w:val="es-ES"/>
        </w:rPr>
        <w:t>La iniciativa promueve la colaboración y las sinergias entre todos los socios que trabajan en la implantación de MHEWS.</w:t>
      </w:r>
    </w:p>
    <w:p w14:paraId="696718E7" w14:textId="77777777" w:rsidR="00886A6C" w:rsidRPr="00BF5B5C" w:rsidRDefault="00886A6C" w:rsidP="00886A6C">
      <w:pPr>
        <w:shd w:val="clear" w:color="auto" w:fill="FFFFFF" w:themeFill="background1"/>
        <w:spacing w:before="240" w:after="120"/>
        <w:jc w:val="left"/>
        <w:rPr>
          <w:rFonts w:eastAsia="Verdana" w:cs="Verdana"/>
          <w:color w:val="000000" w:themeColor="text1"/>
          <w:lang w:val="es-ES"/>
        </w:rPr>
      </w:pPr>
      <w:r w:rsidRPr="00BF5B5C">
        <w:rPr>
          <w:lang w:val="es-ES"/>
        </w:rPr>
        <w:t xml:space="preserve">Para hacer realidad esta visión, EW4All ha diseñado un plan estratégico de despliegue que consta de dos fases fundamentales: la fase catalizadora y la fase de acción sostenida. Durante la fase catalizadora, los países identifican las carencias y movilizan a las partes interesadas para acelerar la cobertura universal de los MHEWS mediante hojas de ruta nacionales de la iniciativa EW4All. A </w:t>
      </w:r>
      <w:proofErr w:type="gramStart"/>
      <w:r w:rsidRPr="00BF5B5C">
        <w:rPr>
          <w:lang w:val="es-ES"/>
        </w:rPr>
        <w:t>continuación</w:t>
      </w:r>
      <w:proofErr w:type="gramEnd"/>
      <w:r w:rsidRPr="00BF5B5C">
        <w:rPr>
          <w:lang w:val="es-ES"/>
        </w:rPr>
        <w:t xml:space="preserve"> viene la fase de acción sostenida, que se centra en la aplicación colectiva de las hojas de ruta y la mejora de las capacidades de MHEWS. El grupo </w:t>
      </w:r>
      <w:proofErr w:type="spellStart"/>
      <w:r w:rsidRPr="00BF5B5C">
        <w:rPr>
          <w:lang w:val="es-ES"/>
        </w:rPr>
        <w:lastRenderedPageBreak/>
        <w:t>interpilar</w:t>
      </w:r>
      <w:proofErr w:type="spellEnd"/>
      <w:r w:rsidRPr="00BF5B5C">
        <w:rPr>
          <w:lang w:val="es-ES"/>
        </w:rPr>
        <w:t xml:space="preserve"> de coordinación técnica, formado por el UNDRR, la OMM, la UIT y la FICR, facilita este proceso y ha desarrollado herramientas y directrices para orientar la implantación nacional en los países, incluido un panel interactivo para mejorar la transparencia y la accesibilidad de la información relacionada con los sistemas de alerta temprana. Esta herramienta dinámica permite a las partes interesadas hacer un seguimiento de los avances, las asignaciones de fondos y los indicadores clave de rendimiento, fomentando un enfoque colaborativo y basado en datos para alcanzar los objetivos globales de MHEWS.</w:t>
      </w:r>
    </w:p>
    <w:p w14:paraId="33334902" w14:textId="77777777" w:rsidR="00886A6C" w:rsidRPr="00BF5B5C" w:rsidRDefault="00886A6C" w:rsidP="00886A6C">
      <w:pPr>
        <w:shd w:val="clear" w:color="auto" w:fill="FFFFFF" w:themeFill="background1"/>
        <w:spacing w:before="240" w:after="120"/>
        <w:jc w:val="left"/>
        <w:rPr>
          <w:rFonts w:eastAsia="Verdana" w:cs="Verdana"/>
          <w:color w:val="000000" w:themeColor="text1"/>
          <w:lang w:val="es-ES"/>
        </w:rPr>
      </w:pPr>
      <w:r w:rsidRPr="00BF5B5C">
        <w:rPr>
          <w:lang w:val="es-ES"/>
        </w:rPr>
        <w:t xml:space="preserve">A escala mundial, gracias al liderazgo nacional y al apoyo de los socios de los pilares, hasta la fecha, 29 países han celebrado su EW4All nacional mostrando su compromiso de cumplir el objetivo de la cobertura universal de los MHEWS para 2027. Esto ha dado lugar a ocho hojas de ruta nacionales, que los países y sus socios están utilizando para una acción ampliada y coordinada en los cuatro pilares, incluyendo también elementos </w:t>
      </w:r>
      <w:proofErr w:type="spellStart"/>
      <w:r w:rsidRPr="00BF5B5C">
        <w:rPr>
          <w:lang w:val="es-ES"/>
        </w:rPr>
        <w:t>transpilares</w:t>
      </w:r>
      <w:proofErr w:type="spellEnd"/>
      <w:r w:rsidRPr="00BF5B5C">
        <w:rPr>
          <w:lang w:val="es-ES"/>
        </w:rPr>
        <w:t>.</w:t>
      </w:r>
    </w:p>
    <w:p w14:paraId="5184AB91" w14:textId="77777777" w:rsidR="00886A6C" w:rsidRPr="00BF5B5C" w:rsidRDefault="00886A6C" w:rsidP="00886A6C">
      <w:pPr>
        <w:shd w:val="clear" w:color="auto" w:fill="FFFFFF" w:themeFill="background1"/>
        <w:spacing w:before="240" w:after="120"/>
        <w:jc w:val="left"/>
        <w:rPr>
          <w:rFonts w:eastAsia="Verdana" w:cs="Verdana"/>
          <w:color w:val="000000" w:themeColor="text1"/>
          <w:lang w:val="es-ES"/>
        </w:rPr>
      </w:pPr>
      <w:r w:rsidRPr="00BF5B5C">
        <w:rPr>
          <w:lang w:val="es-ES"/>
        </w:rPr>
        <w:t xml:space="preserve">El apoyo continuado a los 30 países iniciales designados por el </w:t>
      </w:r>
      <w:proofErr w:type="gramStart"/>
      <w:r w:rsidRPr="00BF5B5C">
        <w:rPr>
          <w:lang w:val="es-ES"/>
        </w:rPr>
        <w:t>Secretario General</w:t>
      </w:r>
      <w:proofErr w:type="gramEnd"/>
      <w:r w:rsidRPr="00BF5B5C">
        <w:rPr>
          <w:lang w:val="es-ES"/>
        </w:rPr>
        <w:t xml:space="preserve"> de las Naciones Unidas es primordial para garantizar el éxito de la aplicación de las iniciativas de la iniciativa EW4All. Estos países ya han realizado progresos significativos en la finalización de sus hojas de ruta nacionales y en la movilización de recursos para el despliegue de MHEWS. Mantener este impulso y prestar asistencia continua será crucial en su labor por lograr la cobertura universal.</w:t>
      </w:r>
    </w:p>
    <w:p w14:paraId="69B6AB58" w14:textId="77777777" w:rsidR="00886A6C" w:rsidRPr="00BF5B5C" w:rsidRDefault="00886A6C" w:rsidP="00886A6C">
      <w:pPr>
        <w:shd w:val="clear" w:color="auto" w:fill="FFFFFF" w:themeFill="background1"/>
        <w:spacing w:before="240" w:after="120"/>
        <w:jc w:val="left"/>
        <w:rPr>
          <w:rStyle w:val="eop"/>
          <w:rFonts w:eastAsia="Verdana" w:cs="Verdana"/>
          <w:color w:val="000000" w:themeColor="text1"/>
          <w:lang w:val="es-ES"/>
        </w:rPr>
      </w:pPr>
      <w:r w:rsidRPr="00BF5B5C">
        <w:rPr>
          <w:lang w:val="es-ES"/>
        </w:rPr>
        <w:t>Simultáneamente, los esfuerzos en 2024 se centraron en ampliar la iniciativa más allá de los 30 países iniciales en función de la demanda planteada por otros países. Reconociendo la urgente necesidad de un sistema de alerta temprana completo en todo el mundo, EW4All está colaborando activamente con otros países que han manifestado su interés en participar. Una vez más, una gama única de asociaciones permitirá esta ampliación.</w:t>
      </w:r>
    </w:p>
    <w:p w14:paraId="1FD84EB9" w14:textId="77777777" w:rsidR="00886A6C" w:rsidRPr="00BF5B5C" w:rsidRDefault="00886A6C" w:rsidP="00886A6C">
      <w:pPr>
        <w:shd w:val="clear" w:color="auto" w:fill="FFFFFF" w:themeFill="background1"/>
        <w:spacing w:before="240" w:after="120"/>
        <w:jc w:val="left"/>
        <w:rPr>
          <w:rFonts w:eastAsia="Verdana" w:cs="Verdana"/>
          <w:color w:val="000000" w:themeColor="text1"/>
          <w:lang w:val="es-ES"/>
        </w:rPr>
      </w:pPr>
      <w:r w:rsidRPr="00BF5B5C">
        <w:rPr>
          <w:lang w:val="es-ES"/>
        </w:rPr>
        <w:t>Para sentar las bases del trabajo en todos los países del AR VI, la OMM ha trabajado con los SMHN en evaluaciones nacionales rápidas para el segundo pilar. El objetivo es informar la fase de planificación de la iniciativa EW4All mediante datos y análisis de referencia. También se pretende identificar las áreas con mayores carencias de capacidad para poder orientar mejor la asistencia técnica y las inversiones.</w:t>
      </w:r>
    </w:p>
    <w:p w14:paraId="4850DD6F" w14:textId="77777777" w:rsidR="00886A6C" w:rsidRPr="00BF5B5C" w:rsidRDefault="00886A6C" w:rsidP="00886A6C">
      <w:pPr>
        <w:shd w:val="clear" w:color="auto" w:fill="FFFFFF" w:themeFill="background1"/>
        <w:spacing w:before="240" w:after="120"/>
        <w:jc w:val="left"/>
        <w:rPr>
          <w:rFonts w:eastAsia="Verdana" w:cs="Verdana"/>
          <w:color w:val="000000" w:themeColor="text1"/>
          <w:lang w:val="es-ES"/>
        </w:rPr>
      </w:pPr>
      <w:r w:rsidRPr="00BF5B5C">
        <w:rPr>
          <w:lang w:val="es-ES"/>
        </w:rPr>
        <w:t>La OMM preparó evaluaciones rápidas de la iniciativa EW4All para Albania, Armenia, Georgia, Bosnia y Herzegovina, República de Moldova, Montenegro, Macedonia del Norte, Jordania, Serbia, República Árabe Siria y Ucrania con el fin de evaluar las capacidades nacionales en el marco del segundo pilar. La mayoría de estos países presentan importantes lagunas en los sistemas de observación, tratamiento de datos y previsión, carecen de vínculos formales entre las partes interesadas en la cadena de difusión y carecen de marcos normativos que conecten las alertas tempranas con los planes de emergencia.</w:t>
      </w:r>
    </w:p>
    <w:p w14:paraId="614BB713" w14:textId="77777777" w:rsidR="00886A6C" w:rsidRPr="00BF5B5C" w:rsidRDefault="00886A6C" w:rsidP="00886A6C">
      <w:pPr>
        <w:shd w:val="clear" w:color="auto" w:fill="FFFFFF" w:themeFill="background1"/>
        <w:spacing w:before="240" w:after="120"/>
        <w:jc w:val="left"/>
        <w:rPr>
          <w:rFonts w:eastAsia="Verdana" w:cs="Verdana"/>
          <w:color w:val="000000" w:themeColor="text1"/>
          <w:lang w:val="es-ES"/>
        </w:rPr>
      </w:pPr>
      <w:r w:rsidRPr="00BF5B5C">
        <w:rPr>
          <w:lang w:val="es-ES"/>
        </w:rPr>
        <w:t>Otra actividad destacada para sentar las bases de una mayor implantación de la iniciativa EW4All en la región de la AR VI es la colaboración de la OMM y el UNDRR con la DG NEAR de la CE para apoyar el desarrollo del Sistema de Alerta Temprana contra Riesgos Múltiples de Europa Sudoriental, cuyo objetivo es mejorar las previsiones y las disposiciones de alerta relacionadas con riesgos meteorológicos e hidrológicos en 18 países de Europa Sudoriental. En abril de 2024, se organizó un evento subregional EW4All en Atenas (Grecia) con representantes de los SMHN de estos países para planificar los próximos pasos en el desarrollo del sistema regional de asesoramiento de alerta temprana.</w:t>
      </w:r>
    </w:p>
    <w:p w14:paraId="30BB463F" w14:textId="77777777" w:rsidR="00886A6C" w:rsidRPr="00BF5B5C" w:rsidRDefault="00886A6C" w:rsidP="00886A6C">
      <w:pPr>
        <w:spacing w:before="240" w:after="120"/>
        <w:jc w:val="left"/>
        <w:rPr>
          <w:lang w:val="es-ES"/>
        </w:rPr>
      </w:pPr>
      <w:r w:rsidRPr="00BF5B5C">
        <w:rPr>
          <w:lang w:val="es-ES"/>
        </w:rPr>
        <w:t xml:space="preserve">En agosto de 2024, el Centro Europeo de Predicción Meteorológica a Plazo Medio (ECMWF) anunció un importante impulso a la aplicación de la iniciativa EW4All, de interés para los países de la AR VI de la OMM y los SMHN. Como parte de su estrategia de datos abiertos en curso, ECMWF confirmó que todos los miembros de la OMM podrían acceder a sus </w:t>
      </w:r>
      <w:proofErr w:type="spellStart"/>
      <w:r w:rsidRPr="00BF5B5C">
        <w:rPr>
          <w:lang w:val="es-ES"/>
        </w:rPr>
        <w:t>ecCharts</w:t>
      </w:r>
      <w:proofErr w:type="spellEnd"/>
      <w:r w:rsidRPr="00BF5B5C">
        <w:rPr>
          <w:lang w:val="es-ES"/>
        </w:rPr>
        <w:t xml:space="preserve"> y a los productos de capas del Web </w:t>
      </w:r>
      <w:proofErr w:type="spellStart"/>
      <w:r w:rsidRPr="00BF5B5C">
        <w:rPr>
          <w:lang w:val="es-ES"/>
        </w:rPr>
        <w:t>Map</w:t>
      </w:r>
      <w:proofErr w:type="spellEnd"/>
      <w:r w:rsidRPr="00BF5B5C">
        <w:rPr>
          <w:lang w:val="es-ES"/>
        </w:rPr>
        <w:t xml:space="preserve"> </w:t>
      </w:r>
      <w:proofErr w:type="spellStart"/>
      <w:r w:rsidRPr="00BF5B5C">
        <w:rPr>
          <w:lang w:val="es-ES"/>
        </w:rPr>
        <w:t>Service</w:t>
      </w:r>
      <w:proofErr w:type="spellEnd"/>
      <w:r w:rsidRPr="00BF5B5C">
        <w:rPr>
          <w:lang w:val="es-ES"/>
        </w:rPr>
        <w:t xml:space="preserve"> (WMS) para sus necesidades internas de previsión. Por otra parte, se mejorará la calidad y la accesibilidad de los datos del ECMWF para todos los </w:t>
      </w:r>
      <w:r w:rsidRPr="00BF5B5C">
        <w:rPr>
          <w:lang w:val="es-ES"/>
        </w:rPr>
        <w:lastRenderedPageBreak/>
        <w:t>Miembros de la OMM, centrándose en primer lugar en las naciones menos desarrolladas de la AR VI de la OMM, así como en los países apoyados por el SOFF (véase más adelante).</w:t>
      </w:r>
    </w:p>
    <w:p w14:paraId="1B829969" w14:textId="77777777" w:rsidR="00886A6C" w:rsidRPr="00BF5B5C" w:rsidRDefault="00886A6C" w:rsidP="00886A6C">
      <w:pPr>
        <w:spacing w:before="240" w:after="120"/>
        <w:jc w:val="left"/>
        <w:rPr>
          <w:lang w:val="es-ES"/>
        </w:rPr>
      </w:pPr>
      <w:r w:rsidRPr="00BF5B5C">
        <w:rPr>
          <w:lang w:val="es-ES"/>
        </w:rPr>
        <w:t>Si se combina con la formación para el desarrollo de capacidades, es probable que esta mejora del acceso a los productos mundiales y regionales y, en última instancia, a la mejora de las previsiones, así como a otros servicios, pueda reducir la necesidad de que los Miembros individuales de la OMM y los SMHN movilicen recursos de financiación externos para mejorar la prestación de servicios.</w:t>
      </w:r>
    </w:p>
    <w:p w14:paraId="7C43FF4C" w14:textId="77777777" w:rsidR="00886A6C" w:rsidRPr="00BF5B5C" w:rsidRDefault="00886A6C" w:rsidP="00886A6C">
      <w:pPr>
        <w:pStyle w:val="Heading3"/>
        <w:spacing w:after="240"/>
        <w:rPr>
          <w:lang w:val="es-ES"/>
        </w:rPr>
      </w:pPr>
      <w:r w:rsidRPr="00BF5B5C">
        <w:rPr>
          <w:lang w:val="es-ES"/>
        </w:rPr>
        <w:t>Colmar las lagunas de observación de GBON con SOFF</w:t>
      </w:r>
    </w:p>
    <w:p w14:paraId="57A6029D" w14:textId="77777777" w:rsidR="00886A6C" w:rsidRPr="00BF5B5C" w:rsidRDefault="00886A6C" w:rsidP="00886A6C">
      <w:pPr>
        <w:spacing w:before="240" w:after="120"/>
        <w:jc w:val="left"/>
      </w:pPr>
      <w:bookmarkStart w:id="2" w:name="_Hlk175216011"/>
      <w:r w:rsidRPr="00BF5B5C">
        <w:rPr>
          <w:lang w:val="es-ES"/>
        </w:rPr>
        <w:t>El SOFF es un fondo especializado de las Naciones Unidas creado conjuntamente por la OMM, el Programa de las Naciones Unidas para el Desarrollo (PNUD) y el Programa de las Naciones Unidas para el Medio Ambiente (PNUMA) para colmar la laguna de datos sobre observaciones climáticas y meteorológicas en los países con las carencias más graves en materia de observaciones, dando prioridad a los Países Menos Adelantados (PMA) y a los Pequeños Estados Insulares en Desarrollo (PEID). El SOFF proporciona asistencia financiera y técnica a largo plazo para apoyar la adquisición y el intercambio internacional de observaciones meteorológicas y climáticas básicas, de acuerdo con la normativa GBON acordada internacionalmente. La ayuda del SOFF se presta en tres fases:</w:t>
      </w:r>
      <w:bookmarkEnd w:id="2"/>
    </w:p>
    <w:p w14:paraId="16BF328E" w14:textId="77777777" w:rsidR="00886A6C" w:rsidRPr="00BF5B5C" w:rsidRDefault="00886A6C" w:rsidP="00886A6C">
      <w:pPr>
        <w:numPr>
          <w:ilvl w:val="0"/>
          <w:numId w:val="50"/>
        </w:numPr>
        <w:tabs>
          <w:tab w:val="clear" w:pos="1134"/>
          <w:tab w:val="left" w:pos="567"/>
        </w:tabs>
        <w:spacing w:before="240" w:after="120"/>
        <w:ind w:left="567" w:hanging="567"/>
        <w:jc w:val="left"/>
        <w:rPr>
          <w:lang w:val="es-ES"/>
        </w:rPr>
      </w:pPr>
      <w:r w:rsidRPr="00BF5B5C">
        <w:rPr>
          <w:lang w:val="es-ES"/>
        </w:rPr>
        <w:t>Fase de preparación: apoyo para que los países evalúen su situación hidrométrica nacional, definan las carencias de GBON y elaboren un plan para colmarlas;</w:t>
      </w:r>
    </w:p>
    <w:p w14:paraId="40032C2E" w14:textId="77777777" w:rsidR="00886A6C" w:rsidRPr="00BF5B5C" w:rsidRDefault="00886A6C" w:rsidP="00886A6C">
      <w:pPr>
        <w:numPr>
          <w:ilvl w:val="0"/>
          <w:numId w:val="50"/>
        </w:numPr>
        <w:tabs>
          <w:tab w:val="clear" w:pos="1134"/>
          <w:tab w:val="left" w:pos="567"/>
        </w:tabs>
        <w:spacing w:before="240" w:after="120"/>
        <w:ind w:left="567" w:hanging="567"/>
        <w:jc w:val="left"/>
        <w:rPr>
          <w:lang w:val="es-ES"/>
        </w:rPr>
      </w:pPr>
      <w:r w:rsidRPr="00BF5B5C">
        <w:rPr>
          <w:lang w:val="es-ES"/>
        </w:rPr>
        <w:t>Fase de inversión: financiación de subvenciones para infraestructuras y desarrollo de capacidades humanas que permitan a los países cumplir la normativa GBON;</w:t>
      </w:r>
    </w:p>
    <w:p w14:paraId="54C2BC33" w14:textId="77777777" w:rsidR="00886A6C" w:rsidRPr="00BF5B5C" w:rsidRDefault="00886A6C" w:rsidP="00886A6C">
      <w:pPr>
        <w:numPr>
          <w:ilvl w:val="0"/>
          <w:numId w:val="50"/>
        </w:numPr>
        <w:tabs>
          <w:tab w:val="clear" w:pos="1134"/>
          <w:tab w:val="left" w:pos="567"/>
        </w:tabs>
        <w:spacing w:before="240" w:after="120"/>
        <w:ind w:left="567" w:hanging="567"/>
        <w:jc w:val="left"/>
        <w:rPr>
          <w:lang w:val="es-ES"/>
        </w:rPr>
      </w:pPr>
      <w:r w:rsidRPr="00BF5B5C">
        <w:rPr>
          <w:lang w:val="es-ES"/>
        </w:rPr>
        <w:t>Fase de cumplimiento: apoyo a las operaciones y el mantenimiento para mantener el cumplimiento de GBON y acceder a productos mejorados de previsión meteorológica y análisis climático.</w:t>
      </w:r>
    </w:p>
    <w:p w14:paraId="4DBAC20C" w14:textId="77777777" w:rsidR="00886A6C" w:rsidRPr="00BF5B5C" w:rsidRDefault="00886A6C" w:rsidP="00886A6C">
      <w:pPr>
        <w:spacing w:before="240" w:after="120" w:line="259" w:lineRule="auto"/>
        <w:jc w:val="left"/>
        <w:rPr>
          <w:lang w:val="es-ES"/>
        </w:rPr>
      </w:pPr>
      <w:r w:rsidRPr="00BF5B5C">
        <w:rPr>
          <w:lang w:val="es-ES"/>
        </w:rPr>
        <w:t>Hasta la fecha, 66 países están programados para recibir ayudas del SOFF. De esos 66 países, el Comité Directivo del SOFF ha aprobado la financiación de la fase de preparación en 60 países y la financiación de la fase de inversión en 13 países, con la aprobación condicional de otros cinco países. Actualmente, el SOFF no está autorizado a prestar apoyo a los países de renta media (PRM); Sin embargo, 13 países del AR VI actúan como Asesores Paritarios, proporcionando asesoramiento técnico y apoyo analítico a los países beneficiarios y a las entidades ejecutoras en el diseño y la ejecución de las actividades.</w:t>
      </w:r>
    </w:p>
    <w:p w14:paraId="10B3382E" w14:textId="77777777" w:rsidR="00886A6C" w:rsidRPr="00BF5B5C" w:rsidRDefault="00886A6C" w:rsidP="00886A6C">
      <w:pPr>
        <w:pStyle w:val="Heading3"/>
        <w:spacing w:after="240"/>
        <w:rPr>
          <w:lang w:val="es-ES"/>
        </w:rPr>
      </w:pPr>
      <w:r w:rsidRPr="00BF5B5C">
        <w:rPr>
          <w:lang w:val="es-ES"/>
        </w:rPr>
        <w:t>Mejora de la vigilancia de los gases de efecto invernadero (GEI) mediante G3W</w:t>
      </w:r>
    </w:p>
    <w:p w14:paraId="467EECD1" w14:textId="77777777" w:rsidR="00886A6C" w:rsidRPr="00BF5B5C" w:rsidRDefault="00886A6C" w:rsidP="00886A6C">
      <w:pPr>
        <w:spacing w:before="240" w:after="120"/>
        <w:jc w:val="left"/>
        <w:rPr>
          <w:b/>
          <w:bCs/>
          <w:lang w:val="es-ES"/>
        </w:rPr>
      </w:pPr>
      <w:r w:rsidRPr="00BF5B5C">
        <w:rPr>
          <w:lang w:val="es-ES"/>
        </w:rPr>
        <w:t>El objetivo de G3W es establecer un seguimiento y una modelización coordinados a escala internacional de las concentraciones y flujos de gases de efecto invernadero para proporcionar información práctica a las Partes de la Convención Marco de las Naciones Unidas sobre el Cambio Climático (CMNUCC) y otras partes interesadas.</w:t>
      </w:r>
    </w:p>
    <w:p w14:paraId="0E4FD8EF" w14:textId="77777777" w:rsidR="00886A6C" w:rsidRPr="00BF5B5C" w:rsidRDefault="00886A6C" w:rsidP="00886A6C">
      <w:pPr>
        <w:spacing w:before="240" w:after="120"/>
        <w:jc w:val="left"/>
        <w:rPr>
          <w:lang w:val="es-ES"/>
        </w:rPr>
      </w:pPr>
      <w:r w:rsidRPr="00BF5B5C">
        <w:rPr>
          <w:lang w:val="es-ES"/>
        </w:rPr>
        <w:t xml:space="preserve">El G3W pretende establecer una red mundial coordinada de observación para medir con precisión los Gases de Efecto Invernadero (GEI), centrándose en los tres principales gases responsables del calentamiento global y los impactos asociados que se manifiestan en condiciones meteorológicas extremas. La integración de las observaciones desde el espacio y desde la superficie y la modelización (utilizando también la inteligencia artificial) en el marco del G3W permitirá producir información mundial consolidada y continua sobre los flujos totales y las concentraciones de GEI. Los datos y orientaciones resultantes permitirán comprender mejor en tiempo real las emisiones y sumideros de GEI, así como predecir las tendencias climáticas, lo que es fundamental para la gobernanza internacional en el marco de la CMNUCC </w:t>
      </w:r>
      <w:r w:rsidRPr="00BF5B5C">
        <w:rPr>
          <w:lang w:val="es-ES"/>
        </w:rPr>
        <w:lastRenderedPageBreak/>
        <w:t>y para que los países planifiquen y lleven a cabo actividades de mitigación del cambio climático en el marco de sus Contribuciones Determinadas a Nivel Nacional (NDC).</w:t>
      </w:r>
    </w:p>
    <w:p w14:paraId="2841F57C" w14:textId="77777777" w:rsidR="00886A6C" w:rsidRPr="00BF5B5C" w:rsidRDefault="00886A6C" w:rsidP="00886A6C">
      <w:pPr>
        <w:spacing w:before="240" w:after="120"/>
        <w:jc w:val="left"/>
        <w:rPr>
          <w:lang w:val="es-ES"/>
        </w:rPr>
      </w:pPr>
      <w:r w:rsidRPr="00BF5B5C">
        <w:rPr>
          <w:lang w:val="es-ES"/>
        </w:rPr>
        <w:t>Los recursos iniciales para el G3W abordarán las necesidades técnicas, de coordinación, seguimiento y liderazgo en materia de comunicaciones, incluidas las contribuciones de entidades ajenas a la OMM, garantizando que la acción climática y el apoyo al desarrollo se basen sólidamente en la ciencia y en servicios que satisfagan las necesidades de los Miembros de la OMM.</w:t>
      </w:r>
    </w:p>
    <w:p w14:paraId="0573536B" w14:textId="77777777" w:rsidR="00886A6C" w:rsidRPr="00BF5B5C" w:rsidRDefault="00886A6C" w:rsidP="00886A6C">
      <w:pPr>
        <w:pStyle w:val="Heading3"/>
        <w:spacing w:after="240"/>
        <w:rPr>
          <w:lang w:val="es-ES"/>
        </w:rPr>
      </w:pPr>
      <w:r w:rsidRPr="00BF5B5C">
        <w:rPr>
          <w:lang w:val="es-ES"/>
        </w:rPr>
        <w:t>Panorama de los proyectos y actividades del AR VI</w:t>
      </w:r>
    </w:p>
    <w:p w14:paraId="3453DA48" w14:textId="77777777" w:rsidR="00886A6C" w:rsidRPr="00BF5B5C" w:rsidRDefault="00886A6C" w:rsidP="00886A6C">
      <w:pPr>
        <w:spacing w:before="240" w:after="120"/>
        <w:jc w:val="left"/>
        <w:rPr>
          <w:lang w:val="es-ES"/>
        </w:rPr>
      </w:pPr>
      <w:r w:rsidRPr="00BF5B5C">
        <w:rPr>
          <w:lang w:val="es-ES"/>
        </w:rPr>
        <w:t>La OMM ejecuta actualmente una cartera de 47 proyectos y actividades financiados con fondos extrapresupuestarios por un importe total de 130 millones de francos suizos. En el AR VI, la OMM ejecuta actualmente cuatro proyectos financiados por la UE que ascienden a 2 600 000 CHF de inversión en servicios meteorológicos, hídricos y climáticos en apoyo directo de los Miembros de la OMM. Además, la OMM lleva a cabo actividades en la región por un importe aproximado de 900 000 CHF a través de un proyecto global financiado por la Oficina de Ayuda Humanitaria (BHA) de USAID, con el objetivo de reforzar la alerta temprana hidrometeorológica frente a peligros múltiples y la creación de capacidad en todo el mundo (que se examina con más detalle más adelante en este documento). La OMM trabaja actualmente en el desarrollo de dos proyectos adicionales, por un importe potencial de unos 25 millones de CHF, para apoyar a la región.</w:t>
      </w:r>
    </w:p>
    <w:p w14:paraId="0FE9CEA8" w14:textId="21A4D759" w:rsidR="00886A6C" w:rsidRPr="00BF5B5C" w:rsidRDefault="00886A6C" w:rsidP="00886A6C">
      <w:pPr>
        <w:spacing w:before="240" w:after="120"/>
        <w:jc w:val="left"/>
        <w:rPr>
          <w:lang w:val="es-ES"/>
        </w:rPr>
      </w:pPr>
      <w:r w:rsidRPr="00BF5B5C">
        <w:rPr>
          <w:lang w:val="es-ES"/>
        </w:rPr>
        <w:t xml:space="preserve">Aunque una de las principales fuentes de financiación de los proyectos de la Secretaría, el Sistema de Alerta Temprana sobre Riesgos Climáticos (CREWS), no puede invertir en países de ingresos medios, lo que limita las oportunidades de la AR VI, otras fuentes, como el Fondo de Adaptación (AF), sí pueden hacerlo, y la OMM tiene un proyecto para la AR VI en preparación. La OMM también está colaborando con bancos multilaterales de desarrollo como el Banco Mundial para influir en sus prioridades y operaciones en el AR VI, por </w:t>
      </w:r>
      <w:proofErr w:type="gramStart"/>
      <w:r w:rsidRPr="00BF5B5C">
        <w:rPr>
          <w:lang w:val="es-ES"/>
        </w:rPr>
        <w:t>ejemplo</w:t>
      </w:r>
      <w:proofErr w:type="gramEnd"/>
      <w:r w:rsidRPr="00BF5B5C">
        <w:rPr>
          <w:lang w:val="es-ES"/>
        </w:rPr>
        <w:t xml:space="preserve"> mediante el reconocimiento previo de la importancia de los servicios de los SMHN para la adaptación al clima y el desarrollo (ejemplo: </w:t>
      </w:r>
      <w:hyperlink r:id="rId14" w:history="1">
        <w:proofErr w:type="spellStart"/>
        <w:r w:rsidRPr="00886A6C">
          <w:rPr>
            <w:rStyle w:val="Hyperlink"/>
            <w:lang w:val="es-ES"/>
          </w:rPr>
          <w:t>WeBa</w:t>
        </w:r>
        <w:proofErr w:type="spellEnd"/>
        <w:r w:rsidRPr="00886A6C">
          <w:rPr>
            <w:rStyle w:val="Hyperlink"/>
            <w:lang w:val="es-ES"/>
          </w:rPr>
          <w:t xml:space="preserve"> CCDR</w:t>
        </w:r>
      </w:hyperlink>
      <w:r w:rsidRPr="00BF5B5C">
        <w:rPr>
          <w:lang w:val="es-ES"/>
        </w:rPr>
        <w:t>).</w:t>
      </w:r>
    </w:p>
    <w:p w14:paraId="17A9B5FC" w14:textId="77777777" w:rsidR="00886A6C" w:rsidRPr="00BF5B5C" w:rsidRDefault="00886A6C" w:rsidP="00886A6C">
      <w:pPr>
        <w:shd w:val="clear" w:color="auto" w:fill="FFFFFF" w:themeFill="background1"/>
        <w:spacing w:before="240" w:after="120"/>
        <w:jc w:val="left"/>
        <w:rPr>
          <w:lang w:val="es-ES"/>
        </w:rPr>
      </w:pPr>
      <w:r w:rsidRPr="00BF5B5C">
        <w:rPr>
          <w:lang w:val="es-ES"/>
        </w:rPr>
        <w:t xml:space="preserve">Desde diciembre de 2020, la OMM tiene un acuerdo de trabajo con la CE que también cubre el apoyo a la implementación del Pacto Verde Europeo a través de actividades de investigación e innovación y misiones pertinentes de Horizonte Europa, como </w:t>
      </w:r>
      <w:proofErr w:type="spellStart"/>
      <w:r w:rsidRPr="00BF5B5C">
        <w:rPr>
          <w:lang w:val="es-ES"/>
        </w:rPr>
        <w:t>Mission</w:t>
      </w:r>
      <w:proofErr w:type="spellEnd"/>
      <w:r w:rsidRPr="00BF5B5C">
        <w:rPr>
          <w:lang w:val="es-ES"/>
        </w:rPr>
        <w:t xml:space="preserve"> </w:t>
      </w:r>
      <w:proofErr w:type="spellStart"/>
      <w:r w:rsidRPr="00BF5B5C">
        <w:rPr>
          <w:lang w:val="es-ES"/>
        </w:rPr>
        <w:t>Starfish</w:t>
      </w:r>
      <w:proofErr w:type="spellEnd"/>
      <w:r w:rsidRPr="00BF5B5C">
        <w:rPr>
          <w:lang w:val="es-ES"/>
        </w:rPr>
        <w:t xml:space="preserve"> 2030 y A </w:t>
      </w:r>
      <w:proofErr w:type="spellStart"/>
      <w:r w:rsidRPr="00BF5B5C">
        <w:rPr>
          <w:lang w:val="es-ES"/>
        </w:rPr>
        <w:t>Climate</w:t>
      </w:r>
      <w:proofErr w:type="spellEnd"/>
      <w:r w:rsidRPr="00BF5B5C">
        <w:rPr>
          <w:lang w:val="es-ES"/>
        </w:rPr>
        <w:t xml:space="preserve"> </w:t>
      </w:r>
      <w:proofErr w:type="spellStart"/>
      <w:r w:rsidRPr="00BF5B5C">
        <w:rPr>
          <w:lang w:val="es-ES"/>
        </w:rPr>
        <w:t>Resilient</w:t>
      </w:r>
      <w:proofErr w:type="spellEnd"/>
      <w:r w:rsidRPr="00BF5B5C">
        <w:rPr>
          <w:lang w:val="es-ES"/>
        </w:rPr>
        <w:t xml:space="preserve"> </w:t>
      </w:r>
      <w:proofErr w:type="spellStart"/>
      <w:r w:rsidRPr="00BF5B5C">
        <w:rPr>
          <w:lang w:val="es-ES"/>
        </w:rPr>
        <w:t>Europe</w:t>
      </w:r>
      <w:proofErr w:type="spellEnd"/>
      <w:r w:rsidRPr="00BF5B5C">
        <w:rPr>
          <w:lang w:val="es-ES"/>
        </w:rPr>
        <w:t xml:space="preserve"> 24. Las reuniones periódicas organizadas por la Oficina de Asuntos de la UE entre el Departamento de Ciencia e Innovación de la OMM y el Departamento de Investigación y Desarrollo Tecnológico de la CE han contribuido a orientar las convocatorias de financiación hacia las prioridades de la OMM.</w:t>
      </w:r>
    </w:p>
    <w:p w14:paraId="64B74BCD" w14:textId="77777777" w:rsidR="00886A6C" w:rsidRPr="00BF5B5C" w:rsidRDefault="00886A6C" w:rsidP="00886A6C">
      <w:pPr>
        <w:shd w:val="clear" w:color="auto" w:fill="FFFFFF" w:themeFill="background1"/>
        <w:spacing w:before="240" w:after="120"/>
        <w:jc w:val="left"/>
        <w:rPr>
          <w:lang w:val="es-ES"/>
        </w:rPr>
      </w:pPr>
      <w:r w:rsidRPr="00BF5B5C">
        <w:rPr>
          <w:lang w:val="es-ES"/>
        </w:rPr>
        <w:t>La OMM participa activamente en varios proyectos de investigación financiados por Horizonte Europa de la UE, centrados en el suministro de productos y servicios y en la mejora de las políticas nacionales en consonancia con la aplicación de la iniciativa EW4All, en particular en la AR VI, una región que comprende diversos Miembros de la OMM en diferentes etapas de desarrollo.</w:t>
      </w:r>
    </w:p>
    <w:p w14:paraId="66E3EDB5" w14:textId="77777777" w:rsidR="00886A6C" w:rsidRPr="00BF5B5C" w:rsidRDefault="00886A6C" w:rsidP="00886A6C">
      <w:pPr>
        <w:pStyle w:val="Heading3"/>
        <w:spacing w:after="240"/>
        <w:rPr>
          <w:lang w:val="es-ES"/>
        </w:rPr>
      </w:pPr>
      <w:r w:rsidRPr="00BF5B5C">
        <w:rPr>
          <w:lang w:val="es-ES"/>
        </w:rPr>
        <w:t xml:space="preserve">Proyecto </w:t>
      </w:r>
      <w:proofErr w:type="spellStart"/>
      <w:r w:rsidRPr="00BF5B5C">
        <w:rPr>
          <w:lang w:val="es-ES"/>
        </w:rPr>
        <w:t>MedEWSa</w:t>
      </w:r>
      <w:proofErr w:type="spellEnd"/>
    </w:p>
    <w:p w14:paraId="51232AB8" w14:textId="77777777" w:rsidR="00886A6C" w:rsidRPr="00BF5B5C" w:rsidRDefault="00886A6C" w:rsidP="00886A6C">
      <w:pPr>
        <w:shd w:val="clear" w:color="auto" w:fill="FFFFFF" w:themeFill="background1"/>
        <w:spacing w:before="240" w:after="120"/>
        <w:jc w:val="left"/>
        <w:rPr>
          <w:lang w:val="es-ES"/>
        </w:rPr>
      </w:pPr>
      <w:r w:rsidRPr="00BF5B5C">
        <w:rPr>
          <w:lang w:val="es-ES"/>
        </w:rPr>
        <w:t>El proyecto mediterráneo y paneuropeo de previsión y alerta temprana contra riesgos naturales (</w:t>
      </w:r>
      <w:proofErr w:type="spellStart"/>
      <w:r w:rsidRPr="00BF5B5C">
        <w:rPr>
          <w:lang w:val="es-ES"/>
        </w:rPr>
        <w:t>MedEWSa</w:t>
      </w:r>
      <w:proofErr w:type="spellEnd"/>
      <w:r w:rsidRPr="00BF5B5C">
        <w:rPr>
          <w:lang w:val="es-ES"/>
        </w:rPr>
        <w:t xml:space="preserve">) tiene una duración de 3 a 4 años y se desarrollará en paralelo a la iniciativa EW4All de 2024 a 2027. </w:t>
      </w:r>
      <w:proofErr w:type="spellStart"/>
      <w:r w:rsidRPr="00BF5B5C">
        <w:rPr>
          <w:lang w:val="es-ES"/>
        </w:rPr>
        <w:t>MedEWSa</w:t>
      </w:r>
      <w:proofErr w:type="spellEnd"/>
      <w:r w:rsidRPr="00BF5B5C">
        <w:rPr>
          <w:lang w:val="es-ES"/>
        </w:rPr>
        <w:t xml:space="preserve"> se centra explícitamente en la iniciativa EW4All e incluye SMHN de países como Egipto, Austria, Eslovaquia, Georgia e Italia. El proyecto pretende desarrollar una solución global paneuropeo-mediterráneo-africana que integre las MHEWS basadas en el impacto. Funciona a través de ocho sitios piloto emparejados, que vinculan regiones con peligros </w:t>
      </w:r>
      <w:proofErr w:type="gramStart"/>
      <w:r w:rsidRPr="00BF5B5C">
        <w:rPr>
          <w:lang w:val="es-ES"/>
        </w:rPr>
        <w:t>similares</w:t>
      </w:r>
      <w:proofErr w:type="gramEnd"/>
      <w:r w:rsidRPr="00BF5B5C">
        <w:rPr>
          <w:lang w:val="es-ES"/>
        </w:rPr>
        <w:t xml:space="preserve"> pero condiciones climáticas diferentes para fomentar la transferencia de conocimientos y el desarrollo de capacidades.</w:t>
      </w:r>
    </w:p>
    <w:p w14:paraId="4D2AB93F" w14:textId="77777777" w:rsidR="00886A6C" w:rsidRPr="00BF5B5C" w:rsidRDefault="00886A6C" w:rsidP="00886A6C">
      <w:pPr>
        <w:pStyle w:val="Heading3"/>
        <w:spacing w:after="240"/>
        <w:rPr>
          <w:lang w:val="es-ES"/>
        </w:rPr>
      </w:pPr>
      <w:r w:rsidRPr="00BF5B5C">
        <w:rPr>
          <w:lang w:val="es-ES"/>
        </w:rPr>
        <w:lastRenderedPageBreak/>
        <w:t>Proyectos CROSSEU y CARMINE</w:t>
      </w:r>
    </w:p>
    <w:p w14:paraId="7B118F02" w14:textId="77777777" w:rsidR="00886A6C" w:rsidRPr="00BF5B5C" w:rsidRDefault="00886A6C" w:rsidP="00886A6C">
      <w:pPr>
        <w:shd w:val="clear" w:color="auto" w:fill="FFFFFF" w:themeFill="background1"/>
        <w:spacing w:before="240" w:after="120"/>
        <w:jc w:val="left"/>
        <w:rPr>
          <w:lang w:val="es-ES"/>
        </w:rPr>
      </w:pPr>
      <w:r w:rsidRPr="00BF5B5C">
        <w:rPr>
          <w:lang w:val="es-ES"/>
        </w:rPr>
        <w:t>Tanto el Marco Intersectorial para la Resiliencia Socioeconómica al Cambio Climático y los Fenómenos Extremos en Europa (CROSSEU) como las Vías de Desarrollo Resilientes al Clima en las Regiones Metropolitanas de Europa (CARMINE) se centran en mejorar la resiliencia al cambio climático y a los fenómenos meteorológicos extremos en toda Europa. Estos proyectos pretenden desarrollar sistemas de apoyo a la toma de decisiones y gemelos digitales para respaldar las respuestas políticas y las estrategias de adaptación. CROSSEU aborda la resiliencia socioeconómica, proporcionando un marco sensible al clima y un sistema de apoyo a la toma de decisiones para Europa. CARMINE se centra específicamente en la resiliencia urbana, proporcionando apoyo a la toma de decisiones basadas en el impacto y la gobernanza climática multinivel.</w:t>
      </w:r>
    </w:p>
    <w:p w14:paraId="6BA839DB" w14:textId="77777777" w:rsidR="00886A6C" w:rsidRPr="00BF5B5C" w:rsidRDefault="00886A6C" w:rsidP="00886A6C">
      <w:pPr>
        <w:pStyle w:val="Heading3"/>
        <w:spacing w:after="240"/>
        <w:rPr>
          <w:lang w:val="es-ES"/>
        </w:rPr>
      </w:pPr>
      <w:r w:rsidRPr="00BF5B5C">
        <w:rPr>
          <w:lang w:val="es-ES"/>
        </w:rPr>
        <w:t>Proyecto FOCI</w:t>
      </w:r>
    </w:p>
    <w:p w14:paraId="2FC089C2" w14:textId="77777777" w:rsidR="00886A6C" w:rsidRPr="00BF5B5C" w:rsidRDefault="00886A6C" w:rsidP="00886A6C">
      <w:pPr>
        <w:shd w:val="clear" w:color="auto" w:fill="FFFFFF" w:themeFill="background1"/>
        <w:spacing w:before="240" w:after="120"/>
        <w:jc w:val="left"/>
        <w:rPr>
          <w:lang w:val="es-ES"/>
        </w:rPr>
      </w:pPr>
      <w:r w:rsidRPr="00BF5B5C">
        <w:rPr>
          <w:lang w:val="es-ES"/>
        </w:rPr>
        <w:t xml:space="preserve">El proyecto sobre los forzadores no CO2 y sus repercusiones en el clima, el tiempo, la calidad del aire y la salud (FOCI) tiene por objeto reducir las incertidumbres científicas sobre los forzadores </w:t>
      </w:r>
      <w:proofErr w:type="spellStart"/>
      <w:r w:rsidRPr="00BF5B5C">
        <w:rPr>
          <w:lang w:val="es-ES"/>
        </w:rPr>
        <w:t>radiativos</w:t>
      </w:r>
      <w:proofErr w:type="spellEnd"/>
      <w:r w:rsidRPr="00BF5B5C">
        <w:rPr>
          <w:lang w:val="es-ES"/>
        </w:rPr>
        <w:t xml:space="preserve"> no CO2. Financiado por el programa Horizonte de la UE, este proyecto a escala mundial pone a prueba modelos climáticos regionales en Europa antes de ampliarlos a América Latina y África. El FOCI, que se desarrollará entre 2022 y 2026, mejorará nuestra comprensión de los efectos de los forzantes distintos del CO2 en el clima y el tiempo.</w:t>
      </w:r>
    </w:p>
    <w:p w14:paraId="0871B36B" w14:textId="77777777" w:rsidR="00886A6C" w:rsidRPr="00BF5B5C" w:rsidRDefault="00886A6C" w:rsidP="00886A6C">
      <w:pPr>
        <w:pStyle w:val="Heading3"/>
        <w:spacing w:after="240"/>
        <w:rPr>
          <w:b w:val="0"/>
          <w:bCs w:val="0"/>
          <w:lang w:val="es-ES"/>
        </w:rPr>
      </w:pPr>
      <w:r w:rsidRPr="00BF5B5C">
        <w:rPr>
          <w:lang w:val="es-ES"/>
        </w:rPr>
        <w:t>Proyecto Climateurope2</w:t>
      </w:r>
    </w:p>
    <w:p w14:paraId="0CFCBE7B" w14:textId="77777777" w:rsidR="00886A6C" w:rsidRPr="00BF5B5C" w:rsidRDefault="00886A6C" w:rsidP="00886A6C">
      <w:pPr>
        <w:shd w:val="clear" w:color="auto" w:fill="FFFFFF" w:themeFill="background1"/>
        <w:spacing w:before="240" w:after="120"/>
        <w:jc w:val="left"/>
        <w:rPr>
          <w:lang w:val="es-ES"/>
        </w:rPr>
      </w:pPr>
      <w:r w:rsidRPr="00BF5B5C">
        <w:rPr>
          <w:lang w:val="es-ES"/>
        </w:rPr>
        <w:t xml:space="preserve">Climateurope2, un proyecto financiado por la UE que se desarrollará entre 2022 y 2027, se centra en la normalización de los servicios climáticos en toda Europa y fuera de ella. El proyecto pretende mejorar la calidad y adopción de los servicios climáticos mediante la elaboración de directrices, criterios de certificación y buenas prácticas acordes con los principios de </w:t>
      </w:r>
      <w:proofErr w:type="spellStart"/>
      <w:r w:rsidRPr="00BF5B5C">
        <w:rPr>
          <w:lang w:val="es-ES"/>
        </w:rPr>
        <w:t>encontrabilidad</w:t>
      </w:r>
      <w:proofErr w:type="spellEnd"/>
      <w:r w:rsidRPr="00BF5B5C">
        <w:rPr>
          <w:lang w:val="es-ES"/>
        </w:rPr>
        <w:t>, accesibilidad, interoperabilidad y reutilización (FAIR). Las contribuciones de la OMM incluyen el establecimiento de procedimientos de verificación de datos, metodologías de gestión de la calidad y la evaluación del panorama actual de los servicios climáticos.</w:t>
      </w:r>
    </w:p>
    <w:p w14:paraId="57242769" w14:textId="77777777" w:rsidR="00886A6C" w:rsidRPr="00BF5B5C" w:rsidRDefault="00886A6C" w:rsidP="00886A6C">
      <w:pPr>
        <w:pStyle w:val="Heading3"/>
        <w:spacing w:after="240"/>
        <w:rPr>
          <w:b w:val="0"/>
          <w:bCs w:val="0"/>
          <w:color w:val="000000" w:themeColor="text1"/>
          <w:lang w:val="es-ES"/>
        </w:rPr>
      </w:pPr>
      <w:r w:rsidRPr="00BF5B5C">
        <w:rPr>
          <w:lang w:val="es-ES"/>
        </w:rPr>
        <w:t>USAID Alerta Temprana Hidrometeorológica Multirriesgo y Desarrollo de Capacidades</w:t>
      </w:r>
    </w:p>
    <w:p w14:paraId="2108BFDD" w14:textId="77777777" w:rsidR="00886A6C" w:rsidRPr="00BF5B5C" w:rsidRDefault="00886A6C" w:rsidP="00886A6C">
      <w:pPr>
        <w:pStyle w:val="paragraph"/>
        <w:spacing w:before="240" w:beforeAutospacing="0" w:after="120" w:afterAutospacing="0"/>
        <w:rPr>
          <w:rStyle w:val="normaltextrun"/>
          <w:rFonts w:ascii="Verdana" w:hAnsi="Verdana" w:cs="Segoe UI"/>
          <w:sz w:val="20"/>
          <w:szCs w:val="20"/>
          <w:lang w:val="es-ES"/>
        </w:rPr>
      </w:pPr>
      <w:r w:rsidRPr="00BF5B5C">
        <w:rPr>
          <w:rFonts w:ascii="Verdana" w:hAnsi="Verdana"/>
          <w:sz w:val="20"/>
          <w:szCs w:val="20"/>
          <w:lang w:val="es-ES"/>
        </w:rPr>
        <w:t>La iniciativa "</w:t>
      </w:r>
      <w:proofErr w:type="spellStart"/>
      <w:r w:rsidRPr="00BF5B5C">
        <w:rPr>
          <w:rFonts w:ascii="Verdana" w:hAnsi="Verdana"/>
          <w:sz w:val="20"/>
          <w:szCs w:val="20"/>
          <w:lang w:val="es-ES"/>
        </w:rPr>
        <w:t>Multi-hazard</w:t>
      </w:r>
      <w:proofErr w:type="spellEnd"/>
      <w:r w:rsidRPr="00BF5B5C">
        <w:rPr>
          <w:rFonts w:ascii="Verdana" w:hAnsi="Verdana"/>
          <w:sz w:val="20"/>
          <w:szCs w:val="20"/>
          <w:lang w:val="es-ES"/>
        </w:rPr>
        <w:t xml:space="preserve"> </w:t>
      </w:r>
      <w:proofErr w:type="spellStart"/>
      <w:r w:rsidRPr="00BF5B5C">
        <w:rPr>
          <w:rFonts w:ascii="Verdana" w:hAnsi="Verdana"/>
          <w:sz w:val="20"/>
          <w:szCs w:val="20"/>
          <w:lang w:val="es-ES"/>
        </w:rPr>
        <w:t>Hydrometeorological</w:t>
      </w:r>
      <w:proofErr w:type="spellEnd"/>
      <w:r w:rsidRPr="00BF5B5C">
        <w:rPr>
          <w:rFonts w:ascii="Verdana" w:hAnsi="Verdana"/>
          <w:sz w:val="20"/>
          <w:szCs w:val="20"/>
          <w:lang w:val="es-ES"/>
        </w:rPr>
        <w:t xml:space="preserve"> </w:t>
      </w:r>
      <w:proofErr w:type="spellStart"/>
      <w:r w:rsidRPr="00BF5B5C">
        <w:rPr>
          <w:rFonts w:ascii="Verdana" w:hAnsi="Verdana"/>
          <w:sz w:val="20"/>
          <w:szCs w:val="20"/>
          <w:lang w:val="es-ES"/>
        </w:rPr>
        <w:t>Early</w:t>
      </w:r>
      <w:proofErr w:type="spellEnd"/>
      <w:r w:rsidRPr="00BF5B5C">
        <w:rPr>
          <w:rFonts w:ascii="Verdana" w:hAnsi="Verdana"/>
          <w:sz w:val="20"/>
          <w:szCs w:val="20"/>
          <w:lang w:val="es-ES"/>
        </w:rPr>
        <w:t xml:space="preserve"> </w:t>
      </w:r>
      <w:proofErr w:type="spellStart"/>
      <w:r w:rsidRPr="00BF5B5C">
        <w:rPr>
          <w:rFonts w:ascii="Verdana" w:hAnsi="Verdana"/>
          <w:sz w:val="20"/>
          <w:szCs w:val="20"/>
          <w:lang w:val="es-ES"/>
        </w:rPr>
        <w:t>Warning</w:t>
      </w:r>
      <w:proofErr w:type="spellEnd"/>
      <w:r w:rsidRPr="00BF5B5C">
        <w:rPr>
          <w:rFonts w:ascii="Verdana" w:hAnsi="Verdana"/>
          <w:sz w:val="20"/>
          <w:szCs w:val="20"/>
          <w:lang w:val="es-ES"/>
        </w:rPr>
        <w:t xml:space="preserve"> and </w:t>
      </w:r>
      <w:proofErr w:type="spellStart"/>
      <w:r w:rsidRPr="00BF5B5C">
        <w:rPr>
          <w:rFonts w:ascii="Verdana" w:hAnsi="Verdana"/>
          <w:sz w:val="20"/>
          <w:szCs w:val="20"/>
          <w:lang w:val="es-ES"/>
        </w:rPr>
        <w:t>Capacity</w:t>
      </w:r>
      <w:proofErr w:type="spellEnd"/>
      <w:r w:rsidRPr="00BF5B5C">
        <w:rPr>
          <w:rFonts w:ascii="Verdana" w:hAnsi="Verdana"/>
          <w:sz w:val="20"/>
          <w:szCs w:val="20"/>
          <w:lang w:val="es-ES"/>
        </w:rPr>
        <w:t xml:space="preserve"> </w:t>
      </w:r>
      <w:proofErr w:type="spellStart"/>
      <w:r w:rsidRPr="00BF5B5C">
        <w:rPr>
          <w:rFonts w:ascii="Verdana" w:hAnsi="Verdana"/>
          <w:sz w:val="20"/>
          <w:szCs w:val="20"/>
          <w:lang w:val="es-ES"/>
        </w:rPr>
        <w:t>Building</w:t>
      </w:r>
      <w:proofErr w:type="spellEnd"/>
      <w:r w:rsidRPr="00BF5B5C">
        <w:rPr>
          <w:rFonts w:ascii="Verdana" w:hAnsi="Verdana"/>
          <w:sz w:val="20"/>
          <w:szCs w:val="20"/>
          <w:lang w:val="es-ES"/>
        </w:rPr>
        <w:t>" está financiada por USAID/BHA con 25 millones de dólares. El objetivo de esta iniciativa es colaborar en el avance de los sistemas de alerta temprana de extremo a extremo y de la capacidad hidrometeorológica para que los países puedan tomar medidas tempranas y reducir el riesgo de peligros relacionados con el clima, el tiempo y el agua, como inundaciones y crecidas repentinas, ciclones, condiciones meteorológicas adversas, mareas tormentosas, temperaturas extremas, sequías, variabilidad y cambio climáticos y otros desastres hidrometeorológicos. Ayudará a los países a reducir el impacto de los peligros relacionados con el tiempo, el clima y el agua a través de la promoción de los sistemas de alerta temprana, el desarrollo de herramientas, orientaciones y planes, la previsión de eventos y su impacto, la creación de capacidades y otras acciones que permitan a las personas acceder a la alerta temprana de estos eventos para tomar medidas tempranas, que es un interés mutuo de la OMM y USAID/BHA. La iniciativa tiene dos grandes áreas de intervención: MHEWS y Fomento de la Reducción del Riesgo de Inundación. La iniciativa tiene una cobertura mundial, por lo que habrá intervenciones en la AR VI.</w:t>
      </w:r>
    </w:p>
    <w:p w14:paraId="67B53728" w14:textId="77777777" w:rsidR="00886A6C" w:rsidRPr="00BF5B5C" w:rsidRDefault="00886A6C" w:rsidP="00886A6C">
      <w:pPr>
        <w:pStyle w:val="Heading3"/>
        <w:spacing w:after="240"/>
        <w:rPr>
          <w:lang w:val="es-ES"/>
        </w:rPr>
      </w:pPr>
      <w:proofErr w:type="spellStart"/>
      <w:r w:rsidRPr="00BF5B5C">
        <w:rPr>
          <w:lang w:val="es-ES"/>
        </w:rPr>
        <w:t>Voluntary</w:t>
      </w:r>
      <w:proofErr w:type="spellEnd"/>
      <w:r w:rsidRPr="00BF5B5C">
        <w:rPr>
          <w:lang w:val="es-ES"/>
        </w:rPr>
        <w:t xml:space="preserve"> </w:t>
      </w:r>
      <w:proofErr w:type="spellStart"/>
      <w:r w:rsidRPr="00BF5B5C">
        <w:rPr>
          <w:lang w:val="es-ES"/>
        </w:rPr>
        <w:t>Cooperation</w:t>
      </w:r>
      <w:proofErr w:type="spellEnd"/>
      <w:r w:rsidRPr="00BF5B5C">
        <w:rPr>
          <w:lang w:val="es-ES"/>
        </w:rPr>
        <w:t xml:space="preserve"> </w:t>
      </w:r>
      <w:proofErr w:type="spellStart"/>
      <w:r w:rsidRPr="00BF5B5C">
        <w:rPr>
          <w:lang w:val="es-ES"/>
        </w:rPr>
        <w:t>Programme</w:t>
      </w:r>
      <w:proofErr w:type="spellEnd"/>
      <w:r w:rsidRPr="00BF5B5C">
        <w:rPr>
          <w:lang w:val="es-ES"/>
        </w:rPr>
        <w:t xml:space="preserve"> (VCP)</w:t>
      </w:r>
    </w:p>
    <w:p w14:paraId="2E11EA60" w14:textId="77777777" w:rsidR="00886A6C" w:rsidRPr="00BF5B5C" w:rsidRDefault="00886A6C" w:rsidP="00886A6C">
      <w:pPr>
        <w:shd w:val="clear" w:color="auto" w:fill="FFFFFF" w:themeFill="background1"/>
        <w:spacing w:before="240" w:after="120"/>
        <w:jc w:val="left"/>
        <w:rPr>
          <w:rFonts w:eastAsia="Verdana" w:cs="Verdana"/>
          <w:color w:val="000000" w:themeColor="text1"/>
          <w:lang w:val="es-ES"/>
        </w:rPr>
      </w:pPr>
      <w:r w:rsidRPr="00BF5B5C">
        <w:rPr>
          <w:lang w:val="es-ES"/>
        </w:rPr>
        <w:t xml:space="preserve">La OMM también fomenta y facilita el apoyo y la colaboración entre los SMHN a través del PCV, que se centra en satisfacer las necesidades urgentes de los Miembros mediante financiación </w:t>
      </w:r>
      <w:r w:rsidRPr="00BF5B5C">
        <w:rPr>
          <w:lang w:val="es-ES"/>
        </w:rPr>
        <w:lastRenderedPageBreak/>
        <w:t>directa, pequeñas subvenciones y transferencia de conocimientos especializados y tecnología entre los Miembros. Desde su creación, el programa ha proporcionado un apoyo significativo, incluso a los miembros de la AR VI. Su éxito se debe en gran medida a la voluntad de los Miembros de la OMM de compartir los conocimientos científicos y los últimos avances tecnológicos. Mientras que los países donantes aportan equipos, becas, conocimientos técnicos y financiación, los países receptores garantizan su uso eficaz aportando considerables contribuciones de contrapartida procedentes de recursos nacionales, como infraestructuras locales, personal y costes operativos. La OMM se esfuerza por ampliar el PCV creando más vínculos entre los SMHN, incorporando más Miembros al programa y reforzando así el espíritu de cooperación y amistad.</w:t>
      </w:r>
    </w:p>
    <w:p w14:paraId="00592D7C" w14:textId="77777777" w:rsidR="00886A6C" w:rsidRPr="00BF5B5C" w:rsidRDefault="00886A6C" w:rsidP="00886A6C">
      <w:pPr>
        <w:keepNext/>
        <w:keepLines/>
        <w:shd w:val="clear" w:color="auto" w:fill="FFFFFF" w:themeFill="background1"/>
        <w:spacing w:before="240" w:after="120"/>
        <w:jc w:val="left"/>
        <w:rPr>
          <w:rFonts w:eastAsia="Verdana" w:cs="Verdana"/>
          <w:color w:val="000000" w:themeColor="text1"/>
          <w:lang w:val="es-ES"/>
        </w:rPr>
      </w:pPr>
      <w:r w:rsidRPr="00BF5B5C">
        <w:rPr>
          <w:lang w:val="es-ES"/>
        </w:rPr>
        <w:t>En el AR VI hay actualmente tres proyectos activos:</w:t>
      </w:r>
    </w:p>
    <w:tbl>
      <w:tblPr>
        <w:tblStyle w:val="TableGrid"/>
        <w:tblW w:w="5000" w:type="pct"/>
        <w:tblLayout w:type="fixed"/>
        <w:tblLook w:val="06A0" w:firstRow="1" w:lastRow="0" w:firstColumn="1" w:lastColumn="0" w:noHBand="1" w:noVBand="1"/>
      </w:tblPr>
      <w:tblGrid>
        <w:gridCol w:w="1525"/>
        <w:gridCol w:w="946"/>
        <w:gridCol w:w="5922"/>
        <w:gridCol w:w="1236"/>
      </w:tblGrid>
      <w:tr w:rsidR="00886A6C" w:rsidRPr="00BF5B5C" w14:paraId="68A120D6" w14:textId="77777777" w:rsidTr="000D3A21">
        <w:trPr>
          <w:trHeight w:val="498"/>
          <w:tblHeader/>
        </w:trPr>
        <w:tc>
          <w:tcPr>
            <w:tcW w:w="792" w:type="pct"/>
            <w:shd w:val="clear" w:color="auto" w:fill="F0F9FE"/>
          </w:tcPr>
          <w:p w14:paraId="7832A1E5" w14:textId="77777777" w:rsidR="00886A6C" w:rsidRPr="00BF5B5C" w:rsidRDefault="00886A6C" w:rsidP="000D3A21">
            <w:pPr>
              <w:keepNext/>
              <w:spacing w:before="120" w:after="120"/>
              <w:jc w:val="center"/>
              <w:rPr>
                <w:rFonts w:eastAsia="Verdana" w:cs="Verdana"/>
                <w:i/>
                <w:iCs/>
                <w:color w:val="000000" w:themeColor="text1"/>
              </w:rPr>
            </w:pPr>
            <w:r w:rsidRPr="00BF5B5C">
              <w:rPr>
                <w:i/>
                <w:iCs/>
                <w:lang w:val="es-ES"/>
              </w:rPr>
              <w:t>Miembros</w:t>
            </w:r>
          </w:p>
        </w:tc>
        <w:tc>
          <w:tcPr>
            <w:tcW w:w="491" w:type="pct"/>
            <w:shd w:val="clear" w:color="auto" w:fill="F0F9FE"/>
          </w:tcPr>
          <w:p w14:paraId="4979C2B5" w14:textId="77777777" w:rsidR="00886A6C" w:rsidRPr="00BF5B5C" w:rsidRDefault="00886A6C" w:rsidP="000D3A21">
            <w:pPr>
              <w:spacing w:before="120" w:after="120"/>
              <w:jc w:val="center"/>
              <w:rPr>
                <w:rFonts w:eastAsia="Verdana" w:cs="Verdana"/>
                <w:i/>
                <w:iCs/>
                <w:color w:val="000000" w:themeColor="text1"/>
              </w:rPr>
            </w:pPr>
            <w:r w:rsidRPr="00BF5B5C">
              <w:rPr>
                <w:i/>
                <w:iCs/>
                <w:lang w:val="es-ES"/>
              </w:rPr>
              <w:t>Año</w:t>
            </w:r>
          </w:p>
        </w:tc>
        <w:tc>
          <w:tcPr>
            <w:tcW w:w="3075" w:type="pct"/>
            <w:shd w:val="clear" w:color="auto" w:fill="F0F9FE"/>
          </w:tcPr>
          <w:p w14:paraId="5F2F6CFF" w14:textId="77777777" w:rsidR="00886A6C" w:rsidRPr="00BF5B5C" w:rsidRDefault="00886A6C" w:rsidP="000D3A21">
            <w:pPr>
              <w:pStyle w:val="ListParagraph"/>
              <w:spacing w:before="120" w:after="120"/>
              <w:contextualSpacing w:val="0"/>
              <w:jc w:val="center"/>
              <w:rPr>
                <w:rFonts w:eastAsia="Verdana" w:cs="Verdana"/>
                <w:i/>
                <w:iCs/>
                <w:color w:val="000000" w:themeColor="text1"/>
              </w:rPr>
            </w:pPr>
            <w:r w:rsidRPr="00BF5B5C">
              <w:rPr>
                <w:i/>
                <w:iCs/>
                <w:lang w:val="es-ES"/>
              </w:rPr>
              <w:t>Proyecto</w:t>
            </w:r>
          </w:p>
        </w:tc>
        <w:tc>
          <w:tcPr>
            <w:tcW w:w="642" w:type="pct"/>
            <w:shd w:val="clear" w:color="auto" w:fill="F0F9FE"/>
          </w:tcPr>
          <w:p w14:paraId="39756B46" w14:textId="77777777" w:rsidR="00886A6C" w:rsidRPr="00BF5B5C" w:rsidRDefault="00886A6C" w:rsidP="000D3A21">
            <w:pPr>
              <w:spacing w:before="120" w:after="120"/>
              <w:jc w:val="center"/>
              <w:rPr>
                <w:rFonts w:eastAsia="Verdana" w:cs="Verdana"/>
                <w:i/>
                <w:iCs/>
                <w:color w:val="000000" w:themeColor="text1"/>
              </w:rPr>
            </w:pPr>
            <w:r w:rsidRPr="00BF5B5C">
              <w:rPr>
                <w:i/>
                <w:iCs/>
                <w:lang w:val="es-ES"/>
              </w:rPr>
              <w:t>Observaciones</w:t>
            </w:r>
          </w:p>
        </w:tc>
      </w:tr>
      <w:tr w:rsidR="00886A6C" w:rsidRPr="00BF5B5C" w14:paraId="241D1FA5" w14:textId="77777777" w:rsidTr="000D3A21">
        <w:trPr>
          <w:trHeight w:val="300"/>
        </w:trPr>
        <w:tc>
          <w:tcPr>
            <w:tcW w:w="792" w:type="pct"/>
            <w:vAlign w:val="center"/>
          </w:tcPr>
          <w:p w14:paraId="0875ABBB" w14:textId="77777777" w:rsidR="00886A6C" w:rsidRPr="00BF5B5C" w:rsidRDefault="00886A6C" w:rsidP="000D3A21">
            <w:pPr>
              <w:spacing w:before="120" w:after="120"/>
              <w:jc w:val="left"/>
              <w:rPr>
                <w:rFonts w:eastAsia="Verdana" w:cs="Verdana"/>
                <w:color w:val="000000" w:themeColor="text1"/>
              </w:rPr>
            </w:pPr>
            <w:r w:rsidRPr="00BF5B5C">
              <w:rPr>
                <w:lang w:val="es-ES"/>
              </w:rPr>
              <w:t>Macedonia del Norte</w:t>
            </w:r>
          </w:p>
        </w:tc>
        <w:tc>
          <w:tcPr>
            <w:tcW w:w="491" w:type="pct"/>
            <w:vAlign w:val="center"/>
          </w:tcPr>
          <w:p w14:paraId="2549CD52" w14:textId="77777777" w:rsidR="00886A6C" w:rsidRPr="00BF5B5C" w:rsidRDefault="00886A6C" w:rsidP="000D3A21">
            <w:pPr>
              <w:spacing w:before="120" w:after="120"/>
              <w:jc w:val="left"/>
              <w:rPr>
                <w:rFonts w:eastAsia="Verdana" w:cs="Verdana"/>
                <w:color w:val="000000" w:themeColor="text1"/>
              </w:rPr>
            </w:pPr>
            <w:r w:rsidRPr="00BF5B5C">
              <w:rPr>
                <w:lang w:val="es-ES"/>
              </w:rPr>
              <w:t>2018</w:t>
            </w:r>
          </w:p>
        </w:tc>
        <w:tc>
          <w:tcPr>
            <w:tcW w:w="3075" w:type="pct"/>
            <w:vAlign w:val="center"/>
          </w:tcPr>
          <w:p w14:paraId="1B5698F6" w14:textId="77777777" w:rsidR="00886A6C" w:rsidRPr="00BF5B5C" w:rsidRDefault="00886A6C" w:rsidP="000D3A21">
            <w:pPr>
              <w:spacing w:before="120" w:after="120"/>
              <w:jc w:val="left"/>
              <w:rPr>
                <w:rFonts w:eastAsia="Calibri" w:cs="Calibri"/>
                <w:color w:val="000000" w:themeColor="text1"/>
                <w:lang w:val="es-ES"/>
              </w:rPr>
            </w:pPr>
            <w:r w:rsidRPr="00BF5B5C">
              <w:rPr>
                <w:lang w:val="es-ES"/>
              </w:rPr>
              <w:t>Adquisición de hardware para el paquete de comunicación y aplicación meteorológica (METCAP) Más software y hardware de visualización, e instalación de los modelos no hidrostáticos NMM-B y NMM-E.</w:t>
            </w:r>
          </w:p>
        </w:tc>
        <w:tc>
          <w:tcPr>
            <w:tcW w:w="642" w:type="pct"/>
            <w:vAlign w:val="center"/>
          </w:tcPr>
          <w:p w14:paraId="6436C47F" w14:textId="77777777" w:rsidR="00886A6C" w:rsidRPr="00BF5B5C" w:rsidRDefault="00886A6C" w:rsidP="000D3A21">
            <w:pPr>
              <w:spacing w:before="120" w:after="120"/>
              <w:jc w:val="left"/>
              <w:rPr>
                <w:rFonts w:eastAsia="Verdana" w:cs="Verdana"/>
                <w:color w:val="000000" w:themeColor="text1"/>
              </w:rPr>
            </w:pPr>
            <w:r w:rsidRPr="00BF5B5C">
              <w:rPr>
                <w:lang w:val="es-ES"/>
              </w:rPr>
              <w:t>En curso</w:t>
            </w:r>
          </w:p>
        </w:tc>
      </w:tr>
      <w:tr w:rsidR="00886A6C" w:rsidRPr="00BF5B5C" w14:paraId="0DE0B363" w14:textId="77777777" w:rsidTr="000D3A21">
        <w:trPr>
          <w:trHeight w:val="300"/>
        </w:trPr>
        <w:tc>
          <w:tcPr>
            <w:tcW w:w="792" w:type="pct"/>
            <w:vAlign w:val="center"/>
          </w:tcPr>
          <w:p w14:paraId="0C53B8D0" w14:textId="77777777" w:rsidR="00886A6C" w:rsidRPr="00BF5B5C" w:rsidRDefault="00886A6C" w:rsidP="000D3A21">
            <w:pPr>
              <w:spacing w:before="120" w:after="120"/>
              <w:jc w:val="left"/>
              <w:rPr>
                <w:rFonts w:eastAsia="Verdana" w:cs="Verdana"/>
                <w:color w:val="000000" w:themeColor="text1"/>
              </w:rPr>
            </w:pPr>
            <w:r w:rsidRPr="00BF5B5C">
              <w:rPr>
                <w:lang w:val="es-ES"/>
              </w:rPr>
              <w:t>República de Moldova</w:t>
            </w:r>
          </w:p>
        </w:tc>
        <w:tc>
          <w:tcPr>
            <w:tcW w:w="491" w:type="pct"/>
            <w:vAlign w:val="center"/>
          </w:tcPr>
          <w:p w14:paraId="02E5BC10" w14:textId="77777777" w:rsidR="00886A6C" w:rsidRPr="00BF5B5C" w:rsidRDefault="00886A6C" w:rsidP="000D3A21">
            <w:pPr>
              <w:spacing w:before="120" w:after="120"/>
              <w:jc w:val="left"/>
              <w:rPr>
                <w:rFonts w:eastAsia="Verdana" w:cs="Verdana"/>
                <w:color w:val="000000" w:themeColor="text1"/>
              </w:rPr>
            </w:pPr>
            <w:r w:rsidRPr="00BF5B5C">
              <w:rPr>
                <w:lang w:val="es-ES"/>
              </w:rPr>
              <w:t>2022</w:t>
            </w:r>
          </w:p>
        </w:tc>
        <w:tc>
          <w:tcPr>
            <w:tcW w:w="3075" w:type="pct"/>
            <w:vAlign w:val="center"/>
          </w:tcPr>
          <w:p w14:paraId="426C63A4" w14:textId="77777777" w:rsidR="00886A6C" w:rsidRPr="00BF5B5C" w:rsidRDefault="00886A6C" w:rsidP="000D3A21">
            <w:pPr>
              <w:spacing w:before="120" w:after="120"/>
              <w:jc w:val="left"/>
              <w:rPr>
                <w:rFonts w:eastAsia="Verdana" w:cs="Verdana"/>
                <w:lang w:val="es-ES"/>
              </w:rPr>
            </w:pPr>
            <w:r w:rsidRPr="00BF5B5C">
              <w:rPr>
                <w:lang w:val="es-ES"/>
              </w:rPr>
              <w:t xml:space="preserve">Ayuda para reforzar la capacidad de prevención de catástrofes en el río transfronterizo </w:t>
            </w:r>
            <w:proofErr w:type="spellStart"/>
            <w:r w:rsidRPr="00BF5B5C">
              <w:rPr>
                <w:lang w:val="es-ES"/>
              </w:rPr>
              <w:t>Nistru</w:t>
            </w:r>
            <w:proofErr w:type="spellEnd"/>
            <w:r w:rsidRPr="00BF5B5C">
              <w:rPr>
                <w:lang w:val="es-ES"/>
              </w:rPr>
              <w:t xml:space="preserve"> en relación con la guerra en Ucrania</w:t>
            </w:r>
          </w:p>
        </w:tc>
        <w:tc>
          <w:tcPr>
            <w:tcW w:w="642" w:type="pct"/>
            <w:vAlign w:val="center"/>
          </w:tcPr>
          <w:p w14:paraId="53375C67" w14:textId="77777777" w:rsidR="00886A6C" w:rsidRPr="00BF5B5C" w:rsidRDefault="00886A6C" w:rsidP="000D3A21">
            <w:pPr>
              <w:spacing w:before="120" w:after="120"/>
              <w:jc w:val="left"/>
              <w:rPr>
                <w:rFonts w:eastAsia="Verdana" w:cs="Verdana"/>
                <w:color w:val="000000" w:themeColor="text1"/>
              </w:rPr>
            </w:pPr>
            <w:r w:rsidRPr="00BF5B5C">
              <w:rPr>
                <w:lang w:val="es-ES"/>
              </w:rPr>
              <w:t>Finalizado</w:t>
            </w:r>
          </w:p>
        </w:tc>
      </w:tr>
      <w:tr w:rsidR="00886A6C" w:rsidRPr="00BF5B5C" w14:paraId="2087999E" w14:textId="77777777" w:rsidTr="000D3A21">
        <w:trPr>
          <w:trHeight w:val="300"/>
        </w:trPr>
        <w:tc>
          <w:tcPr>
            <w:tcW w:w="792" w:type="pct"/>
            <w:vAlign w:val="center"/>
          </w:tcPr>
          <w:p w14:paraId="004E99E3" w14:textId="77777777" w:rsidR="00886A6C" w:rsidRPr="00BF5B5C" w:rsidRDefault="00886A6C" w:rsidP="000D3A21">
            <w:pPr>
              <w:spacing w:before="120" w:after="120"/>
              <w:jc w:val="left"/>
              <w:rPr>
                <w:rFonts w:eastAsia="Verdana" w:cs="Verdana"/>
                <w:color w:val="000000" w:themeColor="text1"/>
              </w:rPr>
            </w:pPr>
            <w:r w:rsidRPr="00BF5B5C">
              <w:rPr>
                <w:lang w:val="es-ES"/>
              </w:rPr>
              <w:t xml:space="preserve">Armenia </w:t>
            </w:r>
          </w:p>
        </w:tc>
        <w:tc>
          <w:tcPr>
            <w:tcW w:w="491" w:type="pct"/>
            <w:vAlign w:val="center"/>
          </w:tcPr>
          <w:p w14:paraId="6272406D" w14:textId="77777777" w:rsidR="00886A6C" w:rsidRPr="00BF5B5C" w:rsidRDefault="00886A6C" w:rsidP="000D3A21">
            <w:pPr>
              <w:spacing w:before="120" w:after="120"/>
              <w:jc w:val="left"/>
              <w:rPr>
                <w:rFonts w:eastAsia="Verdana" w:cs="Verdana"/>
                <w:color w:val="000000" w:themeColor="text1"/>
              </w:rPr>
            </w:pPr>
            <w:r w:rsidRPr="00BF5B5C">
              <w:rPr>
                <w:lang w:val="es-ES"/>
              </w:rPr>
              <w:t>2024</w:t>
            </w:r>
          </w:p>
        </w:tc>
        <w:tc>
          <w:tcPr>
            <w:tcW w:w="3075" w:type="pct"/>
            <w:vAlign w:val="center"/>
          </w:tcPr>
          <w:p w14:paraId="541E80D2" w14:textId="77777777" w:rsidR="00886A6C" w:rsidRPr="00BF5B5C" w:rsidRDefault="00886A6C" w:rsidP="000D3A21">
            <w:pPr>
              <w:spacing w:before="120" w:after="120"/>
              <w:jc w:val="left"/>
              <w:rPr>
                <w:rFonts w:eastAsia="Verdana" w:cs="Verdana"/>
                <w:color w:val="000000" w:themeColor="text1"/>
                <w:lang w:val="es-ES"/>
              </w:rPr>
            </w:pPr>
            <w:r w:rsidRPr="00BF5B5C">
              <w:rPr>
                <w:lang w:val="es-ES"/>
              </w:rPr>
              <w:t xml:space="preserve">Cambios estructurales en el </w:t>
            </w:r>
            <w:proofErr w:type="spellStart"/>
            <w:r w:rsidRPr="00BF5B5C">
              <w:rPr>
                <w:lang w:val="es-ES"/>
              </w:rPr>
              <w:t>Armhydromet</w:t>
            </w:r>
            <w:proofErr w:type="spellEnd"/>
          </w:p>
        </w:tc>
        <w:tc>
          <w:tcPr>
            <w:tcW w:w="642" w:type="pct"/>
            <w:vAlign w:val="center"/>
          </w:tcPr>
          <w:p w14:paraId="3140DDBE" w14:textId="77777777" w:rsidR="00886A6C" w:rsidRPr="00BF5B5C" w:rsidRDefault="00886A6C" w:rsidP="000D3A21">
            <w:pPr>
              <w:spacing w:before="120" w:after="120"/>
              <w:jc w:val="left"/>
              <w:rPr>
                <w:rFonts w:eastAsia="Verdana" w:cs="Verdana"/>
                <w:color w:val="000000" w:themeColor="text1"/>
              </w:rPr>
            </w:pPr>
            <w:r w:rsidRPr="00BF5B5C">
              <w:rPr>
                <w:lang w:val="es-ES"/>
              </w:rPr>
              <w:t>En curso</w:t>
            </w:r>
          </w:p>
        </w:tc>
      </w:tr>
    </w:tbl>
    <w:p w14:paraId="0D1D02D7" w14:textId="77777777" w:rsidR="00886A6C" w:rsidRPr="00BF5B5C" w:rsidRDefault="00886A6C" w:rsidP="00886A6C">
      <w:pPr>
        <w:pStyle w:val="WMOSubTitle1"/>
      </w:pPr>
    </w:p>
    <w:p w14:paraId="2D02ADAD" w14:textId="77777777" w:rsidR="00886A6C" w:rsidRPr="00BF5B5C" w:rsidRDefault="00886A6C" w:rsidP="00886A6C">
      <w:pPr>
        <w:pStyle w:val="WMOSubTitle1"/>
        <w:rPr>
          <w:lang w:val="es-ES"/>
        </w:rPr>
      </w:pPr>
      <w:r w:rsidRPr="00BF5B5C">
        <w:rPr>
          <w:bCs/>
          <w:iCs/>
          <w:lang w:val="es-ES"/>
        </w:rPr>
        <w:t>Inversiones de la AR VI en proyectos relacionados con el PCV:</w:t>
      </w:r>
    </w:p>
    <w:p w14:paraId="5ACD88D5" w14:textId="77777777" w:rsidR="00886A6C" w:rsidRPr="00BF5B5C" w:rsidRDefault="00886A6C" w:rsidP="00886A6C">
      <w:pPr>
        <w:pStyle w:val="WMOBodyText"/>
        <w:rPr>
          <w:lang w:val="es-ES"/>
        </w:rPr>
      </w:pPr>
    </w:p>
    <w:tbl>
      <w:tblPr>
        <w:tblStyle w:val="TableGrid"/>
        <w:tblW w:w="0" w:type="auto"/>
        <w:tblLayout w:type="fixed"/>
        <w:tblLook w:val="06A0" w:firstRow="1" w:lastRow="0" w:firstColumn="1" w:lastColumn="0" w:noHBand="1" w:noVBand="1"/>
      </w:tblPr>
      <w:tblGrid>
        <w:gridCol w:w="1521"/>
        <w:gridCol w:w="1489"/>
        <w:gridCol w:w="1042"/>
        <w:gridCol w:w="4239"/>
        <w:gridCol w:w="1338"/>
      </w:tblGrid>
      <w:tr w:rsidR="00886A6C" w:rsidRPr="00BF5B5C" w14:paraId="2E5DB153" w14:textId="77777777" w:rsidTr="000D3A21">
        <w:trPr>
          <w:trHeight w:val="660"/>
        </w:trPr>
        <w:tc>
          <w:tcPr>
            <w:tcW w:w="1521" w:type="dxa"/>
            <w:shd w:val="clear" w:color="auto" w:fill="F0F9FE"/>
            <w:vAlign w:val="center"/>
          </w:tcPr>
          <w:p w14:paraId="1A073C0E" w14:textId="77777777" w:rsidR="00886A6C" w:rsidRPr="00BF5B5C" w:rsidRDefault="00886A6C" w:rsidP="000D3A21">
            <w:pPr>
              <w:spacing w:before="120" w:after="120"/>
              <w:jc w:val="center"/>
              <w:rPr>
                <w:rFonts w:eastAsia="Verdana" w:cs="Verdana"/>
                <w:i/>
                <w:iCs/>
                <w:color w:val="000000" w:themeColor="text1"/>
              </w:rPr>
            </w:pPr>
            <w:r w:rsidRPr="00BF5B5C">
              <w:rPr>
                <w:i/>
                <w:iCs/>
                <w:lang w:val="es-ES"/>
              </w:rPr>
              <w:t>Miembros inversores</w:t>
            </w:r>
          </w:p>
        </w:tc>
        <w:tc>
          <w:tcPr>
            <w:tcW w:w="1489" w:type="dxa"/>
            <w:shd w:val="clear" w:color="auto" w:fill="F0F9FE"/>
            <w:vAlign w:val="center"/>
          </w:tcPr>
          <w:p w14:paraId="2297B569" w14:textId="77777777" w:rsidR="00886A6C" w:rsidRPr="00BF5B5C" w:rsidRDefault="00886A6C" w:rsidP="000D3A21">
            <w:pPr>
              <w:spacing w:before="120" w:after="120"/>
              <w:jc w:val="center"/>
              <w:rPr>
                <w:rFonts w:eastAsia="Verdana" w:cs="Verdana"/>
                <w:i/>
                <w:iCs/>
                <w:color w:val="000000" w:themeColor="text1"/>
              </w:rPr>
            </w:pPr>
            <w:r w:rsidRPr="00BF5B5C">
              <w:rPr>
                <w:i/>
                <w:iCs/>
                <w:lang w:val="es-ES"/>
              </w:rPr>
              <w:t>Beneficiario</w:t>
            </w:r>
          </w:p>
        </w:tc>
        <w:tc>
          <w:tcPr>
            <w:tcW w:w="1042" w:type="dxa"/>
            <w:shd w:val="clear" w:color="auto" w:fill="F0F9FE"/>
            <w:vAlign w:val="center"/>
          </w:tcPr>
          <w:p w14:paraId="31174C32" w14:textId="77777777" w:rsidR="00886A6C" w:rsidRPr="00BF5B5C" w:rsidRDefault="00886A6C" w:rsidP="000D3A21">
            <w:pPr>
              <w:spacing w:before="120" w:after="120"/>
              <w:jc w:val="center"/>
              <w:rPr>
                <w:rFonts w:eastAsia="Verdana" w:cs="Verdana"/>
                <w:i/>
                <w:iCs/>
                <w:color w:val="000000" w:themeColor="text1"/>
              </w:rPr>
            </w:pPr>
            <w:r w:rsidRPr="00BF5B5C">
              <w:rPr>
                <w:i/>
                <w:iCs/>
                <w:lang w:val="es-ES"/>
              </w:rPr>
              <w:t>Año</w:t>
            </w:r>
          </w:p>
        </w:tc>
        <w:tc>
          <w:tcPr>
            <w:tcW w:w="4239" w:type="dxa"/>
            <w:shd w:val="clear" w:color="auto" w:fill="F0F9FE"/>
            <w:vAlign w:val="center"/>
          </w:tcPr>
          <w:p w14:paraId="65D2E5D7" w14:textId="77777777" w:rsidR="00886A6C" w:rsidRPr="00BF5B5C" w:rsidRDefault="00886A6C" w:rsidP="000D3A21">
            <w:pPr>
              <w:pStyle w:val="ListParagraph"/>
              <w:spacing w:before="120" w:after="120"/>
              <w:contextualSpacing w:val="0"/>
              <w:jc w:val="center"/>
              <w:rPr>
                <w:rFonts w:eastAsia="Verdana" w:cs="Verdana"/>
                <w:i/>
                <w:iCs/>
                <w:color w:val="000000" w:themeColor="text1"/>
              </w:rPr>
            </w:pPr>
            <w:r w:rsidRPr="00BF5B5C">
              <w:rPr>
                <w:i/>
                <w:iCs/>
                <w:lang w:val="es-ES"/>
              </w:rPr>
              <w:t>Proyecto</w:t>
            </w:r>
          </w:p>
        </w:tc>
        <w:tc>
          <w:tcPr>
            <w:tcW w:w="1338" w:type="dxa"/>
            <w:shd w:val="clear" w:color="auto" w:fill="F0F9FE"/>
            <w:vAlign w:val="center"/>
          </w:tcPr>
          <w:p w14:paraId="66C8547A" w14:textId="77777777" w:rsidR="00886A6C" w:rsidRPr="00BF5B5C" w:rsidRDefault="00886A6C" w:rsidP="000D3A21">
            <w:pPr>
              <w:spacing w:before="120" w:after="120"/>
              <w:jc w:val="center"/>
              <w:rPr>
                <w:rFonts w:eastAsia="Verdana" w:cs="Verdana"/>
                <w:i/>
                <w:iCs/>
                <w:color w:val="000000" w:themeColor="text1"/>
              </w:rPr>
            </w:pPr>
            <w:r w:rsidRPr="00BF5B5C">
              <w:rPr>
                <w:i/>
                <w:iCs/>
                <w:lang w:val="es-ES"/>
              </w:rPr>
              <w:t>Observaciones</w:t>
            </w:r>
          </w:p>
        </w:tc>
      </w:tr>
      <w:tr w:rsidR="00886A6C" w:rsidRPr="00BF5B5C" w14:paraId="6C5A6943" w14:textId="77777777" w:rsidTr="000D3A21">
        <w:trPr>
          <w:trHeight w:val="691"/>
        </w:trPr>
        <w:tc>
          <w:tcPr>
            <w:tcW w:w="1521" w:type="dxa"/>
            <w:vAlign w:val="center"/>
          </w:tcPr>
          <w:p w14:paraId="5B68914C" w14:textId="77777777" w:rsidR="00886A6C" w:rsidRPr="00BF5B5C" w:rsidRDefault="00886A6C" w:rsidP="000D3A21">
            <w:pPr>
              <w:spacing w:before="120" w:after="120"/>
              <w:rPr>
                <w:rFonts w:eastAsia="Verdana" w:cs="Verdana"/>
                <w:color w:val="000000" w:themeColor="text1"/>
              </w:rPr>
            </w:pPr>
            <w:r w:rsidRPr="00BF5B5C">
              <w:rPr>
                <w:lang w:val="es-ES"/>
              </w:rPr>
              <w:t>Finlandia</w:t>
            </w:r>
          </w:p>
        </w:tc>
        <w:tc>
          <w:tcPr>
            <w:tcW w:w="1489" w:type="dxa"/>
            <w:vAlign w:val="center"/>
          </w:tcPr>
          <w:p w14:paraId="559AE9C6" w14:textId="77777777" w:rsidR="00886A6C" w:rsidRPr="00BF5B5C" w:rsidRDefault="00886A6C" w:rsidP="000D3A21">
            <w:pPr>
              <w:spacing w:before="120" w:after="120"/>
              <w:rPr>
                <w:rFonts w:eastAsia="Verdana" w:cs="Verdana"/>
                <w:color w:val="000000" w:themeColor="text1"/>
              </w:rPr>
            </w:pPr>
            <w:r w:rsidRPr="00BF5B5C">
              <w:rPr>
                <w:lang w:val="es-ES"/>
              </w:rPr>
              <w:t>Ucrania</w:t>
            </w:r>
          </w:p>
        </w:tc>
        <w:tc>
          <w:tcPr>
            <w:tcW w:w="1042" w:type="dxa"/>
            <w:vAlign w:val="center"/>
          </w:tcPr>
          <w:p w14:paraId="3307309D" w14:textId="77777777" w:rsidR="00886A6C" w:rsidRPr="00BF5B5C" w:rsidRDefault="00886A6C" w:rsidP="000D3A21">
            <w:pPr>
              <w:spacing w:before="120" w:after="120"/>
              <w:rPr>
                <w:rFonts w:eastAsia="Verdana" w:cs="Verdana"/>
                <w:color w:val="000000" w:themeColor="text1"/>
              </w:rPr>
            </w:pPr>
            <w:r w:rsidRPr="00BF5B5C">
              <w:rPr>
                <w:lang w:val="es-ES"/>
              </w:rPr>
              <w:t>2023</w:t>
            </w:r>
          </w:p>
        </w:tc>
        <w:tc>
          <w:tcPr>
            <w:tcW w:w="4239" w:type="dxa"/>
            <w:vAlign w:val="center"/>
          </w:tcPr>
          <w:p w14:paraId="35E0CF27" w14:textId="77777777" w:rsidR="00886A6C" w:rsidRPr="00BF5B5C" w:rsidRDefault="00886A6C" w:rsidP="000D3A21">
            <w:pPr>
              <w:spacing w:before="120" w:after="120"/>
              <w:jc w:val="left"/>
              <w:rPr>
                <w:lang w:val="es-ES"/>
              </w:rPr>
            </w:pPr>
            <w:r w:rsidRPr="00BF5B5C">
              <w:rPr>
                <w:lang w:val="es-ES"/>
              </w:rPr>
              <w:t xml:space="preserve">Modernización de los servicios meteorológicos ucranianos </w:t>
            </w:r>
          </w:p>
        </w:tc>
        <w:tc>
          <w:tcPr>
            <w:tcW w:w="1338" w:type="dxa"/>
            <w:vAlign w:val="center"/>
          </w:tcPr>
          <w:p w14:paraId="0C77D606" w14:textId="77777777" w:rsidR="00886A6C" w:rsidRPr="00BF5B5C" w:rsidRDefault="00886A6C" w:rsidP="000D3A21">
            <w:pPr>
              <w:spacing w:before="120" w:after="120"/>
              <w:rPr>
                <w:rFonts w:eastAsia="Verdana" w:cs="Verdana"/>
                <w:color w:val="000000" w:themeColor="text1"/>
              </w:rPr>
            </w:pPr>
            <w:r w:rsidRPr="00BF5B5C">
              <w:rPr>
                <w:lang w:val="es-ES"/>
              </w:rPr>
              <w:t>En curso</w:t>
            </w:r>
          </w:p>
        </w:tc>
      </w:tr>
      <w:tr w:rsidR="00886A6C" w:rsidRPr="00BF5B5C" w14:paraId="14D35379" w14:textId="77777777" w:rsidTr="000D3A21">
        <w:trPr>
          <w:trHeight w:val="300"/>
        </w:trPr>
        <w:tc>
          <w:tcPr>
            <w:tcW w:w="1521" w:type="dxa"/>
            <w:vAlign w:val="center"/>
          </w:tcPr>
          <w:p w14:paraId="63851B4F" w14:textId="77777777" w:rsidR="00886A6C" w:rsidRPr="00BF5B5C" w:rsidRDefault="00886A6C" w:rsidP="000D3A21">
            <w:pPr>
              <w:spacing w:before="120" w:after="120"/>
              <w:rPr>
                <w:rFonts w:eastAsia="Verdana" w:cs="Verdana"/>
              </w:rPr>
            </w:pPr>
            <w:r w:rsidRPr="00BF5B5C">
              <w:rPr>
                <w:lang w:val="es-ES"/>
              </w:rPr>
              <w:t>Suiza</w:t>
            </w:r>
          </w:p>
        </w:tc>
        <w:tc>
          <w:tcPr>
            <w:tcW w:w="1489" w:type="dxa"/>
            <w:vAlign w:val="center"/>
          </w:tcPr>
          <w:p w14:paraId="04759C2A" w14:textId="77777777" w:rsidR="00886A6C" w:rsidRPr="00BF5B5C" w:rsidRDefault="00886A6C" w:rsidP="000D3A21">
            <w:pPr>
              <w:spacing w:before="120" w:after="120"/>
              <w:rPr>
                <w:rFonts w:eastAsia="Verdana" w:cs="Verdana"/>
              </w:rPr>
            </w:pPr>
            <w:r w:rsidRPr="00BF5B5C">
              <w:rPr>
                <w:lang w:val="es-ES"/>
              </w:rPr>
              <w:t>Albania</w:t>
            </w:r>
          </w:p>
        </w:tc>
        <w:tc>
          <w:tcPr>
            <w:tcW w:w="1042" w:type="dxa"/>
            <w:vAlign w:val="center"/>
          </w:tcPr>
          <w:p w14:paraId="2EF4B167" w14:textId="77777777" w:rsidR="00886A6C" w:rsidRPr="00BF5B5C" w:rsidRDefault="00886A6C" w:rsidP="000D3A21">
            <w:pPr>
              <w:spacing w:before="120" w:after="120"/>
              <w:rPr>
                <w:rFonts w:eastAsia="Verdana" w:cs="Verdana"/>
                <w:color w:val="000000" w:themeColor="text1"/>
              </w:rPr>
            </w:pPr>
            <w:r w:rsidRPr="00BF5B5C">
              <w:rPr>
                <w:lang w:val="es-ES"/>
              </w:rPr>
              <w:t>2023</w:t>
            </w:r>
          </w:p>
        </w:tc>
        <w:tc>
          <w:tcPr>
            <w:tcW w:w="4239" w:type="dxa"/>
            <w:vAlign w:val="center"/>
          </w:tcPr>
          <w:p w14:paraId="7C469475" w14:textId="77777777" w:rsidR="00886A6C" w:rsidRPr="00BF5B5C" w:rsidRDefault="00886A6C" w:rsidP="000D3A21">
            <w:pPr>
              <w:spacing w:before="120" w:after="120"/>
              <w:jc w:val="left"/>
              <w:rPr>
                <w:rFonts w:eastAsia="Verdana" w:cs="Verdana"/>
                <w:lang w:val="es-ES"/>
              </w:rPr>
            </w:pPr>
            <w:proofErr w:type="spellStart"/>
            <w:r w:rsidRPr="00BF5B5C">
              <w:rPr>
                <w:i/>
                <w:iCs/>
                <w:lang w:val="es-ES"/>
              </w:rPr>
              <w:t>ALBAdapt</w:t>
            </w:r>
            <w:proofErr w:type="spellEnd"/>
            <w:r w:rsidRPr="00BF5B5C">
              <w:rPr>
                <w:i/>
                <w:iCs/>
                <w:lang w:val="es-ES"/>
              </w:rPr>
              <w:t xml:space="preserve"> - Servicios climáticos para una Albania resiliente</w:t>
            </w:r>
          </w:p>
        </w:tc>
        <w:tc>
          <w:tcPr>
            <w:tcW w:w="1338" w:type="dxa"/>
            <w:vAlign w:val="center"/>
          </w:tcPr>
          <w:p w14:paraId="3ABA36C1" w14:textId="77777777" w:rsidR="00886A6C" w:rsidRPr="00BF5B5C" w:rsidRDefault="00886A6C" w:rsidP="000D3A21">
            <w:pPr>
              <w:spacing w:before="120" w:after="120"/>
              <w:rPr>
                <w:rFonts w:eastAsia="Verdana" w:cs="Verdana"/>
                <w:color w:val="000000" w:themeColor="text1"/>
              </w:rPr>
            </w:pPr>
            <w:r w:rsidRPr="00BF5B5C">
              <w:rPr>
                <w:lang w:val="es-ES"/>
              </w:rPr>
              <w:t>En curso</w:t>
            </w:r>
          </w:p>
        </w:tc>
      </w:tr>
      <w:tr w:rsidR="00886A6C" w:rsidRPr="00BF5B5C" w14:paraId="0D9CE919" w14:textId="77777777" w:rsidTr="000D3A21">
        <w:trPr>
          <w:trHeight w:val="585"/>
        </w:trPr>
        <w:tc>
          <w:tcPr>
            <w:tcW w:w="1521" w:type="dxa"/>
            <w:vMerge w:val="restart"/>
            <w:vAlign w:val="center"/>
          </w:tcPr>
          <w:p w14:paraId="0A35F5C5" w14:textId="77777777" w:rsidR="00886A6C" w:rsidRPr="00BF5B5C" w:rsidRDefault="00886A6C" w:rsidP="000D3A21">
            <w:pPr>
              <w:spacing w:before="120" w:after="120"/>
            </w:pPr>
            <w:r w:rsidRPr="00BF5B5C">
              <w:rPr>
                <w:lang w:val="es-ES"/>
              </w:rPr>
              <w:t>Suecia</w:t>
            </w:r>
          </w:p>
        </w:tc>
        <w:tc>
          <w:tcPr>
            <w:tcW w:w="1489" w:type="dxa"/>
            <w:vAlign w:val="center"/>
          </w:tcPr>
          <w:p w14:paraId="53222B81" w14:textId="77777777" w:rsidR="00886A6C" w:rsidRPr="00BF5B5C" w:rsidRDefault="00886A6C" w:rsidP="000D3A21">
            <w:pPr>
              <w:spacing w:before="120" w:after="120"/>
              <w:jc w:val="left"/>
            </w:pPr>
            <w:r w:rsidRPr="00BF5B5C">
              <w:rPr>
                <w:lang w:val="es-ES"/>
              </w:rPr>
              <w:t>17 países africanos</w:t>
            </w:r>
          </w:p>
        </w:tc>
        <w:tc>
          <w:tcPr>
            <w:tcW w:w="1042" w:type="dxa"/>
            <w:vAlign w:val="center"/>
          </w:tcPr>
          <w:p w14:paraId="60EBE2C1" w14:textId="77777777" w:rsidR="00886A6C" w:rsidRPr="00BF5B5C" w:rsidRDefault="00886A6C" w:rsidP="000D3A21">
            <w:pPr>
              <w:spacing w:before="120" w:after="120"/>
              <w:rPr>
                <w:rFonts w:eastAsia="Verdana" w:cs="Verdana"/>
                <w:color w:val="000000" w:themeColor="text1"/>
              </w:rPr>
            </w:pPr>
            <w:r w:rsidRPr="00BF5B5C">
              <w:rPr>
                <w:lang w:val="es-ES"/>
              </w:rPr>
              <w:t>2015–2023</w:t>
            </w:r>
          </w:p>
        </w:tc>
        <w:tc>
          <w:tcPr>
            <w:tcW w:w="4239" w:type="dxa"/>
            <w:vAlign w:val="center"/>
          </w:tcPr>
          <w:p w14:paraId="5466FFB9" w14:textId="77777777" w:rsidR="00886A6C" w:rsidRPr="00BF5B5C" w:rsidRDefault="00886A6C" w:rsidP="000D3A21">
            <w:pPr>
              <w:spacing w:before="120" w:after="120"/>
              <w:jc w:val="left"/>
              <w:rPr>
                <w:rFonts w:eastAsia="Verdana" w:cs="Verdana"/>
                <w:lang w:val="es-ES"/>
              </w:rPr>
            </w:pPr>
            <w:r w:rsidRPr="00BF5B5C">
              <w:rPr>
                <w:lang w:val="es-ES"/>
              </w:rPr>
              <w:t>Programa internacional de formación sobre mitigación y adaptación al cambio climático</w:t>
            </w:r>
          </w:p>
        </w:tc>
        <w:tc>
          <w:tcPr>
            <w:tcW w:w="1338" w:type="dxa"/>
            <w:vAlign w:val="center"/>
          </w:tcPr>
          <w:p w14:paraId="0E6D2E7B" w14:textId="77777777" w:rsidR="00886A6C" w:rsidRPr="00BF5B5C" w:rsidRDefault="00886A6C" w:rsidP="000D3A21">
            <w:pPr>
              <w:spacing w:before="120" w:after="120"/>
              <w:rPr>
                <w:rFonts w:eastAsia="Verdana" w:cs="Verdana"/>
                <w:color w:val="000000" w:themeColor="text1"/>
              </w:rPr>
            </w:pPr>
            <w:r w:rsidRPr="00BF5B5C">
              <w:rPr>
                <w:lang w:val="es-ES"/>
              </w:rPr>
              <w:t>En curso</w:t>
            </w:r>
          </w:p>
        </w:tc>
      </w:tr>
      <w:tr w:rsidR="00886A6C" w:rsidRPr="00BF5B5C" w14:paraId="11641729" w14:textId="77777777" w:rsidTr="000D3A21">
        <w:trPr>
          <w:trHeight w:val="840"/>
        </w:trPr>
        <w:tc>
          <w:tcPr>
            <w:tcW w:w="1521" w:type="dxa"/>
            <w:vMerge/>
            <w:vAlign w:val="center"/>
          </w:tcPr>
          <w:p w14:paraId="57A71156" w14:textId="77777777" w:rsidR="00886A6C" w:rsidRPr="00BF5B5C" w:rsidRDefault="00886A6C" w:rsidP="000D3A21">
            <w:pPr>
              <w:spacing w:before="120" w:after="120"/>
            </w:pPr>
          </w:p>
        </w:tc>
        <w:tc>
          <w:tcPr>
            <w:tcW w:w="1489" w:type="dxa"/>
            <w:vAlign w:val="center"/>
          </w:tcPr>
          <w:p w14:paraId="3F51055B" w14:textId="77777777" w:rsidR="00886A6C" w:rsidRPr="00BF5B5C" w:rsidRDefault="00886A6C" w:rsidP="000D3A21">
            <w:pPr>
              <w:spacing w:before="120" w:after="120"/>
            </w:pPr>
            <w:proofErr w:type="spellStart"/>
            <w:r w:rsidRPr="00BF5B5C">
              <w:rPr>
                <w:lang w:val="es-ES"/>
              </w:rPr>
              <w:t>Zimbabwe</w:t>
            </w:r>
            <w:proofErr w:type="spellEnd"/>
          </w:p>
        </w:tc>
        <w:tc>
          <w:tcPr>
            <w:tcW w:w="1042" w:type="dxa"/>
            <w:vAlign w:val="center"/>
          </w:tcPr>
          <w:p w14:paraId="22474A3A" w14:textId="77777777" w:rsidR="00886A6C" w:rsidRPr="00BF5B5C" w:rsidRDefault="00886A6C" w:rsidP="000D3A21">
            <w:pPr>
              <w:spacing w:before="120" w:after="120"/>
              <w:rPr>
                <w:rFonts w:eastAsia="Verdana" w:cs="Verdana"/>
                <w:color w:val="000000" w:themeColor="text1"/>
              </w:rPr>
            </w:pPr>
            <w:r w:rsidRPr="00BF5B5C">
              <w:rPr>
                <w:lang w:val="es-ES"/>
              </w:rPr>
              <w:t>2022–2025</w:t>
            </w:r>
          </w:p>
        </w:tc>
        <w:tc>
          <w:tcPr>
            <w:tcW w:w="4239" w:type="dxa"/>
            <w:vAlign w:val="center"/>
          </w:tcPr>
          <w:p w14:paraId="23F76891" w14:textId="77777777" w:rsidR="00886A6C" w:rsidRPr="00BF5B5C" w:rsidRDefault="00886A6C" w:rsidP="000D3A21">
            <w:pPr>
              <w:spacing w:before="120" w:after="120"/>
              <w:jc w:val="left"/>
              <w:rPr>
                <w:lang w:val="es-ES"/>
              </w:rPr>
            </w:pPr>
            <w:r w:rsidRPr="00BF5B5C">
              <w:rPr>
                <w:lang w:val="es-ES"/>
              </w:rPr>
              <w:t>Adaptación climática para los medios de subsistencia rurales en Zimbabue</w:t>
            </w:r>
          </w:p>
        </w:tc>
        <w:tc>
          <w:tcPr>
            <w:tcW w:w="1338" w:type="dxa"/>
            <w:vAlign w:val="center"/>
          </w:tcPr>
          <w:p w14:paraId="65733FD1" w14:textId="77777777" w:rsidR="00886A6C" w:rsidRPr="00BF5B5C" w:rsidRDefault="00886A6C" w:rsidP="000D3A21">
            <w:pPr>
              <w:spacing w:before="120" w:after="120"/>
              <w:rPr>
                <w:rFonts w:eastAsia="Verdana" w:cs="Verdana"/>
                <w:color w:val="000000" w:themeColor="text1"/>
              </w:rPr>
            </w:pPr>
            <w:r w:rsidRPr="00BF5B5C">
              <w:rPr>
                <w:lang w:val="es-ES"/>
              </w:rPr>
              <w:t>En curso</w:t>
            </w:r>
          </w:p>
        </w:tc>
      </w:tr>
      <w:tr w:rsidR="00886A6C" w:rsidRPr="00BF5B5C" w14:paraId="5F7FCAAF" w14:textId="77777777" w:rsidTr="000D3A21">
        <w:trPr>
          <w:trHeight w:val="840"/>
        </w:trPr>
        <w:tc>
          <w:tcPr>
            <w:tcW w:w="1521" w:type="dxa"/>
            <w:vMerge w:val="restart"/>
            <w:vAlign w:val="center"/>
          </w:tcPr>
          <w:p w14:paraId="47D93864" w14:textId="77777777" w:rsidR="00886A6C" w:rsidRPr="00BF5B5C" w:rsidRDefault="00886A6C" w:rsidP="000D3A21">
            <w:pPr>
              <w:spacing w:before="120" w:after="120"/>
              <w:rPr>
                <w:rFonts w:eastAsia="Verdana" w:cs="Verdana"/>
              </w:rPr>
            </w:pPr>
            <w:r w:rsidRPr="00BF5B5C">
              <w:rPr>
                <w:lang w:val="es-ES"/>
              </w:rPr>
              <w:t>El Reino Unido</w:t>
            </w:r>
          </w:p>
        </w:tc>
        <w:tc>
          <w:tcPr>
            <w:tcW w:w="1489" w:type="dxa"/>
            <w:vAlign w:val="center"/>
          </w:tcPr>
          <w:p w14:paraId="73552C84" w14:textId="77777777" w:rsidR="00886A6C" w:rsidRPr="00BF5B5C" w:rsidRDefault="00886A6C" w:rsidP="000D3A21">
            <w:pPr>
              <w:spacing w:before="120" w:after="120"/>
            </w:pPr>
            <w:r w:rsidRPr="00BF5B5C">
              <w:rPr>
                <w:lang w:val="es-ES"/>
              </w:rPr>
              <w:t>Seychelles</w:t>
            </w:r>
          </w:p>
        </w:tc>
        <w:tc>
          <w:tcPr>
            <w:tcW w:w="1042" w:type="dxa"/>
            <w:vAlign w:val="center"/>
          </w:tcPr>
          <w:p w14:paraId="2599BC24" w14:textId="77777777" w:rsidR="00886A6C" w:rsidRPr="00BF5B5C" w:rsidRDefault="00886A6C" w:rsidP="000D3A21">
            <w:pPr>
              <w:spacing w:before="120" w:after="120"/>
              <w:rPr>
                <w:rFonts w:eastAsia="Verdana" w:cs="Verdana"/>
                <w:color w:val="000000" w:themeColor="text1"/>
              </w:rPr>
            </w:pPr>
            <w:r w:rsidRPr="00BF5B5C">
              <w:rPr>
                <w:lang w:val="es-ES"/>
              </w:rPr>
              <w:t>2024</w:t>
            </w:r>
          </w:p>
        </w:tc>
        <w:tc>
          <w:tcPr>
            <w:tcW w:w="4239" w:type="dxa"/>
            <w:vAlign w:val="center"/>
          </w:tcPr>
          <w:p w14:paraId="15D3720B" w14:textId="77777777" w:rsidR="00886A6C" w:rsidRPr="00BF5B5C" w:rsidRDefault="00886A6C" w:rsidP="000D3A21">
            <w:pPr>
              <w:spacing w:before="120" w:after="120"/>
              <w:jc w:val="left"/>
              <w:rPr>
                <w:lang w:val="es-ES"/>
              </w:rPr>
            </w:pPr>
            <w:r w:rsidRPr="00BF5B5C">
              <w:rPr>
                <w:lang w:val="es-ES"/>
              </w:rPr>
              <w:t>Apoyo a la estación de la Red de Aire Superior del SMOC (GUAN) en las Seychelles</w:t>
            </w:r>
          </w:p>
        </w:tc>
        <w:tc>
          <w:tcPr>
            <w:tcW w:w="1338" w:type="dxa"/>
            <w:vAlign w:val="center"/>
          </w:tcPr>
          <w:p w14:paraId="6BCAD5FA" w14:textId="77777777" w:rsidR="00886A6C" w:rsidRPr="00BF5B5C" w:rsidRDefault="00886A6C" w:rsidP="000D3A21">
            <w:pPr>
              <w:spacing w:before="120" w:after="120"/>
              <w:rPr>
                <w:rFonts w:eastAsia="Verdana" w:cs="Verdana"/>
                <w:color w:val="000000" w:themeColor="text1"/>
              </w:rPr>
            </w:pPr>
            <w:r w:rsidRPr="00BF5B5C">
              <w:rPr>
                <w:lang w:val="es-ES"/>
              </w:rPr>
              <w:t>En curso</w:t>
            </w:r>
          </w:p>
        </w:tc>
      </w:tr>
      <w:tr w:rsidR="00886A6C" w:rsidRPr="00BF5B5C" w14:paraId="15EAA840" w14:textId="77777777" w:rsidTr="000D3A21">
        <w:trPr>
          <w:trHeight w:val="840"/>
        </w:trPr>
        <w:tc>
          <w:tcPr>
            <w:tcW w:w="1521" w:type="dxa"/>
            <w:vMerge/>
            <w:vAlign w:val="center"/>
          </w:tcPr>
          <w:p w14:paraId="448F86F2" w14:textId="77777777" w:rsidR="00886A6C" w:rsidRPr="00BF5B5C" w:rsidRDefault="00886A6C" w:rsidP="000D3A21">
            <w:pPr>
              <w:spacing w:before="120" w:after="120"/>
            </w:pPr>
          </w:p>
        </w:tc>
        <w:tc>
          <w:tcPr>
            <w:tcW w:w="1489" w:type="dxa"/>
            <w:vAlign w:val="center"/>
          </w:tcPr>
          <w:p w14:paraId="5138D6EB" w14:textId="77777777" w:rsidR="00886A6C" w:rsidRPr="00BF5B5C" w:rsidRDefault="00886A6C" w:rsidP="000D3A21">
            <w:pPr>
              <w:spacing w:before="120" w:after="120"/>
            </w:pPr>
            <w:r w:rsidRPr="00BF5B5C">
              <w:rPr>
                <w:lang w:val="es-ES"/>
              </w:rPr>
              <w:t>Dominica</w:t>
            </w:r>
          </w:p>
        </w:tc>
        <w:tc>
          <w:tcPr>
            <w:tcW w:w="1042" w:type="dxa"/>
            <w:vAlign w:val="center"/>
          </w:tcPr>
          <w:p w14:paraId="0C99C985" w14:textId="77777777" w:rsidR="00886A6C" w:rsidRPr="00BF5B5C" w:rsidRDefault="00886A6C" w:rsidP="000D3A21">
            <w:pPr>
              <w:spacing w:before="120" w:after="120"/>
              <w:rPr>
                <w:rFonts w:eastAsia="Verdana" w:cs="Verdana"/>
                <w:color w:val="000000" w:themeColor="text1"/>
              </w:rPr>
            </w:pPr>
            <w:r w:rsidRPr="00BF5B5C">
              <w:rPr>
                <w:lang w:val="es-ES"/>
              </w:rPr>
              <w:t>2023</w:t>
            </w:r>
          </w:p>
        </w:tc>
        <w:tc>
          <w:tcPr>
            <w:tcW w:w="4239" w:type="dxa"/>
            <w:vAlign w:val="center"/>
          </w:tcPr>
          <w:p w14:paraId="02D4A61F" w14:textId="77777777" w:rsidR="00886A6C" w:rsidRPr="00BF5B5C" w:rsidRDefault="00886A6C" w:rsidP="000D3A21">
            <w:pPr>
              <w:spacing w:before="120" w:after="120"/>
              <w:jc w:val="left"/>
            </w:pPr>
            <w:r w:rsidRPr="00BF5B5C">
              <w:rPr>
                <w:lang w:val="es-ES"/>
              </w:rPr>
              <w:t xml:space="preserve">Equipos de estudio actualizados y formación para la </w:t>
            </w:r>
            <w:proofErr w:type="spellStart"/>
            <w:r w:rsidRPr="00BF5B5C">
              <w:rPr>
                <w:lang w:val="es-ES"/>
              </w:rPr>
              <w:t>Met</w:t>
            </w:r>
            <w:proofErr w:type="spellEnd"/>
            <w:r w:rsidRPr="00BF5B5C">
              <w:rPr>
                <w:lang w:val="es-ES"/>
              </w:rPr>
              <w:t>. Servicio en Dominica</w:t>
            </w:r>
          </w:p>
        </w:tc>
        <w:tc>
          <w:tcPr>
            <w:tcW w:w="1338" w:type="dxa"/>
            <w:vAlign w:val="center"/>
          </w:tcPr>
          <w:p w14:paraId="32F5AC95" w14:textId="77777777" w:rsidR="00886A6C" w:rsidRPr="00BF5B5C" w:rsidRDefault="00886A6C" w:rsidP="000D3A21">
            <w:pPr>
              <w:spacing w:before="120" w:after="120"/>
              <w:rPr>
                <w:rFonts w:eastAsia="Verdana" w:cs="Verdana"/>
                <w:color w:val="000000" w:themeColor="text1"/>
              </w:rPr>
            </w:pPr>
            <w:r w:rsidRPr="00BF5B5C">
              <w:rPr>
                <w:lang w:val="es-ES"/>
              </w:rPr>
              <w:t>En curso</w:t>
            </w:r>
          </w:p>
        </w:tc>
      </w:tr>
    </w:tbl>
    <w:p w14:paraId="66455ABE" w14:textId="77777777" w:rsidR="00886A6C" w:rsidRPr="00BF5B5C" w:rsidRDefault="00886A6C" w:rsidP="00886A6C">
      <w:pPr>
        <w:shd w:val="clear" w:color="auto" w:fill="FFFFFF" w:themeFill="background1"/>
        <w:spacing w:before="240" w:after="120" w:line="259" w:lineRule="auto"/>
        <w:jc w:val="left"/>
      </w:pPr>
      <w:r w:rsidRPr="00BF5B5C">
        <w:rPr>
          <w:noProof/>
        </w:rPr>
        <w:drawing>
          <wp:inline distT="0" distB="0" distL="0" distR="0" wp14:anchorId="51CDF616" wp14:editId="6566949D">
            <wp:extent cx="6098254" cy="3701524"/>
            <wp:effectExtent l="0" t="0" r="0" b="0"/>
            <wp:docPr id="1332093546" name="Picture 133209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t="20083"/>
                    <a:stretch/>
                  </pic:blipFill>
                  <pic:spPr bwMode="auto">
                    <a:xfrm>
                      <a:off x="0" y="0"/>
                      <a:ext cx="6102382" cy="3704029"/>
                    </a:xfrm>
                    <a:prstGeom prst="rect">
                      <a:avLst/>
                    </a:prstGeom>
                    <a:ln>
                      <a:noFill/>
                    </a:ln>
                    <a:extLst>
                      <a:ext uri="{53640926-AAD7-44D8-BBD7-CCE9431645EC}">
                        <a14:shadowObscured xmlns:a14="http://schemas.microsoft.com/office/drawing/2010/main"/>
                      </a:ext>
                    </a:extLst>
                  </pic:spPr>
                </pic:pic>
              </a:graphicData>
            </a:graphic>
          </wp:inline>
        </w:drawing>
      </w:r>
    </w:p>
    <w:p w14:paraId="0DB70D68" w14:textId="77777777" w:rsidR="00886A6C" w:rsidRPr="00BF5B5C" w:rsidRDefault="00886A6C" w:rsidP="00886A6C">
      <w:pPr>
        <w:spacing w:before="240" w:after="120"/>
        <w:jc w:val="center"/>
        <w:rPr>
          <w:b/>
          <w:bCs/>
          <w:color w:val="000000" w:themeColor="text1"/>
          <w:lang w:val="es-ES"/>
        </w:rPr>
      </w:pPr>
      <w:r w:rsidRPr="00BF5B5C">
        <w:rPr>
          <w:lang w:val="es-ES"/>
        </w:rPr>
        <w:t xml:space="preserve">Figure 2. </w:t>
      </w:r>
      <w:r w:rsidRPr="00BF5B5C">
        <w:rPr>
          <w:b/>
          <w:bCs/>
          <w:lang w:val="es-ES"/>
        </w:rPr>
        <w:t>Solicitudes de PCV (distribución geográfica) 1980-2024</w:t>
      </w:r>
    </w:p>
    <w:p w14:paraId="428A1537" w14:textId="77777777" w:rsidR="00886A6C" w:rsidRPr="00BF5B5C" w:rsidRDefault="00886A6C" w:rsidP="00886A6C">
      <w:pPr>
        <w:pStyle w:val="Heading3"/>
        <w:spacing w:before="480"/>
        <w:rPr>
          <w:lang w:val="es-ES"/>
        </w:rPr>
      </w:pPr>
      <w:r w:rsidRPr="00BF5B5C">
        <w:rPr>
          <w:lang w:val="es-ES"/>
        </w:rPr>
        <w:t>Conclusión</w:t>
      </w:r>
    </w:p>
    <w:p w14:paraId="465CAEEE" w14:textId="77777777" w:rsidR="00886A6C" w:rsidRPr="00BF5B5C" w:rsidRDefault="00886A6C" w:rsidP="00886A6C">
      <w:pPr>
        <w:shd w:val="clear" w:color="auto" w:fill="FFFFFF" w:themeFill="background1"/>
        <w:spacing w:before="240" w:after="120"/>
        <w:jc w:val="left"/>
        <w:rPr>
          <w:rFonts w:eastAsia="Verdana" w:cs="Verdana"/>
          <w:color w:val="0D0D0D" w:themeColor="text1" w:themeTint="F2"/>
          <w:lang w:val="es-ES"/>
        </w:rPr>
      </w:pPr>
      <w:r w:rsidRPr="00BF5B5C">
        <w:rPr>
          <w:lang w:val="es-ES"/>
        </w:rPr>
        <w:t>En conclusión, la movilización de recursos desempeña un papel fundamental en la mejora de la capacidad de los SMHN de la AR VI para prestar servicios esenciales. La participación de la OMM en proyectos financiados por la UE, como los que apoyan la iniciativa EW4All, es vital para garantizar la alineación con objetivos mundiales más amplios, difundir conocimientos y apoyar a los países menos desarrollados dentro de la AR VI. Estos proyectos son fundamentales para aumentar la resiliencia y mejorar los servicios climáticos en toda Europa y fuera de ella, en plena consonancia con los objetivos estratégicos de la OMM.</w:t>
      </w:r>
    </w:p>
    <w:p w14:paraId="6CAFB308" w14:textId="77777777" w:rsidR="00886A6C" w:rsidRPr="00BF5B5C" w:rsidRDefault="00886A6C" w:rsidP="00886A6C">
      <w:pPr>
        <w:shd w:val="clear" w:color="auto" w:fill="FFFFFF" w:themeFill="background1"/>
        <w:spacing w:before="240" w:after="120"/>
        <w:jc w:val="left"/>
        <w:rPr>
          <w:rFonts w:eastAsia="Verdana" w:cs="Verdana"/>
          <w:color w:val="0D0D0D" w:themeColor="text1" w:themeTint="F2"/>
          <w:lang w:val="es-ES"/>
        </w:rPr>
      </w:pPr>
      <w:r w:rsidRPr="00BF5B5C">
        <w:rPr>
          <w:lang w:val="es-ES"/>
        </w:rPr>
        <w:t>Evaluaciones recientes revelan que 11 SMHN de la Región VI (RA VI) presentan importantes lagunas, y que muchos carecen de MHEWS. Esto subraya la necesidad de que los Miembros de la AR VI se centren no sólo en apoyar y movilizar recursos para los PMA, sino también en atender las necesidades críticas de los países de renta media y de la AR VI que requieren ayuda.</w:t>
      </w:r>
    </w:p>
    <w:p w14:paraId="2B741A31" w14:textId="77777777" w:rsidR="00886A6C" w:rsidRPr="00BF5B5C" w:rsidRDefault="00886A6C" w:rsidP="00886A6C">
      <w:pPr>
        <w:shd w:val="clear" w:color="auto" w:fill="FFFFFF" w:themeFill="background1"/>
        <w:spacing w:before="240" w:after="120"/>
        <w:jc w:val="left"/>
        <w:rPr>
          <w:rFonts w:eastAsia="Verdana" w:cs="Verdana"/>
          <w:color w:val="0D0D0D" w:themeColor="text1" w:themeTint="F2"/>
          <w:lang w:val="es-ES"/>
        </w:rPr>
      </w:pPr>
      <w:r w:rsidRPr="00BF5B5C">
        <w:rPr>
          <w:lang w:val="es-ES"/>
        </w:rPr>
        <w:t xml:space="preserve">También es crucial reconocer que la AR VI no sólo se beneficia de los proyectos de la OMM y del PCV, sino que también actúa como un actor clave en la movilización de recursos para las regiones en desarrollo a través de asociaciones con la UE, otros organismos regionales, bancos multilaterales de desarrollo, CREWS, SOFF y agencias nacionales responsables de la AOD. Estas colaboraciones permiten a la OMM ampliar su apoyo y sus conocimientos técnicos al Sur global, en particular en el marco de la iniciativa EW4All. La OMM alienta a los Miembros de la AR VI a que mantengan su compromiso de mejorar los servicios y la infraestructura </w:t>
      </w:r>
      <w:r w:rsidRPr="00BF5B5C">
        <w:rPr>
          <w:lang w:val="es-ES"/>
        </w:rPr>
        <w:lastRenderedPageBreak/>
        <w:t>hidrometeorológicos en las regiones menos desarrolladas, garantizando así la sostenibilidad de los servicios y productos mundiales y regionales para toda la comunidad de la OMM.</w:t>
      </w:r>
    </w:p>
    <w:p w14:paraId="201D8D04" w14:textId="77777777" w:rsidR="00886A6C" w:rsidRPr="00BF5B5C" w:rsidRDefault="00886A6C" w:rsidP="00886A6C">
      <w:pPr>
        <w:pStyle w:val="Heading3"/>
        <w:spacing w:before="480"/>
      </w:pPr>
      <w:proofErr w:type="spellStart"/>
      <w:r w:rsidRPr="00BF5B5C">
        <w:rPr>
          <w:lang w:val="en-US"/>
        </w:rPr>
        <w:t>Recursos</w:t>
      </w:r>
      <w:proofErr w:type="spellEnd"/>
    </w:p>
    <w:p w14:paraId="28B7834F" w14:textId="77777777" w:rsidR="00886A6C" w:rsidRPr="00BF5B5C" w:rsidRDefault="00886A6C" w:rsidP="00886A6C">
      <w:pPr>
        <w:pStyle w:val="WMOBodyText"/>
        <w:spacing w:after="120"/>
        <w:rPr>
          <w:lang w:eastAsia="en-US"/>
        </w:rPr>
      </w:pPr>
      <w:r w:rsidRPr="00BF5B5C">
        <w:rPr>
          <w:lang w:eastAsia="en-US"/>
        </w:rPr>
        <w:t>WMO Resource Mobilization Strategy 2024–2027.</w:t>
      </w:r>
    </w:p>
    <w:p w14:paraId="233531A9" w14:textId="77777777" w:rsidR="00886A6C" w:rsidRPr="00BF5B5C" w:rsidRDefault="00886A6C" w:rsidP="00886A6C">
      <w:pPr>
        <w:pStyle w:val="WMOBodyText"/>
        <w:spacing w:after="120"/>
        <w:jc w:val="center"/>
      </w:pPr>
      <w:r w:rsidRPr="00BF5B5C">
        <w:rPr>
          <w:lang w:val="es-ES"/>
        </w:rPr>
        <w:t>_________________</w:t>
      </w:r>
    </w:p>
    <w:p w14:paraId="78E7EC38" w14:textId="77777777" w:rsidR="001A25F0" w:rsidRPr="002A29BD" w:rsidRDefault="001A25F0" w:rsidP="00886A6C">
      <w:pPr>
        <w:pStyle w:val="WMOBodyText"/>
        <w:ind w:left="3969" w:hanging="3969"/>
        <w:rPr>
          <w:lang w:val="es-419"/>
        </w:rPr>
      </w:pPr>
    </w:p>
    <w:sectPr w:rsidR="001A25F0" w:rsidRPr="002A29BD" w:rsidSect="00472D8C">
      <w:headerReference w:type="default" r:id="rId1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A1D00" w14:textId="77777777" w:rsidR="00182A3A" w:rsidRDefault="00182A3A">
      <w:r>
        <w:separator/>
      </w:r>
    </w:p>
    <w:p w14:paraId="64474FF5" w14:textId="77777777" w:rsidR="00182A3A" w:rsidRDefault="00182A3A"/>
    <w:p w14:paraId="1ED3445F" w14:textId="77777777" w:rsidR="00182A3A" w:rsidRDefault="00182A3A"/>
  </w:endnote>
  <w:endnote w:type="continuationSeparator" w:id="0">
    <w:p w14:paraId="5CE02EB3" w14:textId="77777777" w:rsidR="00182A3A" w:rsidRDefault="00182A3A">
      <w:r>
        <w:continuationSeparator/>
      </w:r>
    </w:p>
    <w:p w14:paraId="1F6C803E" w14:textId="77777777" w:rsidR="00182A3A" w:rsidRDefault="00182A3A"/>
    <w:p w14:paraId="20807DA0" w14:textId="77777777" w:rsidR="00182A3A" w:rsidRDefault="00182A3A"/>
  </w:endnote>
  <w:endnote w:type="continuationNotice" w:id="1">
    <w:p w14:paraId="125D696C" w14:textId="77777777" w:rsidR="00182A3A" w:rsidRDefault="00182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9D04" w14:textId="77777777" w:rsidR="00182A3A" w:rsidRDefault="00182A3A">
      <w:r>
        <w:separator/>
      </w:r>
    </w:p>
  </w:footnote>
  <w:footnote w:type="continuationSeparator" w:id="0">
    <w:p w14:paraId="2856D35D" w14:textId="77777777" w:rsidR="00182A3A" w:rsidRDefault="00182A3A">
      <w:r>
        <w:continuationSeparator/>
      </w:r>
    </w:p>
    <w:p w14:paraId="25F75581" w14:textId="77777777" w:rsidR="00182A3A" w:rsidRDefault="00182A3A"/>
    <w:p w14:paraId="1C97EA9E" w14:textId="77777777" w:rsidR="00182A3A" w:rsidRDefault="00182A3A"/>
  </w:footnote>
  <w:footnote w:type="continuationNotice" w:id="1">
    <w:p w14:paraId="0DF60554" w14:textId="77777777" w:rsidR="00182A3A" w:rsidRDefault="00182A3A"/>
  </w:footnote>
  <w:footnote w:id="2">
    <w:p w14:paraId="2B603715" w14:textId="15E5F6A8" w:rsidR="00886A6C" w:rsidRPr="00BF5B5C" w:rsidRDefault="00886A6C" w:rsidP="00886A6C">
      <w:pPr>
        <w:pStyle w:val="FootnoteText"/>
        <w:spacing w:before="0"/>
        <w:ind w:left="0" w:firstLine="0"/>
        <w:rPr>
          <w:rFonts w:eastAsia="Verdana" w:cs="Verdana"/>
          <w:lang w:val="es-ES"/>
        </w:rPr>
      </w:pPr>
      <w:r>
        <w:rPr>
          <w:lang w:val="es-ES"/>
        </w:rPr>
        <w:t xml:space="preserve">[1] Véase la </w:t>
      </w:r>
      <w:hyperlink r:id="rId1" w:history="1">
        <w:r w:rsidRPr="00886A6C">
          <w:rPr>
            <w:rStyle w:val="Hyperlink"/>
            <w:lang w:val="es-ES"/>
          </w:rPr>
          <w:t>Resolución 74 (Cg-18)</w:t>
        </w:r>
      </w:hyperlink>
      <w:r>
        <w:rPr>
          <w:lang w:val="es-ES"/>
        </w:rPr>
        <w:t xml:space="preserve"> - Subsanar el déficit de capacidad: ampliar las asociaciones eficaces para la inversión en infraestructuras y prestación de servicios sostenibles y rentables; y la </w:t>
      </w:r>
      <w:hyperlink r:id="rId2" w:history="1">
        <w:r w:rsidRPr="00886A6C">
          <w:rPr>
            <w:rStyle w:val="Hyperlink"/>
            <w:lang w:val="es-ES"/>
          </w:rPr>
          <w:t>Decisión 11 (CE 72)</w:t>
        </w:r>
      </w:hyperlink>
      <w:r>
        <w:rPr>
          <w:lang w:val="es-ES"/>
        </w:rPr>
        <w:t xml:space="preserve"> - Ampliación de las asociaciones eficaces y alcance, escala y progreso de los proyectos de desarrollo de la OMM.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DFEF" w14:textId="1CF456CA" w:rsidR="003143C9" w:rsidRPr="00472D8C" w:rsidRDefault="00FC2996" w:rsidP="00B72444">
    <w:pPr>
      <w:pStyle w:val="Header"/>
      <w:rPr>
        <w:sz w:val="18"/>
        <w:szCs w:val="18"/>
        <w:lang w:val="it-IT"/>
      </w:rPr>
    </w:pPr>
    <w:r w:rsidRPr="003D423B">
      <w:rPr>
        <w:sz w:val="18"/>
        <w:szCs w:val="18"/>
        <w:lang w:val="it-IT"/>
      </w:rPr>
      <w:t>A</w:t>
    </w:r>
    <w:r w:rsidR="0069167A">
      <w:rPr>
        <w:sz w:val="18"/>
        <w:szCs w:val="18"/>
        <w:lang w:val="it-IT"/>
      </w:rPr>
      <w:t>R</w:t>
    </w:r>
    <w:r w:rsidRPr="003D423B">
      <w:rPr>
        <w:sz w:val="18"/>
        <w:szCs w:val="18"/>
        <w:lang w:val="it-IT"/>
      </w:rPr>
      <w:t xml:space="preserve"> </w:t>
    </w:r>
    <w:r w:rsidR="0069167A">
      <w:rPr>
        <w:sz w:val="18"/>
        <w:szCs w:val="18"/>
        <w:lang w:val="it-IT"/>
      </w:rPr>
      <w:t>V</w:t>
    </w:r>
    <w:r w:rsidRPr="003D423B">
      <w:rPr>
        <w:sz w:val="18"/>
        <w:szCs w:val="18"/>
        <w:lang w:val="it-IT"/>
      </w:rPr>
      <w:t>I-1</w:t>
    </w:r>
    <w:r w:rsidR="00EA6A2D" w:rsidRPr="003D423B">
      <w:rPr>
        <w:sz w:val="18"/>
        <w:szCs w:val="18"/>
        <w:lang w:val="it-IT"/>
      </w:rPr>
      <w:t>9(I)</w:t>
    </w:r>
    <w:r w:rsidRPr="003D423B">
      <w:rPr>
        <w:sz w:val="18"/>
        <w:szCs w:val="18"/>
        <w:lang w:val="it-IT"/>
      </w:rPr>
      <w:t>/</w:t>
    </w:r>
    <w:r w:rsidR="00886A6C">
      <w:rPr>
        <w:sz w:val="18"/>
        <w:szCs w:val="18"/>
        <w:lang w:val="it-IT"/>
      </w:rPr>
      <w:t>INF. 3.4(2)</w:t>
    </w:r>
    <w:r w:rsidR="003143C9" w:rsidRPr="003D423B">
      <w:rPr>
        <w:sz w:val="18"/>
        <w:szCs w:val="18"/>
        <w:lang w:val="it-IT"/>
      </w:rPr>
      <w:t xml:space="preserve">, </w:t>
    </w:r>
    <w:r w:rsidR="00595ED4" w:rsidRPr="008C11BE">
      <w:rPr>
        <w:sz w:val="18"/>
        <w:szCs w:val="18"/>
        <w:lang w:val="it-IT"/>
      </w:rPr>
      <w:t>VERSI</w:t>
    </w:r>
    <w:r w:rsidR="00472D8C">
      <w:rPr>
        <w:sz w:val="18"/>
        <w:szCs w:val="18"/>
        <w:lang w:val="it-IT"/>
      </w:rPr>
      <w:t>Ó</w:t>
    </w:r>
    <w:r w:rsidR="00595ED4" w:rsidRPr="008C11BE">
      <w:rPr>
        <w:sz w:val="18"/>
        <w:szCs w:val="18"/>
        <w:lang w:val="it-IT"/>
      </w:rPr>
      <w:t>N</w:t>
    </w:r>
    <w:r w:rsidR="003143C9" w:rsidRPr="003D423B">
      <w:rPr>
        <w:sz w:val="18"/>
        <w:szCs w:val="18"/>
        <w:lang w:val="it-IT"/>
      </w:rPr>
      <w:t xml:space="preserve"> 1, p. </w:t>
    </w:r>
    <w:r w:rsidR="003143C9" w:rsidRPr="00595ED4">
      <w:rPr>
        <w:rStyle w:val="PageNumber"/>
        <w:sz w:val="18"/>
        <w:szCs w:val="18"/>
      </w:rPr>
      <w:fldChar w:fldCharType="begin"/>
    </w:r>
    <w:r w:rsidR="003143C9" w:rsidRPr="003D423B">
      <w:rPr>
        <w:rStyle w:val="PageNumber"/>
        <w:sz w:val="18"/>
        <w:szCs w:val="18"/>
        <w:lang w:val="it-IT"/>
      </w:rPr>
      <w:instrText xml:space="preserve"> PAGE </w:instrText>
    </w:r>
    <w:r w:rsidR="003143C9" w:rsidRPr="00595ED4">
      <w:rPr>
        <w:rStyle w:val="PageNumber"/>
        <w:sz w:val="18"/>
        <w:szCs w:val="18"/>
      </w:rPr>
      <w:fldChar w:fldCharType="separate"/>
    </w:r>
    <w:r w:rsidR="003143C9" w:rsidRPr="00472D8C">
      <w:rPr>
        <w:rStyle w:val="PageNumber"/>
        <w:noProof/>
        <w:sz w:val="18"/>
        <w:szCs w:val="18"/>
        <w:lang w:val="it-IT"/>
      </w:rPr>
      <w:t>6</w:t>
    </w:r>
    <w:r w:rsidR="003143C9" w:rsidRPr="00595ED4">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C400307"/>
    <w:multiLevelType w:val="hybridMultilevel"/>
    <w:tmpl w:val="C53051F4"/>
    <w:lvl w:ilvl="0" w:tplc="20000011">
      <w:start w:val="1"/>
      <w:numFmt w:val="decimal"/>
      <w:lvlText w:val="%1)"/>
      <w:lvlJc w:val="left"/>
      <w:pPr>
        <w:ind w:left="1080" w:hanging="360"/>
      </w:pPr>
      <w:rPr>
        <w:rFonts w:hint="default"/>
      </w:rPr>
    </w:lvl>
    <w:lvl w:ilvl="1" w:tplc="24000019" w:tentative="1">
      <w:start w:val="1"/>
      <w:numFmt w:val="lowerLetter"/>
      <w:lvlText w:val="%2."/>
      <w:lvlJc w:val="left"/>
      <w:pPr>
        <w:ind w:left="1800" w:hanging="360"/>
      </w:pPr>
    </w:lvl>
    <w:lvl w:ilvl="2" w:tplc="2400001B" w:tentative="1">
      <w:start w:val="1"/>
      <w:numFmt w:val="lowerRoman"/>
      <w:lvlText w:val="%3."/>
      <w:lvlJc w:val="right"/>
      <w:pPr>
        <w:ind w:left="2520" w:hanging="180"/>
      </w:pPr>
    </w:lvl>
    <w:lvl w:ilvl="3" w:tplc="2400000F" w:tentative="1">
      <w:start w:val="1"/>
      <w:numFmt w:val="decimal"/>
      <w:lvlText w:val="%4."/>
      <w:lvlJc w:val="left"/>
      <w:pPr>
        <w:ind w:left="3240" w:hanging="360"/>
      </w:pPr>
    </w:lvl>
    <w:lvl w:ilvl="4" w:tplc="24000019" w:tentative="1">
      <w:start w:val="1"/>
      <w:numFmt w:val="lowerLetter"/>
      <w:lvlText w:val="%5."/>
      <w:lvlJc w:val="left"/>
      <w:pPr>
        <w:ind w:left="3960" w:hanging="360"/>
      </w:pPr>
    </w:lvl>
    <w:lvl w:ilvl="5" w:tplc="2400001B" w:tentative="1">
      <w:start w:val="1"/>
      <w:numFmt w:val="lowerRoman"/>
      <w:lvlText w:val="%6."/>
      <w:lvlJc w:val="right"/>
      <w:pPr>
        <w:ind w:left="4680" w:hanging="180"/>
      </w:pPr>
    </w:lvl>
    <w:lvl w:ilvl="6" w:tplc="2400000F" w:tentative="1">
      <w:start w:val="1"/>
      <w:numFmt w:val="decimal"/>
      <w:lvlText w:val="%7."/>
      <w:lvlJc w:val="left"/>
      <w:pPr>
        <w:ind w:left="5400" w:hanging="360"/>
      </w:pPr>
    </w:lvl>
    <w:lvl w:ilvl="7" w:tplc="24000019" w:tentative="1">
      <w:start w:val="1"/>
      <w:numFmt w:val="lowerLetter"/>
      <w:lvlText w:val="%8."/>
      <w:lvlJc w:val="left"/>
      <w:pPr>
        <w:ind w:left="6120" w:hanging="360"/>
      </w:pPr>
    </w:lvl>
    <w:lvl w:ilvl="8" w:tplc="2400001B" w:tentative="1">
      <w:start w:val="1"/>
      <w:numFmt w:val="lowerRoman"/>
      <w:lvlText w:val="%9."/>
      <w:lvlJc w:val="right"/>
      <w:pPr>
        <w:ind w:left="684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368349"/>
    <w:multiLevelType w:val="hybridMultilevel"/>
    <w:tmpl w:val="0E60DB1E"/>
    <w:lvl w:ilvl="0" w:tplc="20000011">
      <w:start w:val="1"/>
      <w:numFmt w:val="decimal"/>
      <w:lvlText w:val="%1)"/>
      <w:lvlJc w:val="left"/>
      <w:pPr>
        <w:ind w:left="720" w:hanging="360"/>
      </w:pPr>
      <w:rPr>
        <w:rFonts w:hint="default"/>
      </w:rPr>
    </w:lvl>
    <w:lvl w:ilvl="1" w:tplc="59BC128C">
      <w:start w:val="1"/>
      <w:numFmt w:val="bullet"/>
      <w:lvlText w:val="o"/>
      <w:lvlJc w:val="left"/>
      <w:pPr>
        <w:ind w:left="1440" w:hanging="360"/>
      </w:pPr>
      <w:rPr>
        <w:rFonts w:ascii="Courier New" w:hAnsi="Courier New" w:hint="default"/>
      </w:rPr>
    </w:lvl>
    <w:lvl w:ilvl="2" w:tplc="000052AC">
      <w:start w:val="1"/>
      <w:numFmt w:val="bullet"/>
      <w:lvlText w:val=""/>
      <w:lvlJc w:val="left"/>
      <w:pPr>
        <w:ind w:left="2160" w:hanging="360"/>
      </w:pPr>
      <w:rPr>
        <w:rFonts w:ascii="Wingdings" w:hAnsi="Wingdings" w:hint="default"/>
      </w:rPr>
    </w:lvl>
    <w:lvl w:ilvl="3" w:tplc="EAFC4E6E">
      <w:start w:val="1"/>
      <w:numFmt w:val="bullet"/>
      <w:lvlText w:val=""/>
      <w:lvlJc w:val="left"/>
      <w:pPr>
        <w:ind w:left="2880" w:hanging="360"/>
      </w:pPr>
      <w:rPr>
        <w:rFonts w:ascii="Symbol" w:hAnsi="Symbol" w:hint="default"/>
      </w:rPr>
    </w:lvl>
    <w:lvl w:ilvl="4" w:tplc="69486114">
      <w:start w:val="1"/>
      <w:numFmt w:val="bullet"/>
      <w:lvlText w:val="o"/>
      <w:lvlJc w:val="left"/>
      <w:pPr>
        <w:ind w:left="3600" w:hanging="360"/>
      </w:pPr>
      <w:rPr>
        <w:rFonts w:ascii="Courier New" w:hAnsi="Courier New" w:hint="default"/>
      </w:rPr>
    </w:lvl>
    <w:lvl w:ilvl="5" w:tplc="974CBE6C">
      <w:start w:val="1"/>
      <w:numFmt w:val="bullet"/>
      <w:lvlText w:val=""/>
      <w:lvlJc w:val="left"/>
      <w:pPr>
        <w:ind w:left="4320" w:hanging="360"/>
      </w:pPr>
      <w:rPr>
        <w:rFonts w:ascii="Wingdings" w:hAnsi="Wingdings" w:hint="default"/>
      </w:rPr>
    </w:lvl>
    <w:lvl w:ilvl="6" w:tplc="D8A255DE">
      <w:start w:val="1"/>
      <w:numFmt w:val="bullet"/>
      <w:lvlText w:val=""/>
      <w:lvlJc w:val="left"/>
      <w:pPr>
        <w:ind w:left="5040" w:hanging="360"/>
      </w:pPr>
      <w:rPr>
        <w:rFonts w:ascii="Symbol" w:hAnsi="Symbol" w:hint="default"/>
      </w:rPr>
    </w:lvl>
    <w:lvl w:ilvl="7" w:tplc="95EAB19A">
      <w:start w:val="1"/>
      <w:numFmt w:val="bullet"/>
      <w:lvlText w:val="o"/>
      <w:lvlJc w:val="left"/>
      <w:pPr>
        <w:ind w:left="5760" w:hanging="360"/>
      </w:pPr>
      <w:rPr>
        <w:rFonts w:ascii="Courier New" w:hAnsi="Courier New" w:hint="default"/>
      </w:rPr>
    </w:lvl>
    <w:lvl w:ilvl="8" w:tplc="04523476">
      <w:start w:val="1"/>
      <w:numFmt w:val="bullet"/>
      <w:lvlText w:val=""/>
      <w:lvlJc w:val="left"/>
      <w:pPr>
        <w:ind w:left="6480" w:hanging="360"/>
      </w:pPr>
      <w:rPr>
        <w:rFonts w:ascii="Wingdings" w:hAnsi="Wingdings" w:hint="default"/>
      </w:r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8452A7"/>
    <w:multiLevelType w:val="hybridMultilevel"/>
    <w:tmpl w:val="F7C87788"/>
    <w:lvl w:ilvl="0" w:tplc="20000011">
      <w:start w:val="1"/>
      <w:numFmt w:val="decimal"/>
      <w:lvlText w:val="%1)"/>
      <w:lvlJc w:val="left"/>
      <w:pPr>
        <w:ind w:left="720" w:hanging="360"/>
      </w:pPr>
      <w:rPr>
        <w:rFonts w:hint="default"/>
      </w:rPr>
    </w:lvl>
    <w:lvl w:ilvl="1" w:tplc="3F40D712">
      <w:start w:val="1"/>
      <w:numFmt w:val="bullet"/>
      <w:lvlText w:val="o"/>
      <w:lvlJc w:val="left"/>
      <w:pPr>
        <w:ind w:left="1440" w:hanging="360"/>
      </w:pPr>
      <w:rPr>
        <w:rFonts w:ascii="Courier New" w:hAnsi="Courier New" w:hint="default"/>
      </w:rPr>
    </w:lvl>
    <w:lvl w:ilvl="2" w:tplc="7A42BB9A">
      <w:start w:val="1"/>
      <w:numFmt w:val="bullet"/>
      <w:lvlText w:val=""/>
      <w:lvlJc w:val="left"/>
      <w:pPr>
        <w:ind w:left="2160" w:hanging="360"/>
      </w:pPr>
      <w:rPr>
        <w:rFonts w:ascii="Wingdings" w:hAnsi="Wingdings" w:hint="default"/>
      </w:rPr>
    </w:lvl>
    <w:lvl w:ilvl="3" w:tplc="9BCC75F4">
      <w:start w:val="1"/>
      <w:numFmt w:val="bullet"/>
      <w:lvlText w:val=""/>
      <w:lvlJc w:val="left"/>
      <w:pPr>
        <w:ind w:left="2880" w:hanging="360"/>
      </w:pPr>
      <w:rPr>
        <w:rFonts w:ascii="Symbol" w:hAnsi="Symbol" w:hint="default"/>
      </w:rPr>
    </w:lvl>
    <w:lvl w:ilvl="4" w:tplc="A99C368A">
      <w:start w:val="1"/>
      <w:numFmt w:val="bullet"/>
      <w:lvlText w:val="o"/>
      <w:lvlJc w:val="left"/>
      <w:pPr>
        <w:ind w:left="3600" w:hanging="360"/>
      </w:pPr>
      <w:rPr>
        <w:rFonts w:ascii="Courier New" w:hAnsi="Courier New" w:hint="default"/>
      </w:rPr>
    </w:lvl>
    <w:lvl w:ilvl="5" w:tplc="C52A7F52">
      <w:start w:val="1"/>
      <w:numFmt w:val="bullet"/>
      <w:lvlText w:val=""/>
      <w:lvlJc w:val="left"/>
      <w:pPr>
        <w:ind w:left="4320" w:hanging="360"/>
      </w:pPr>
      <w:rPr>
        <w:rFonts w:ascii="Wingdings" w:hAnsi="Wingdings" w:hint="default"/>
      </w:rPr>
    </w:lvl>
    <w:lvl w:ilvl="6" w:tplc="10F617A4">
      <w:start w:val="1"/>
      <w:numFmt w:val="bullet"/>
      <w:lvlText w:val=""/>
      <w:lvlJc w:val="left"/>
      <w:pPr>
        <w:ind w:left="5040" w:hanging="360"/>
      </w:pPr>
      <w:rPr>
        <w:rFonts w:ascii="Symbol" w:hAnsi="Symbol" w:hint="default"/>
      </w:rPr>
    </w:lvl>
    <w:lvl w:ilvl="7" w:tplc="4C46B15E">
      <w:start w:val="1"/>
      <w:numFmt w:val="bullet"/>
      <w:lvlText w:val="o"/>
      <w:lvlJc w:val="left"/>
      <w:pPr>
        <w:ind w:left="5760" w:hanging="360"/>
      </w:pPr>
      <w:rPr>
        <w:rFonts w:ascii="Courier New" w:hAnsi="Courier New" w:hint="default"/>
      </w:rPr>
    </w:lvl>
    <w:lvl w:ilvl="8" w:tplc="07EC6A50">
      <w:start w:val="1"/>
      <w:numFmt w:val="bullet"/>
      <w:lvlText w:val=""/>
      <w:lvlJc w:val="left"/>
      <w:pPr>
        <w:ind w:left="6480" w:hanging="360"/>
      </w:pPr>
      <w:rPr>
        <w:rFonts w:ascii="Wingdings" w:hAnsi="Wingdings" w:hint="default"/>
      </w:r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13009D"/>
    <w:multiLevelType w:val="hybridMultilevel"/>
    <w:tmpl w:val="86BE8698"/>
    <w:lvl w:ilvl="0" w:tplc="20000011">
      <w:start w:val="1"/>
      <w:numFmt w:val="decimal"/>
      <w:lvlText w:val="%1)"/>
      <w:lvlJc w:val="left"/>
      <w:pPr>
        <w:ind w:left="789" w:hanging="720"/>
      </w:pPr>
      <w:rPr>
        <w:rFonts w:hint="default"/>
      </w:rPr>
    </w:lvl>
    <w:lvl w:ilvl="1" w:tplc="FFFFFFFF" w:tentative="1">
      <w:start w:val="1"/>
      <w:numFmt w:val="lowerLetter"/>
      <w:lvlText w:val="%2."/>
      <w:lvlJc w:val="left"/>
      <w:pPr>
        <w:ind w:left="1149" w:hanging="360"/>
      </w:pPr>
    </w:lvl>
    <w:lvl w:ilvl="2" w:tplc="FFFFFFFF" w:tentative="1">
      <w:start w:val="1"/>
      <w:numFmt w:val="lowerRoman"/>
      <w:lvlText w:val="%3."/>
      <w:lvlJc w:val="right"/>
      <w:pPr>
        <w:ind w:left="1869" w:hanging="180"/>
      </w:pPr>
    </w:lvl>
    <w:lvl w:ilvl="3" w:tplc="FFFFFFFF" w:tentative="1">
      <w:start w:val="1"/>
      <w:numFmt w:val="decimal"/>
      <w:lvlText w:val="%4."/>
      <w:lvlJc w:val="left"/>
      <w:pPr>
        <w:ind w:left="2589" w:hanging="360"/>
      </w:pPr>
    </w:lvl>
    <w:lvl w:ilvl="4" w:tplc="FFFFFFFF" w:tentative="1">
      <w:start w:val="1"/>
      <w:numFmt w:val="lowerLetter"/>
      <w:lvlText w:val="%5."/>
      <w:lvlJc w:val="left"/>
      <w:pPr>
        <w:ind w:left="3309" w:hanging="360"/>
      </w:pPr>
    </w:lvl>
    <w:lvl w:ilvl="5" w:tplc="FFFFFFFF" w:tentative="1">
      <w:start w:val="1"/>
      <w:numFmt w:val="lowerRoman"/>
      <w:lvlText w:val="%6."/>
      <w:lvlJc w:val="right"/>
      <w:pPr>
        <w:ind w:left="4029" w:hanging="180"/>
      </w:pPr>
    </w:lvl>
    <w:lvl w:ilvl="6" w:tplc="FFFFFFFF" w:tentative="1">
      <w:start w:val="1"/>
      <w:numFmt w:val="decimal"/>
      <w:lvlText w:val="%7."/>
      <w:lvlJc w:val="left"/>
      <w:pPr>
        <w:ind w:left="4749" w:hanging="360"/>
      </w:pPr>
    </w:lvl>
    <w:lvl w:ilvl="7" w:tplc="FFFFFFFF" w:tentative="1">
      <w:start w:val="1"/>
      <w:numFmt w:val="lowerLetter"/>
      <w:lvlText w:val="%8."/>
      <w:lvlJc w:val="left"/>
      <w:pPr>
        <w:ind w:left="5469" w:hanging="360"/>
      </w:pPr>
    </w:lvl>
    <w:lvl w:ilvl="8" w:tplc="FFFFFFFF" w:tentative="1">
      <w:start w:val="1"/>
      <w:numFmt w:val="lowerRoman"/>
      <w:lvlText w:val="%9."/>
      <w:lvlJc w:val="right"/>
      <w:pPr>
        <w:ind w:left="6189"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A972955"/>
    <w:multiLevelType w:val="hybridMultilevel"/>
    <w:tmpl w:val="D096C33C"/>
    <w:lvl w:ilvl="0" w:tplc="20000011">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41"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5563768"/>
    <w:multiLevelType w:val="hybridMultilevel"/>
    <w:tmpl w:val="9D18150A"/>
    <w:lvl w:ilvl="0" w:tplc="20000011">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0"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8117710">
    <w:abstractNumId w:val="32"/>
  </w:num>
  <w:num w:numId="2" w16cid:durableId="395132351">
    <w:abstractNumId w:val="50"/>
  </w:num>
  <w:num w:numId="3" w16cid:durableId="683485111">
    <w:abstractNumId w:val="29"/>
  </w:num>
  <w:num w:numId="4" w16cid:durableId="888303166">
    <w:abstractNumId w:val="41"/>
  </w:num>
  <w:num w:numId="5" w16cid:durableId="937755136">
    <w:abstractNumId w:val="18"/>
  </w:num>
  <w:num w:numId="6" w16cid:durableId="770706160">
    <w:abstractNumId w:val="23"/>
  </w:num>
  <w:num w:numId="7" w16cid:durableId="1912621405">
    <w:abstractNumId w:val="19"/>
  </w:num>
  <w:num w:numId="8" w16cid:durableId="180946254">
    <w:abstractNumId w:val="34"/>
  </w:num>
  <w:num w:numId="9" w16cid:durableId="483395811">
    <w:abstractNumId w:val="22"/>
  </w:num>
  <w:num w:numId="10" w16cid:durableId="843129939">
    <w:abstractNumId w:val="21"/>
  </w:num>
  <w:num w:numId="11" w16cid:durableId="829566723">
    <w:abstractNumId w:val="39"/>
  </w:num>
  <w:num w:numId="12" w16cid:durableId="439373003">
    <w:abstractNumId w:val="11"/>
  </w:num>
  <w:num w:numId="13" w16cid:durableId="1394966300">
    <w:abstractNumId w:val="26"/>
  </w:num>
  <w:num w:numId="14" w16cid:durableId="1083793167">
    <w:abstractNumId w:val="45"/>
  </w:num>
  <w:num w:numId="15" w16cid:durableId="41289554">
    <w:abstractNumId w:val="20"/>
  </w:num>
  <w:num w:numId="16" w16cid:durableId="79370841">
    <w:abstractNumId w:val="9"/>
  </w:num>
  <w:num w:numId="17" w16cid:durableId="1571118888">
    <w:abstractNumId w:val="7"/>
  </w:num>
  <w:num w:numId="18" w16cid:durableId="2116052669">
    <w:abstractNumId w:val="6"/>
  </w:num>
  <w:num w:numId="19" w16cid:durableId="817764028">
    <w:abstractNumId w:val="5"/>
  </w:num>
  <w:num w:numId="20" w16cid:durableId="230042971">
    <w:abstractNumId w:val="4"/>
  </w:num>
  <w:num w:numId="21" w16cid:durableId="1769546142">
    <w:abstractNumId w:val="8"/>
  </w:num>
  <w:num w:numId="22" w16cid:durableId="2098364357">
    <w:abstractNumId w:val="3"/>
  </w:num>
  <w:num w:numId="23" w16cid:durableId="45028411">
    <w:abstractNumId w:val="2"/>
  </w:num>
  <w:num w:numId="24" w16cid:durableId="899246484">
    <w:abstractNumId w:val="1"/>
  </w:num>
  <w:num w:numId="25" w16cid:durableId="976648262">
    <w:abstractNumId w:val="0"/>
  </w:num>
  <w:num w:numId="26" w16cid:durableId="1624851051">
    <w:abstractNumId w:val="47"/>
  </w:num>
  <w:num w:numId="27" w16cid:durableId="284893697">
    <w:abstractNumId w:val="35"/>
  </w:num>
  <w:num w:numId="28" w16cid:durableId="112556197">
    <w:abstractNumId w:val="24"/>
  </w:num>
  <w:num w:numId="29" w16cid:durableId="1826781198">
    <w:abstractNumId w:val="36"/>
  </w:num>
  <w:num w:numId="30" w16cid:durableId="40599064">
    <w:abstractNumId w:val="37"/>
  </w:num>
  <w:num w:numId="31" w16cid:durableId="874587545">
    <w:abstractNumId w:val="14"/>
  </w:num>
  <w:num w:numId="32" w16cid:durableId="1794666580">
    <w:abstractNumId w:val="44"/>
  </w:num>
  <w:num w:numId="33" w16cid:durableId="614749954">
    <w:abstractNumId w:val="42"/>
  </w:num>
  <w:num w:numId="34" w16cid:durableId="2077586355">
    <w:abstractNumId w:val="25"/>
  </w:num>
  <w:num w:numId="35" w16cid:durableId="1884560045">
    <w:abstractNumId w:val="27"/>
  </w:num>
  <w:num w:numId="36" w16cid:durableId="1154374151">
    <w:abstractNumId w:val="48"/>
  </w:num>
  <w:num w:numId="37" w16cid:durableId="1827430313">
    <w:abstractNumId w:val="38"/>
  </w:num>
  <w:num w:numId="38" w16cid:durableId="380323024">
    <w:abstractNumId w:val="12"/>
  </w:num>
  <w:num w:numId="39" w16cid:durableId="1466049558">
    <w:abstractNumId w:val="13"/>
  </w:num>
  <w:num w:numId="40" w16cid:durableId="117652511">
    <w:abstractNumId w:val="15"/>
  </w:num>
  <w:num w:numId="41" w16cid:durableId="311764002">
    <w:abstractNumId w:val="10"/>
  </w:num>
  <w:num w:numId="42" w16cid:durableId="1118449087">
    <w:abstractNumId w:val="46"/>
  </w:num>
  <w:num w:numId="43" w16cid:durableId="173421731">
    <w:abstractNumId w:val="17"/>
  </w:num>
  <w:num w:numId="44" w16cid:durableId="280694128">
    <w:abstractNumId w:val="30"/>
  </w:num>
  <w:num w:numId="45" w16cid:durableId="2084912840">
    <w:abstractNumId w:val="43"/>
  </w:num>
  <w:num w:numId="46" w16cid:durableId="738791933">
    <w:abstractNumId w:val="28"/>
  </w:num>
  <w:num w:numId="47" w16cid:durableId="1526555541">
    <w:abstractNumId w:val="31"/>
  </w:num>
  <w:num w:numId="48" w16cid:durableId="1178155579">
    <w:abstractNumId w:val="49"/>
  </w:num>
  <w:num w:numId="49" w16cid:durableId="1495949310">
    <w:abstractNumId w:val="40"/>
  </w:num>
  <w:num w:numId="50" w16cid:durableId="1659966952">
    <w:abstractNumId w:val="16"/>
  </w:num>
  <w:num w:numId="51" w16cid:durableId="9895596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6C"/>
    <w:rsid w:val="00001CF5"/>
    <w:rsid w:val="0000459E"/>
    <w:rsid w:val="000133EE"/>
    <w:rsid w:val="00014820"/>
    <w:rsid w:val="000206A8"/>
    <w:rsid w:val="0003137A"/>
    <w:rsid w:val="00041171"/>
    <w:rsid w:val="00041727"/>
    <w:rsid w:val="0004226F"/>
    <w:rsid w:val="00050060"/>
    <w:rsid w:val="00050F8E"/>
    <w:rsid w:val="000518BB"/>
    <w:rsid w:val="000573AD"/>
    <w:rsid w:val="0006123B"/>
    <w:rsid w:val="00064F6B"/>
    <w:rsid w:val="00067325"/>
    <w:rsid w:val="000708A5"/>
    <w:rsid w:val="00071D6D"/>
    <w:rsid w:val="00072F17"/>
    <w:rsid w:val="000750D0"/>
    <w:rsid w:val="000806D8"/>
    <w:rsid w:val="00082C80"/>
    <w:rsid w:val="00083099"/>
    <w:rsid w:val="00083847"/>
    <w:rsid w:val="00083C36"/>
    <w:rsid w:val="00092CAE"/>
    <w:rsid w:val="00095E48"/>
    <w:rsid w:val="000A067F"/>
    <w:rsid w:val="000A0762"/>
    <w:rsid w:val="000A4F1C"/>
    <w:rsid w:val="000A5190"/>
    <w:rsid w:val="000A51EC"/>
    <w:rsid w:val="000A69BF"/>
    <w:rsid w:val="000C225A"/>
    <w:rsid w:val="000C6781"/>
    <w:rsid w:val="000C6A11"/>
    <w:rsid w:val="000D0753"/>
    <w:rsid w:val="000F5E49"/>
    <w:rsid w:val="000F7A87"/>
    <w:rsid w:val="00102EAE"/>
    <w:rsid w:val="001047DC"/>
    <w:rsid w:val="00105D2E"/>
    <w:rsid w:val="00110CE0"/>
    <w:rsid w:val="00111BFD"/>
    <w:rsid w:val="0011498B"/>
    <w:rsid w:val="00120147"/>
    <w:rsid w:val="00123140"/>
    <w:rsid w:val="00123D94"/>
    <w:rsid w:val="001242AE"/>
    <w:rsid w:val="00146195"/>
    <w:rsid w:val="00155527"/>
    <w:rsid w:val="001564E9"/>
    <w:rsid w:val="00156F9B"/>
    <w:rsid w:val="00163BA3"/>
    <w:rsid w:val="00166B31"/>
    <w:rsid w:val="00167D54"/>
    <w:rsid w:val="001732E7"/>
    <w:rsid w:val="00180771"/>
    <w:rsid w:val="00182A3A"/>
    <w:rsid w:val="00190854"/>
    <w:rsid w:val="001930A3"/>
    <w:rsid w:val="00195AD9"/>
    <w:rsid w:val="00196EB8"/>
    <w:rsid w:val="001A25F0"/>
    <w:rsid w:val="001A341E"/>
    <w:rsid w:val="001B0EA6"/>
    <w:rsid w:val="001B1CDF"/>
    <w:rsid w:val="001B38BB"/>
    <w:rsid w:val="001B56F4"/>
    <w:rsid w:val="001C5462"/>
    <w:rsid w:val="001D265C"/>
    <w:rsid w:val="001D3062"/>
    <w:rsid w:val="001D3CFB"/>
    <w:rsid w:val="001D559B"/>
    <w:rsid w:val="001D6302"/>
    <w:rsid w:val="001E2C22"/>
    <w:rsid w:val="001E4565"/>
    <w:rsid w:val="001E740C"/>
    <w:rsid w:val="001E7DD0"/>
    <w:rsid w:val="001F1BDA"/>
    <w:rsid w:val="001F48A5"/>
    <w:rsid w:val="0020095E"/>
    <w:rsid w:val="00207AA6"/>
    <w:rsid w:val="00210BFE"/>
    <w:rsid w:val="00210D30"/>
    <w:rsid w:val="002204FD"/>
    <w:rsid w:val="00221020"/>
    <w:rsid w:val="0022455A"/>
    <w:rsid w:val="002308B5"/>
    <w:rsid w:val="00233C0B"/>
    <w:rsid w:val="00234A34"/>
    <w:rsid w:val="0025255D"/>
    <w:rsid w:val="00253070"/>
    <w:rsid w:val="00255EE3"/>
    <w:rsid w:val="00256B3D"/>
    <w:rsid w:val="0026409B"/>
    <w:rsid w:val="0026743C"/>
    <w:rsid w:val="00270480"/>
    <w:rsid w:val="002713E9"/>
    <w:rsid w:val="002779AF"/>
    <w:rsid w:val="002823D8"/>
    <w:rsid w:val="0028531A"/>
    <w:rsid w:val="00285446"/>
    <w:rsid w:val="00295593"/>
    <w:rsid w:val="002A29BD"/>
    <w:rsid w:val="002A354F"/>
    <w:rsid w:val="002A386C"/>
    <w:rsid w:val="002A3B7E"/>
    <w:rsid w:val="002B540D"/>
    <w:rsid w:val="002B7A7E"/>
    <w:rsid w:val="002C30BC"/>
    <w:rsid w:val="002C37B7"/>
    <w:rsid w:val="002C3987"/>
    <w:rsid w:val="002C5965"/>
    <w:rsid w:val="002C7A88"/>
    <w:rsid w:val="002C7AB9"/>
    <w:rsid w:val="002D232B"/>
    <w:rsid w:val="002D2759"/>
    <w:rsid w:val="002D5E00"/>
    <w:rsid w:val="002D6DAC"/>
    <w:rsid w:val="002E261D"/>
    <w:rsid w:val="002E3FAD"/>
    <w:rsid w:val="002E4E16"/>
    <w:rsid w:val="002F6DAC"/>
    <w:rsid w:val="00301E8C"/>
    <w:rsid w:val="00306057"/>
    <w:rsid w:val="00312177"/>
    <w:rsid w:val="003143C9"/>
    <w:rsid w:val="003146E9"/>
    <w:rsid w:val="00314D5D"/>
    <w:rsid w:val="00320009"/>
    <w:rsid w:val="0032424A"/>
    <w:rsid w:val="003245D3"/>
    <w:rsid w:val="00330AA3"/>
    <w:rsid w:val="00331584"/>
    <w:rsid w:val="00331964"/>
    <w:rsid w:val="00334987"/>
    <w:rsid w:val="00340C69"/>
    <w:rsid w:val="00342E34"/>
    <w:rsid w:val="00345FAA"/>
    <w:rsid w:val="00347201"/>
    <w:rsid w:val="0035567E"/>
    <w:rsid w:val="003638A1"/>
    <w:rsid w:val="00371CF1"/>
    <w:rsid w:val="00372211"/>
    <w:rsid w:val="00373128"/>
    <w:rsid w:val="003750C1"/>
    <w:rsid w:val="0038051E"/>
    <w:rsid w:val="003809E1"/>
    <w:rsid w:val="00380AF7"/>
    <w:rsid w:val="00394A05"/>
    <w:rsid w:val="003955F5"/>
    <w:rsid w:val="00397770"/>
    <w:rsid w:val="00397880"/>
    <w:rsid w:val="003A5894"/>
    <w:rsid w:val="003A7016"/>
    <w:rsid w:val="003A70AE"/>
    <w:rsid w:val="003B0C08"/>
    <w:rsid w:val="003B4908"/>
    <w:rsid w:val="003B5A74"/>
    <w:rsid w:val="003C17A5"/>
    <w:rsid w:val="003C1843"/>
    <w:rsid w:val="003C5D19"/>
    <w:rsid w:val="003D1552"/>
    <w:rsid w:val="003D423B"/>
    <w:rsid w:val="003E381F"/>
    <w:rsid w:val="003E4046"/>
    <w:rsid w:val="003F003A"/>
    <w:rsid w:val="003F125B"/>
    <w:rsid w:val="003F5943"/>
    <w:rsid w:val="003F7B3F"/>
    <w:rsid w:val="004058AD"/>
    <w:rsid w:val="0041078D"/>
    <w:rsid w:val="00416F97"/>
    <w:rsid w:val="0043039B"/>
    <w:rsid w:val="00436197"/>
    <w:rsid w:val="004423FE"/>
    <w:rsid w:val="00445C35"/>
    <w:rsid w:val="0045053B"/>
    <w:rsid w:val="00454B41"/>
    <w:rsid w:val="0045663A"/>
    <w:rsid w:val="0046344E"/>
    <w:rsid w:val="004654FB"/>
    <w:rsid w:val="004667E7"/>
    <w:rsid w:val="004672CF"/>
    <w:rsid w:val="00472B40"/>
    <w:rsid w:val="00472D8C"/>
    <w:rsid w:val="00475797"/>
    <w:rsid w:val="00476D0A"/>
    <w:rsid w:val="00482BF7"/>
    <w:rsid w:val="0049002F"/>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072C4"/>
    <w:rsid w:val="00511999"/>
    <w:rsid w:val="005145D6"/>
    <w:rsid w:val="005206E5"/>
    <w:rsid w:val="00520824"/>
    <w:rsid w:val="00521EA5"/>
    <w:rsid w:val="00525B80"/>
    <w:rsid w:val="0053098F"/>
    <w:rsid w:val="00536065"/>
    <w:rsid w:val="00536B2E"/>
    <w:rsid w:val="00546D8E"/>
    <w:rsid w:val="00553738"/>
    <w:rsid w:val="0056646F"/>
    <w:rsid w:val="00571AE1"/>
    <w:rsid w:val="00581B28"/>
    <w:rsid w:val="00590010"/>
    <w:rsid w:val="00592267"/>
    <w:rsid w:val="0059421F"/>
    <w:rsid w:val="00595ED4"/>
    <w:rsid w:val="005A136D"/>
    <w:rsid w:val="005A1B09"/>
    <w:rsid w:val="005B0AE2"/>
    <w:rsid w:val="005B1F2C"/>
    <w:rsid w:val="005B5F3C"/>
    <w:rsid w:val="005C41F2"/>
    <w:rsid w:val="005C5DDD"/>
    <w:rsid w:val="005C5EA3"/>
    <w:rsid w:val="005D03D9"/>
    <w:rsid w:val="005D1EE8"/>
    <w:rsid w:val="005D51CF"/>
    <w:rsid w:val="005D56AE"/>
    <w:rsid w:val="005D666D"/>
    <w:rsid w:val="005E3A59"/>
    <w:rsid w:val="005E6AA1"/>
    <w:rsid w:val="00604802"/>
    <w:rsid w:val="006125F8"/>
    <w:rsid w:val="00615AB0"/>
    <w:rsid w:val="00616247"/>
    <w:rsid w:val="0061778C"/>
    <w:rsid w:val="00636B90"/>
    <w:rsid w:val="00644CD5"/>
    <w:rsid w:val="0064738B"/>
    <w:rsid w:val="006508EA"/>
    <w:rsid w:val="006530BB"/>
    <w:rsid w:val="00667E86"/>
    <w:rsid w:val="006703D7"/>
    <w:rsid w:val="00681336"/>
    <w:rsid w:val="0068392D"/>
    <w:rsid w:val="0069167A"/>
    <w:rsid w:val="00696663"/>
    <w:rsid w:val="00697DB5"/>
    <w:rsid w:val="006A0216"/>
    <w:rsid w:val="006A161B"/>
    <w:rsid w:val="006A1B33"/>
    <w:rsid w:val="006A492A"/>
    <w:rsid w:val="006B5C72"/>
    <w:rsid w:val="006B7710"/>
    <w:rsid w:val="006C289D"/>
    <w:rsid w:val="006C2F46"/>
    <w:rsid w:val="006C452C"/>
    <w:rsid w:val="006D0310"/>
    <w:rsid w:val="006D2009"/>
    <w:rsid w:val="006D5576"/>
    <w:rsid w:val="006E766D"/>
    <w:rsid w:val="006F4B29"/>
    <w:rsid w:val="006F6CE9"/>
    <w:rsid w:val="006F6F80"/>
    <w:rsid w:val="0070517C"/>
    <w:rsid w:val="00705C9F"/>
    <w:rsid w:val="00716951"/>
    <w:rsid w:val="00720F6B"/>
    <w:rsid w:val="0072317C"/>
    <w:rsid w:val="00730ADA"/>
    <w:rsid w:val="00732C37"/>
    <w:rsid w:val="00735D9E"/>
    <w:rsid w:val="00740EE4"/>
    <w:rsid w:val="007415B4"/>
    <w:rsid w:val="00745A09"/>
    <w:rsid w:val="00751667"/>
    <w:rsid w:val="00751EAF"/>
    <w:rsid w:val="00753C6D"/>
    <w:rsid w:val="00754CF7"/>
    <w:rsid w:val="00757B0D"/>
    <w:rsid w:val="00761320"/>
    <w:rsid w:val="00762050"/>
    <w:rsid w:val="007651B1"/>
    <w:rsid w:val="00767CE1"/>
    <w:rsid w:val="00771A68"/>
    <w:rsid w:val="007744D2"/>
    <w:rsid w:val="00786136"/>
    <w:rsid w:val="007968E6"/>
    <w:rsid w:val="007A7D5F"/>
    <w:rsid w:val="007B05CF"/>
    <w:rsid w:val="007B4E8D"/>
    <w:rsid w:val="007C212A"/>
    <w:rsid w:val="007E7D21"/>
    <w:rsid w:val="007E7DBD"/>
    <w:rsid w:val="007F482F"/>
    <w:rsid w:val="007F7C94"/>
    <w:rsid w:val="0080398D"/>
    <w:rsid w:val="00805174"/>
    <w:rsid w:val="00806385"/>
    <w:rsid w:val="00807CC5"/>
    <w:rsid w:val="00807ED7"/>
    <w:rsid w:val="00814CC6"/>
    <w:rsid w:val="00826D53"/>
    <w:rsid w:val="00826E06"/>
    <w:rsid w:val="00831751"/>
    <w:rsid w:val="00833369"/>
    <w:rsid w:val="00835B42"/>
    <w:rsid w:val="00842A4E"/>
    <w:rsid w:val="00847D99"/>
    <w:rsid w:val="0085038E"/>
    <w:rsid w:val="0085230A"/>
    <w:rsid w:val="0086271D"/>
    <w:rsid w:val="0086420B"/>
    <w:rsid w:val="00864DBF"/>
    <w:rsid w:val="00865AE2"/>
    <w:rsid w:val="008663C8"/>
    <w:rsid w:val="00876FDC"/>
    <w:rsid w:val="0088163A"/>
    <w:rsid w:val="00886A6C"/>
    <w:rsid w:val="00887090"/>
    <w:rsid w:val="00893963"/>
    <w:rsid w:val="0089601F"/>
    <w:rsid w:val="008970B8"/>
    <w:rsid w:val="008A7313"/>
    <w:rsid w:val="008A7D91"/>
    <w:rsid w:val="008B7FC7"/>
    <w:rsid w:val="008C11BE"/>
    <w:rsid w:val="008C4337"/>
    <w:rsid w:val="008C4F06"/>
    <w:rsid w:val="008E1E4A"/>
    <w:rsid w:val="008F0615"/>
    <w:rsid w:val="008F103E"/>
    <w:rsid w:val="008F1FDB"/>
    <w:rsid w:val="008F36FB"/>
    <w:rsid w:val="008F7A8B"/>
    <w:rsid w:val="00900181"/>
    <w:rsid w:val="00902EA9"/>
    <w:rsid w:val="0090427F"/>
    <w:rsid w:val="009065CD"/>
    <w:rsid w:val="00920506"/>
    <w:rsid w:val="009319E8"/>
    <w:rsid w:val="00931DEB"/>
    <w:rsid w:val="009332D2"/>
    <w:rsid w:val="00933957"/>
    <w:rsid w:val="009356FA"/>
    <w:rsid w:val="0094022A"/>
    <w:rsid w:val="00945B8E"/>
    <w:rsid w:val="009473DB"/>
    <w:rsid w:val="009504A1"/>
    <w:rsid w:val="00950605"/>
    <w:rsid w:val="00952233"/>
    <w:rsid w:val="00954D66"/>
    <w:rsid w:val="00963F8F"/>
    <w:rsid w:val="00970BD5"/>
    <w:rsid w:val="00973C62"/>
    <w:rsid w:val="00975D76"/>
    <w:rsid w:val="00982E51"/>
    <w:rsid w:val="009874B9"/>
    <w:rsid w:val="00993581"/>
    <w:rsid w:val="009A288C"/>
    <w:rsid w:val="009A64C1"/>
    <w:rsid w:val="009B3D5A"/>
    <w:rsid w:val="009B6697"/>
    <w:rsid w:val="009B6C78"/>
    <w:rsid w:val="009C2B43"/>
    <w:rsid w:val="009C2EA4"/>
    <w:rsid w:val="009C4C04"/>
    <w:rsid w:val="009D5213"/>
    <w:rsid w:val="009E06B2"/>
    <w:rsid w:val="009E1C95"/>
    <w:rsid w:val="009F196A"/>
    <w:rsid w:val="009F3498"/>
    <w:rsid w:val="009F669B"/>
    <w:rsid w:val="009F7566"/>
    <w:rsid w:val="009F7F18"/>
    <w:rsid w:val="00A02A72"/>
    <w:rsid w:val="00A06BFE"/>
    <w:rsid w:val="00A10F5D"/>
    <w:rsid w:val="00A12254"/>
    <w:rsid w:val="00A1243C"/>
    <w:rsid w:val="00A135AE"/>
    <w:rsid w:val="00A14AF1"/>
    <w:rsid w:val="00A16891"/>
    <w:rsid w:val="00A25B99"/>
    <w:rsid w:val="00A268CE"/>
    <w:rsid w:val="00A332E8"/>
    <w:rsid w:val="00A35AF5"/>
    <w:rsid w:val="00A35DDF"/>
    <w:rsid w:val="00A36CBA"/>
    <w:rsid w:val="00A45741"/>
    <w:rsid w:val="00A50291"/>
    <w:rsid w:val="00A530E4"/>
    <w:rsid w:val="00A54C0E"/>
    <w:rsid w:val="00A604CD"/>
    <w:rsid w:val="00A60FE6"/>
    <w:rsid w:val="00A622F5"/>
    <w:rsid w:val="00A654BE"/>
    <w:rsid w:val="00A66DD6"/>
    <w:rsid w:val="00A75EC2"/>
    <w:rsid w:val="00A771FD"/>
    <w:rsid w:val="00A80767"/>
    <w:rsid w:val="00A861A3"/>
    <w:rsid w:val="00A874EF"/>
    <w:rsid w:val="00A9109D"/>
    <w:rsid w:val="00A95415"/>
    <w:rsid w:val="00AA131A"/>
    <w:rsid w:val="00AA3C89"/>
    <w:rsid w:val="00AB32BD"/>
    <w:rsid w:val="00AB4723"/>
    <w:rsid w:val="00AC4CDB"/>
    <w:rsid w:val="00AC70FE"/>
    <w:rsid w:val="00AD3AA3"/>
    <w:rsid w:val="00AD4358"/>
    <w:rsid w:val="00AF61E1"/>
    <w:rsid w:val="00AF638A"/>
    <w:rsid w:val="00AF7567"/>
    <w:rsid w:val="00B00141"/>
    <w:rsid w:val="00B009AA"/>
    <w:rsid w:val="00B00ECE"/>
    <w:rsid w:val="00B030C8"/>
    <w:rsid w:val="00B039C0"/>
    <w:rsid w:val="00B056E7"/>
    <w:rsid w:val="00B05B71"/>
    <w:rsid w:val="00B10035"/>
    <w:rsid w:val="00B15C76"/>
    <w:rsid w:val="00B165E6"/>
    <w:rsid w:val="00B235DB"/>
    <w:rsid w:val="00B24C31"/>
    <w:rsid w:val="00B411AF"/>
    <w:rsid w:val="00B447C0"/>
    <w:rsid w:val="00B53E53"/>
    <w:rsid w:val="00B548A2"/>
    <w:rsid w:val="00B56934"/>
    <w:rsid w:val="00B62F03"/>
    <w:rsid w:val="00B72444"/>
    <w:rsid w:val="00B93B62"/>
    <w:rsid w:val="00B953D1"/>
    <w:rsid w:val="00B96D93"/>
    <w:rsid w:val="00BA30D0"/>
    <w:rsid w:val="00BA77FB"/>
    <w:rsid w:val="00BB0D32"/>
    <w:rsid w:val="00BC76B5"/>
    <w:rsid w:val="00BD5420"/>
    <w:rsid w:val="00BE241E"/>
    <w:rsid w:val="00BF2233"/>
    <w:rsid w:val="00C023AF"/>
    <w:rsid w:val="00C04BD2"/>
    <w:rsid w:val="00C13EEC"/>
    <w:rsid w:val="00C14689"/>
    <w:rsid w:val="00C156A4"/>
    <w:rsid w:val="00C16356"/>
    <w:rsid w:val="00C20032"/>
    <w:rsid w:val="00C20BCE"/>
    <w:rsid w:val="00C20FAA"/>
    <w:rsid w:val="00C23509"/>
    <w:rsid w:val="00C2459D"/>
    <w:rsid w:val="00C2755A"/>
    <w:rsid w:val="00C316F1"/>
    <w:rsid w:val="00C42C95"/>
    <w:rsid w:val="00C4470F"/>
    <w:rsid w:val="00C50727"/>
    <w:rsid w:val="00C50A41"/>
    <w:rsid w:val="00C55E5B"/>
    <w:rsid w:val="00C62739"/>
    <w:rsid w:val="00C720A4"/>
    <w:rsid w:val="00C7611C"/>
    <w:rsid w:val="00C93FF2"/>
    <w:rsid w:val="00C94097"/>
    <w:rsid w:val="00CA4269"/>
    <w:rsid w:val="00CA48CA"/>
    <w:rsid w:val="00CA7330"/>
    <w:rsid w:val="00CB1C84"/>
    <w:rsid w:val="00CB5363"/>
    <w:rsid w:val="00CB64F0"/>
    <w:rsid w:val="00CC2909"/>
    <w:rsid w:val="00CD0549"/>
    <w:rsid w:val="00CE6B3C"/>
    <w:rsid w:val="00CF5E4B"/>
    <w:rsid w:val="00D03E49"/>
    <w:rsid w:val="00D05E6F"/>
    <w:rsid w:val="00D16D05"/>
    <w:rsid w:val="00D178D6"/>
    <w:rsid w:val="00D20296"/>
    <w:rsid w:val="00D2231A"/>
    <w:rsid w:val="00D27929"/>
    <w:rsid w:val="00D302CD"/>
    <w:rsid w:val="00D33442"/>
    <w:rsid w:val="00D419C6"/>
    <w:rsid w:val="00D44BAD"/>
    <w:rsid w:val="00D45B55"/>
    <w:rsid w:val="00D64A62"/>
    <w:rsid w:val="00D664D7"/>
    <w:rsid w:val="00D7097B"/>
    <w:rsid w:val="00D72207"/>
    <w:rsid w:val="00D72BC4"/>
    <w:rsid w:val="00D815FC"/>
    <w:rsid w:val="00D8517B"/>
    <w:rsid w:val="00D91DFA"/>
    <w:rsid w:val="00D94FED"/>
    <w:rsid w:val="00DA159A"/>
    <w:rsid w:val="00DB1AB2"/>
    <w:rsid w:val="00DC17C2"/>
    <w:rsid w:val="00DC4210"/>
    <w:rsid w:val="00DC4FDF"/>
    <w:rsid w:val="00DC66F0"/>
    <w:rsid w:val="00DD3A65"/>
    <w:rsid w:val="00DD62C6"/>
    <w:rsid w:val="00DD6576"/>
    <w:rsid w:val="00DD6CF7"/>
    <w:rsid w:val="00DD6DC4"/>
    <w:rsid w:val="00DE3B92"/>
    <w:rsid w:val="00DE48B4"/>
    <w:rsid w:val="00DE7137"/>
    <w:rsid w:val="00DF18E4"/>
    <w:rsid w:val="00E00498"/>
    <w:rsid w:val="00E1464C"/>
    <w:rsid w:val="00E14ADB"/>
    <w:rsid w:val="00E20D32"/>
    <w:rsid w:val="00E22F78"/>
    <w:rsid w:val="00E2425D"/>
    <w:rsid w:val="00E24F87"/>
    <w:rsid w:val="00E2617A"/>
    <w:rsid w:val="00E273FB"/>
    <w:rsid w:val="00E31CD4"/>
    <w:rsid w:val="00E4497F"/>
    <w:rsid w:val="00E538E6"/>
    <w:rsid w:val="00E64CBD"/>
    <w:rsid w:val="00E71C45"/>
    <w:rsid w:val="00E74332"/>
    <w:rsid w:val="00E802A2"/>
    <w:rsid w:val="00E80F02"/>
    <w:rsid w:val="00E8410F"/>
    <w:rsid w:val="00E85C0B"/>
    <w:rsid w:val="00E86BFA"/>
    <w:rsid w:val="00EA4EDD"/>
    <w:rsid w:val="00EA6A2D"/>
    <w:rsid w:val="00EA7089"/>
    <w:rsid w:val="00EB13D7"/>
    <w:rsid w:val="00EB1E83"/>
    <w:rsid w:val="00EB21B6"/>
    <w:rsid w:val="00ED22CB"/>
    <w:rsid w:val="00ED67AF"/>
    <w:rsid w:val="00EE11F0"/>
    <w:rsid w:val="00EE128C"/>
    <w:rsid w:val="00EE2B19"/>
    <w:rsid w:val="00EE4C48"/>
    <w:rsid w:val="00EE5D2E"/>
    <w:rsid w:val="00EE7E6F"/>
    <w:rsid w:val="00EF66D9"/>
    <w:rsid w:val="00EF68E3"/>
    <w:rsid w:val="00EF6BA5"/>
    <w:rsid w:val="00EF780D"/>
    <w:rsid w:val="00EF7A98"/>
    <w:rsid w:val="00F0267E"/>
    <w:rsid w:val="00F071B2"/>
    <w:rsid w:val="00F075C1"/>
    <w:rsid w:val="00F11B47"/>
    <w:rsid w:val="00F2412D"/>
    <w:rsid w:val="00F25D8D"/>
    <w:rsid w:val="00F3069C"/>
    <w:rsid w:val="00F30BF8"/>
    <w:rsid w:val="00F330A1"/>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02F3"/>
    <w:rsid w:val="00F84DD2"/>
    <w:rsid w:val="00F906B8"/>
    <w:rsid w:val="00F94E44"/>
    <w:rsid w:val="00FA7307"/>
    <w:rsid w:val="00FB0872"/>
    <w:rsid w:val="00FB1F7A"/>
    <w:rsid w:val="00FB54CC"/>
    <w:rsid w:val="00FC2996"/>
    <w:rsid w:val="00FC362F"/>
    <w:rsid w:val="00FD0351"/>
    <w:rsid w:val="00FD1A37"/>
    <w:rsid w:val="00FD4E5B"/>
    <w:rsid w:val="00FE4EE0"/>
    <w:rsid w:val="00FE56C4"/>
    <w:rsid w:val="00FF0F9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98F3F4"/>
  <w15:docId w15:val="{F3535517-3DCB-4A34-B0B2-7D36FEA4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aliases w:val="ft,single space,footnote text,FOOTNOTES,fn,Footnote Text Char Char,ft1,(NECG) Footnote Text,Footnote Text Char Char Char Char Char,Footnote Text Char Char Char Char Char Char,(NECG) Footnote Text Char Char Char Char Char,ft2,Fußnote"/>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aliases w:val="ft Char,single space Char,footnote text Char,FOOTNOTES Char,fn Char,Footnote Text Char Char Char,ft1 Char,(NECG) Footnote Text Char,Footnote Text Char Char Char Char Char Char1,Footnote Text Char Char Char Char Char Char Char,ft2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StyleWMOBodyTextBold">
    <w:name w:val="Style WMO_BodyText + Bold"/>
    <w:basedOn w:val="WMOBodyText"/>
    <w:rsid w:val="0035567E"/>
    <w:rPr>
      <w:b/>
      <w:bCs/>
      <w:lang w:val="es-ES_tradnl"/>
    </w:rPr>
  </w:style>
  <w:style w:type="character" w:customStyle="1" w:styleId="normaltextrun">
    <w:name w:val="normaltextrun"/>
    <w:basedOn w:val="DefaultParagraphFont"/>
    <w:rsid w:val="00886A6C"/>
  </w:style>
  <w:style w:type="paragraph" w:styleId="ListParagraph">
    <w:name w:val="List Paragraph"/>
    <w:basedOn w:val="Normal"/>
    <w:uiPriority w:val="34"/>
    <w:qFormat/>
    <w:rsid w:val="00886A6C"/>
    <w:pPr>
      <w:ind w:left="720"/>
      <w:contextualSpacing/>
    </w:pPr>
  </w:style>
  <w:style w:type="character" w:customStyle="1" w:styleId="eop">
    <w:name w:val="eop"/>
    <w:basedOn w:val="DefaultParagraphFont"/>
    <w:rsid w:val="00886A6C"/>
  </w:style>
  <w:style w:type="paragraph" w:customStyle="1" w:styleId="paragraph">
    <w:name w:val="paragraph"/>
    <w:basedOn w:val="Normal"/>
    <w:rsid w:val="00886A6C"/>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28035926">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ecd.org/en/about/committees/development-assistance-committe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ldbank.org/en/region/eca/publication/western-balkans-6-ccd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brary.wmo.int/viewer/28168/?offset=1#page=157&amp;viewer=picture&amp;o=bookmark&amp;n=0&amp;q=" TargetMode="External"/><Relationship Id="rId1" Type="http://schemas.openxmlformats.org/officeDocument/2006/relationships/hyperlink" Target="https://library.wmo.int/viewer/28029/?offset=1#page=277&amp;viewer=picture&amp;o=bookmark&amp;n=0&amp;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BuesaLalueza\Downloads\RA-VI-19(I)-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34343af-28c4-4431-8b96-d735d539fd00">
      <UserInfo>
        <DisplayName>Andrew Martrich</DisplayName>
        <AccountId>1500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EBAD02DA-5DFD-425C-9FAD-89F3BF317192}">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C300A738-1D1B-4B6D-826F-6CD2878A8217}"/>
</file>

<file path=docProps/app.xml><?xml version="1.0" encoding="utf-8"?>
<Properties xmlns="http://schemas.openxmlformats.org/officeDocument/2006/extended-properties" xmlns:vt="http://schemas.openxmlformats.org/officeDocument/2006/docPropsVTypes">
  <Template>RA-VI-19(I)-dxx-Template_es</Template>
  <TotalTime>3</TotalTime>
  <Pages>12</Pages>
  <Words>5130</Words>
  <Characters>29244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34306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David Buesa Lalueza</dc:creator>
  <cp:lastModifiedBy>David Buesa Lalueza</cp:lastModifiedBy>
  <cp:revision>1</cp:revision>
  <cp:lastPrinted>2013-03-12T09:27:00Z</cp:lastPrinted>
  <dcterms:created xsi:type="dcterms:W3CDTF">2024-09-24T14:47:00Z</dcterms:created>
  <dcterms:modified xsi:type="dcterms:W3CDTF">2024-09-24T14:52:00Z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david.buesalalueza</vt:lpwstr>
  </property>
  <property fmtid="{D5CDD505-2E9C-101B-9397-08002B2CF9AE}" pid="6" name="OriginalDocID">
    <vt:lpwstr>a1ceb057-72dd-415c-937c-c75f9c7a60f1</vt:lpwstr>
  </property>
  <property fmtid="{D5CDD505-2E9C-101B-9397-08002B2CF9AE}" pid="7" name="GeneratedDate">
    <vt:lpwstr>09/16/2024 11:45:12</vt:lpwstr>
  </property>
</Properties>
</file>