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2A29BD" w14:paraId="472A5E72" w14:textId="77777777" w:rsidTr="00826D53">
        <w:trPr>
          <w:trHeight w:val="282"/>
        </w:trPr>
        <w:tc>
          <w:tcPr>
            <w:tcW w:w="500" w:type="dxa"/>
            <w:vMerge w:val="restart"/>
            <w:tcBorders>
              <w:bottom w:val="nil"/>
            </w:tcBorders>
            <w:textDirection w:val="btLr"/>
          </w:tcPr>
          <w:p w14:paraId="7F49E4E1" w14:textId="77777777" w:rsidR="00A80767" w:rsidRPr="002A29BD" w:rsidRDefault="00F075C1" w:rsidP="00826D53">
            <w:pPr>
              <w:tabs>
                <w:tab w:val="clear" w:pos="1134"/>
                <w:tab w:val="left" w:pos="6946"/>
              </w:tabs>
              <w:suppressAutoHyphens/>
              <w:spacing w:after="120" w:line="252" w:lineRule="auto"/>
              <w:ind w:left="175" w:right="113"/>
              <w:jc w:val="right"/>
              <w:rPr>
                <w:color w:val="365F91" w:themeColor="accent1" w:themeShade="BF"/>
                <w:sz w:val="12"/>
                <w:szCs w:val="12"/>
                <w:lang w:val="es-419" w:eastAsia="zh-CN"/>
              </w:rPr>
            </w:pPr>
            <w:r w:rsidRPr="002A29BD">
              <w:rPr>
                <w:color w:val="365F91" w:themeColor="accent1" w:themeShade="BF"/>
                <w:sz w:val="10"/>
                <w:szCs w:val="10"/>
                <w:lang w:val="es-419" w:eastAsia="zh-CN"/>
              </w:rPr>
              <w:t>T</w:t>
            </w:r>
            <w:r w:rsidR="002A29BD">
              <w:rPr>
                <w:color w:val="365F91" w:themeColor="accent1" w:themeShade="BF"/>
                <w:sz w:val="10"/>
                <w:szCs w:val="10"/>
                <w:lang w:val="es-419" w:eastAsia="zh-CN"/>
              </w:rPr>
              <w:t>I</w:t>
            </w:r>
            <w:r w:rsidRPr="002A29BD">
              <w:rPr>
                <w:color w:val="365F91" w:themeColor="accent1" w:themeShade="BF"/>
                <w:sz w:val="10"/>
                <w:szCs w:val="10"/>
                <w:lang w:val="es-419" w:eastAsia="zh-CN"/>
              </w:rPr>
              <w:t>EMP</w:t>
            </w:r>
            <w:r w:rsidR="00472D8C" w:rsidRPr="002A29BD">
              <w:rPr>
                <w:color w:val="365F91" w:themeColor="accent1" w:themeShade="BF"/>
                <w:sz w:val="10"/>
                <w:szCs w:val="10"/>
                <w:lang w:val="es-419" w:eastAsia="zh-CN"/>
              </w:rPr>
              <w:t>O</w:t>
            </w:r>
            <w:r w:rsidRPr="002A29BD">
              <w:rPr>
                <w:color w:val="365F91" w:themeColor="accent1" w:themeShade="BF"/>
                <w:sz w:val="10"/>
                <w:szCs w:val="10"/>
                <w:lang w:val="es-419" w:eastAsia="zh-CN"/>
              </w:rPr>
              <w:t xml:space="preserve"> CLIMA </w:t>
            </w:r>
            <w:r w:rsidR="00472D8C" w:rsidRPr="002A29BD">
              <w:rPr>
                <w:color w:val="365F91" w:themeColor="accent1" w:themeShade="BF"/>
                <w:sz w:val="10"/>
                <w:szCs w:val="10"/>
                <w:lang w:val="es-419" w:eastAsia="zh-CN"/>
              </w:rPr>
              <w:t>AGUA</w:t>
            </w:r>
          </w:p>
        </w:tc>
        <w:tc>
          <w:tcPr>
            <w:tcW w:w="6852" w:type="dxa"/>
            <w:vMerge w:val="restart"/>
          </w:tcPr>
          <w:p w14:paraId="50DE862C" w14:textId="77777777" w:rsidR="00A80767" w:rsidRPr="002A29BD" w:rsidRDefault="005E6AA1"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ahoma"/>
                <w:b/>
                <w:bCs/>
                <w:color w:val="365F91" w:themeColor="accent1" w:themeShade="BF"/>
                <w:szCs w:val="22"/>
                <w:lang w:val="es-419"/>
              </w:rPr>
              <w:t>Organi</w:t>
            </w:r>
            <w:r w:rsidR="003D423B" w:rsidRPr="002A29BD">
              <w:rPr>
                <w:rFonts w:cs="Tahoma"/>
                <w:b/>
                <w:bCs/>
                <w:color w:val="365F91" w:themeColor="accent1" w:themeShade="BF"/>
                <w:szCs w:val="22"/>
                <w:lang w:val="es-419"/>
              </w:rPr>
              <w:t>zación</w:t>
            </w:r>
            <w:r w:rsidRPr="002A29BD">
              <w:rPr>
                <w:rFonts w:cs="Tahoma"/>
                <w:b/>
                <w:bCs/>
                <w:color w:val="365F91" w:themeColor="accent1" w:themeShade="BF"/>
                <w:szCs w:val="22"/>
                <w:lang w:val="es-419"/>
              </w:rPr>
              <w:t xml:space="preserve">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 xml:space="preserve">eteorológica </w:t>
            </w:r>
            <w:r w:rsidR="00472D8C" w:rsidRPr="002A29BD">
              <w:rPr>
                <w:rFonts w:cs="Tahoma"/>
                <w:b/>
                <w:bCs/>
                <w:color w:val="365F91" w:themeColor="accent1" w:themeShade="BF"/>
                <w:szCs w:val="22"/>
                <w:lang w:val="es-419"/>
              </w:rPr>
              <w:t>M</w:t>
            </w:r>
            <w:r w:rsidR="003D423B" w:rsidRPr="002A29BD">
              <w:rPr>
                <w:rFonts w:cs="Tahoma"/>
                <w:b/>
                <w:bCs/>
                <w:color w:val="365F91" w:themeColor="accent1" w:themeShade="BF"/>
                <w:szCs w:val="22"/>
                <w:lang w:val="es-419"/>
              </w:rPr>
              <w:t>undial</w:t>
            </w:r>
            <w:r w:rsidR="00A80767" w:rsidRPr="002A29BD">
              <w:rPr>
                <w:noProof/>
                <w:color w:val="365F91" w:themeColor="accent1" w:themeShade="BF"/>
                <w:szCs w:val="22"/>
                <w:lang w:val="es-419" w:eastAsia="zh-CN"/>
              </w:rPr>
              <w:drawing>
                <wp:anchor distT="0" distB="0" distL="114300" distR="114300" simplePos="0" relativeHeight="251659264" behindDoc="1" locked="1" layoutInCell="1" allowOverlap="1" wp14:anchorId="0190E955" wp14:editId="2F542026">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CE1856" w14:textId="77777777" w:rsidR="00A80767" w:rsidRPr="002A29BD" w:rsidRDefault="008C11BE" w:rsidP="00826D53">
            <w:pPr>
              <w:tabs>
                <w:tab w:val="left" w:pos="6946"/>
              </w:tabs>
              <w:suppressAutoHyphens/>
              <w:spacing w:after="120" w:line="252" w:lineRule="auto"/>
              <w:ind w:left="1134"/>
              <w:jc w:val="left"/>
              <w:rPr>
                <w:rFonts w:cs="Tahoma"/>
                <w:b/>
                <w:color w:val="365F91" w:themeColor="accent1" w:themeShade="BF"/>
                <w:spacing w:val="-2"/>
                <w:szCs w:val="22"/>
                <w:lang w:val="es-419"/>
              </w:rPr>
            </w:pPr>
            <w:r w:rsidRPr="002A29BD">
              <w:rPr>
                <w:rFonts w:cs="Tahoma"/>
                <w:b/>
                <w:color w:val="365F91" w:themeColor="accent1" w:themeShade="BF"/>
                <w:spacing w:val="-2"/>
                <w:szCs w:val="22"/>
                <w:lang w:val="es-419"/>
              </w:rPr>
              <w:t>ASOCIACIÓN REGIONAL</w:t>
            </w:r>
            <w:r w:rsidR="00BF2233" w:rsidRPr="002A29BD">
              <w:rPr>
                <w:rFonts w:cs="Tahoma"/>
                <w:b/>
                <w:color w:val="365F91" w:themeColor="accent1" w:themeShade="BF"/>
                <w:spacing w:val="-2"/>
                <w:szCs w:val="22"/>
                <w:lang w:val="es-419"/>
              </w:rPr>
              <w:t xml:space="preserve"> </w:t>
            </w:r>
            <w:r w:rsidR="00B24C31" w:rsidRPr="002A29BD">
              <w:rPr>
                <w:rFonts w:cs="Tahoma"/>
                <w:b/>
                <w:color w:val="365F91" w:themeColor="accent1" w:themeShade="BF"/>
                <w:spacing w:val="-2"/>
                <w:szCs w:val="22"/>
                <w:lang w:val="es-419"/>
              </w:rPr>
              <w:t>V</w:t>
            </w:r>
            <w:r w:rsidR="00FD0351" w:rsidRPr="002A29BD">
              <w:rPr>
                <w:rFonts w:cs="Tahoma"/>
                <w:b/>
                <w:color w:val="365F91" w:themeColor="accent1" w:themeShade="BF"/>
                <w:spacing w:val="-2"/>
                <w:szCs w:val="22"/>
                <w:lang w:val="es-419"/>
              </w:rPr>
              <w:t>I (</w:t>
            </w:r>
            <w:r w:rsidR="00B24C31" w:rsidRPr="002A29BD">
              <w:rPr>
                <w:rFonts w:cs="Tahoma"/>
                <w:b/>
                <w:color w:val="365F91" w:themeColor="accent1" w:themeShade="BF"/>
                <w:spacing w:val="-2"/>
                <w:szCs w:val="22"/>
                <w:lang w:val="es-419"/>
              </w:rPr>
              <w:t>EUROPA</w:t>
            </w:r>
            <w:r w:rsidR="00FD0351" w:rsidRPr="002A29BD">
              <w:rPr>
                <w:rFonts w:cs="Tahoma"/>
                <w:b/>
                <w:color w:val="365F91" w:themeColor="accent1" w:themeShade="BF"/>
                <w:spacing w:val="-2"/>
                <w:szCs w:val="22"/>
                <w:lang w:val="es-419"/>
              </w:rPr>
              <w:t>)</w:t>
            </w:r>
          </w:p>
          <w:p w14:paraId="14884042" w14:textId="77777777" w:rsidR="00A80767" w:rsidRPr="002A29BD" w:rsidRDefault="00751667" w:rsidP="00826D53">
            <w:pPr>
              <w:tabs>
                <w:tab w:val="left" w:pos="6946"/>
              </w:tabs>
              <w:suppressAutoHyphens/>
              <w:spacing w:after="120" w:line="252" w:lineRule="auto"/>
              <w:ind w:left="1134"/>
              <w:jc w:val="left"/>
              <w:rPr>
                <w:rFonts w:cs="Tahoma"/>
                <w:b/>
                <w:bCs/>
                <w:color w:val="365F91" w:themeColor="accent1" w:themeShade="BF"/>
                <w:szCs w:val="22"/>
                <w:lang w:val="es-419"/>
              </w:rPr>
            </w:pPr>
            <w:r w:rsidRPr="002A29BD">
              <w:rPr>
                <w:rFonts w:cstheme="minorBidi"/>
                <w:b/>
                <w:snapToGrid w:val="0"/>
                <w:color w:val="365F91" w:themeColor="accent1" w:themeShade="BF"/>
                <w:szCs w:val="22"/>
                <w:lang w:val="es-419"/>
              </w:rPr>
              <w:t>D</w:t>
            </w:r>
            <w:r w:rsidR="00BF2233" w:rsidRPr="002A29BD">
              <w:rPr>
                <w:rFonts w:cstheme="minorBidi"/>
                <w:b/>
                <w:snapToGrid w:val="0"/>
                <w:color w:val="365F91" w:themeColor="accent1" w:themeShade="BF"/>
                <w:szCs w:val="22"/>
                <w:lang w:val="es-419"/>
              </w:rPr>
              <w:t>ecimonovena reunión</w:t>
            </w:r>
            <w:r w:rsidR="00EA6A2D" w:rsidRPr="002A29BD">
              <w:rPr>
                <w:rFonts w:cstheme="minorBidi"/>
                <w:b/>
                <w:snapToGrid w:val="0"/>
                <w:color w:val="365F91" w:themeColor="accent1" w:themeShade="BF"/>
                <w:szCs w:val="22"/>
                <w:lang w:val="es-419"/>
              </w:rPr>
              <w:t xml:space="preserve"> (</w:t>
            </w:r>
            <w:r w:rsidR="008C11BE" w:rsidRPr="002A29BD">
              <w:rPr>
                <w:rFonts w:cstheme="minorBidi"/>
                <w:b/>
                <w:snapToGrid w:val="0"/>
                <w:color w:val="365F91" w:themeColor="accent1" w:themeShade="BF"/>
                <w:szCs w:val="22"/>
                <w:lang w:val="es-419"/>
              </w:rPr>
              <w:t xml:space="preserve">primera </w:t>
            </w:r>
            <w:r w:rsidR="00BF2233" w:rsidRPr="002A29BD">
              <w:rPr>
                <w:rFonts w:cstheme="minorBidi"/>
                <w:b/>
                <w:snapToGrid w:val="0"/>
                <w:color w:val="365F91" w:themeColor="accent1" w:themeShade="BF"/>
                <w:szCs w:val="22"/>
                <w:lang w:val="es-419"/>
              </w:rPr>
              <w:t>fa</w:t>
            </w:r>
            <w:r w:rsidR="00EA6A2D" w:rsidRPr="002A29BD">
              <w:rPr>
                <w:rFonts w:cstheme="minorBidi"/>
                <w:b/>
                <w:snapToGrid w:val="0"/>
                <w:color w:val="365F91" w:themeColor="accent1" w:themeShade="BF"/>
                <w:szCs w:val="22"/>
                <w:lang w:val="es-419"/>
              </w:rPr>
              <w:t>se)</w:t>
            </w:r>
            <w:r w:rsidR="00A80767" w:rsidRPr="002A29BD">
              <w:rPr>
                <w:rFonts w:cstheme="minorBidi"/>
                <w:b/>
                <w:snapToGrid w:val="0"/>
                <w:color w:val="365F91" w:themeColor="accent1" w:themeShade="BF"/>
                <w:szCs w:val="22"/>
                <w:lang w:val="es-419"/>
              </w:rPr>
              <w:br/>
            </w:r>
            <w:r w:rsidR="008C11BE" w:rsidRPr="002A29BD">
              <w:rPr>
                <w:snapToGrid w:val="0"/>
                <w:color w:val="365F91" w:themeColor="accent1" w:themeShade="BF"/>
                <w:szCs w:val="22"/>
                <w:lang w:val="es-419"/>
              </w:rPr>
              <w:t xml:space="preserve">Reunión virtual,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5</w:t>
            </w:r>
            <w:r w:rsidR="00BF2233" w:rsidRPr="002A29BD">
              <w:rPr>
                <w:snapToGrid w:val="0"/>
                <w:color w:val="365F91" w:themeColor="accent1" w:themeShade="BF"/>
                <w:szCs w:val="22"/>
                <w:lang w:val="es-419"/>
              </w:rPr>
              <w:t xml:space="preserve"> </w:t>
            </w:r>
            <w:r w:rsidR="00B24C31" w:rsidRPr="002A29BD">
              <w:rPr>
                <w:snapToGrid w:val="0"/>
                <w:color w:val="365F91" w:themeColor="accent1" w:themeShade="BF"/>
                <w:szCs w:val="22"/>
                <w:lang w:val="es-419"/>
              </w:rPr>
              <w:t>y</w:t>
            </w:r>
            <w:r w:rsidR="00BF2233" w:rsidRPr="002A29BD">
              <w:rPr>
                <w:snapToGrid w:val="0"/>
                <w:color w:val="365F91" w:themeColor="accent1" w:themeShade="BF"/>
                <w:szCs w:val="22"/>
                <w:lang w:val="es-419"/>
              </w:rPr>
              <w:t xml:space="preserve"> </w:t>
            </w:r>
            <w:r w:rsidR="00FC2996" w:rsidRPr="002A29BD">
              <w:rPr>
                <w:snapToGrid w:val="0"/>
                <w:color w:val="365F91" w:themeColor="accent1" w:themeShade="BF"/>
                <w:szCs w:val="22"/>
                <w:lang w:val="es-419"/>
              </w:rPr>
              <w:t>1</w:t>
            </w:r>
            <w:r w:rsidR="00B24C31" w:rsidRPr="002A29BD">
              <w:rPr>
                <w:snapToGrid w:val="0"/>
                <w:color w:val="365F91" w:themeColor="accent1" w:themeShade="BF"/>
                <w:szCs w:val="22"/>
                <w:lang w:val="es-419"/>
              </w:rPr>
              <w:t>6</w:t>
            </w:r>
            <w:r w:rsidR="00FC2996" w:rsidRPr="002A29BD">
              <w:rPr>
                <w:snapToGrid w:val="0"/>
                <w:color w:val="365F91" w:themeColor="accent1" w:themeShade="BF"/>
                <w:szCs w:val="22"/>
                <w:lang w:val="es-419"/>
              </w:rPr>
              <w:t xml:space="preserve"> </w:t>
            </w:r>
            <w:r w:rsidR="00BF2233" w:rsidRPr="002A29BD">
              <w:rPr>
                <w:snapToGrid w:val="0"/>
                <w:color w:val="365F91" w:themeColor="accent1" w:themeShade="BF"/>
                <w:szCs w:val="22"/>
                <w:lang w:val="es-419"/>
              </w:rPr>
              <w:t xml:space="preserve">de </w:t>
            </w:r>
            <w:r w:rsidR="00B24C31" w:rsidRPr="002A29BD">
              <w:rPr>
                <w:snapToGrid w:val="0"/>
                <w:color w:val="365F91" w:themeColor="accent1" w:themeShade="BF"/>
                <w:szCs w:val="22"/>
                <w:lang w:val="es-419"/>
              </w:rPr>
              <w:t xml:space="preserve">octubre de </w:t>
            </w:r>
            <w:r w:rsidR="00EA6A2D" w:rsidRPr="002A29BD">
              <w:rPr>
                <w:snapToGrid w:val="0"/>
                <w:color w:val="365F91" w:themeColor="accent1" w:themeShade="BF"/>
                <w:szCs w:val="22"/>
                <w:lang w:val="es-419"/>
              </w:rPr>
              <w:t>2024</w:t>
            </w:r>
          </w:p>
        </w:tc>
        <w:tc>
          <w:tcPr>
            <w:tcW w:w="2962" w:type="dxa"/>
          </w:tcPr>
          <w:p w14:paraId="4A15F37A" w14:textId="01A84963" w:rsidR="00A80767" w:rsidRPr="00CC4BDC" w:rsidRDefault="0069167A" w:rsidP="00826D53">
            <w:pPr>
              <w:tabs>
                <w:tab w:val="clear" w:pos="1134"/>
              </w:tabs>
              <w:spacing w:after="60"/>
              <w:ind w:right="-108"/>
              <w:jc w:val="right"/>
              <w:rPr>
                <w:rFonts w:cs="Tahoma"/>
                <w:b/>
                <w:bCs/>
                <w:color w:val="365F91" w:themeColor="accent1" w:themeShade="BF"/>
                <w:szCs w:val="22"/>
                <w:lang w:val="en-US"/>
              </w:rPr>
            </w:pPr>
            <w:r w:rsidRPr="00CC4BDC">
              <w:rPr>
                <w:rFonts w:cs="Tahoma"/>
                <w:b/>
                <w:bCs/>
                <w:color w:val="365F91" w:themeColor="accent1" w:themeShade="BF"/>
                <w:szCs w:val="22"/>
                <w:lang w:val="en-US"/>
              </w:rPr>
              <w:t>AR</w:t>
            </w:r>
            <w:r w:rsidR="00FC2996" w:rsidRPr="00CC4BDC">
              <w:rPr>
                <w:rFonts w:cs="Tahoma"/>
                <w:b/>
                <w:bCs/>
                <w:color w:val="365F91" w:themeColor="accent1" w:themeShade="BF"/>
                <w:szCs w:val="22"/>
                <w:lang w:val="en-US"/>
              </w:rPr>
              <w:t xml:space="preserve"> </w:t>
            </w:r>
            <w:r w:rsidR="00B24C31" w:rsidRPr="00CC4BDC">
              <w:rPr>
                <w:rFonts w:cs="Tahoma"/>
                <w:b/>
                <w:bCs/>
                <w:color w:val="365F91" w:themeColor="accent1" w:themeShade="BF"/>
                <w:szCs w:val="22"/>
                <w:lang w:val="en-US"/>
              </w:rPr>
              <w:t>V</w:t>
            </w:r>
            <w:r w:rsidR="00FC2996" w:rsidRPr="00CC4BDC">
              <w:rPr>
                <w:rFonts w:cs="Tahoma"/>
                <w:b/>
                <w:bCs/>
                <w:color w:val="365F91" w:themeColor="accent1" w:themeShade="BF"/>
                <w:szCs w:val="22"/>
                <w:lang w:val="en-US"/>
              </w:rPr>
              <w:t>I</w:t>
            </w:r>
            <w:r w:rsidR="002A29BD" w:rsidRPr="00CC4BDC">
              <w:rPr>
                <w:rFonts w:cs="Tahoma"/>
                <w:b/>
                <w:bCs/>
                <w:color w:val="365F91" w:themeColor="accent1" w:themeShade="BF"/>
                <w:szCs w:val="22"/>
                <w:lang w:val="en-US"/>
              </w:rPr>
              <w:t>-</w:t>
            </w:r>
            <w:r w:rsidR="00FC2996" w:rsidRPr="00CC4BDC">
              <w:rPr>
                <w:rFonts w:cs="Tahoma"/>
                <w:b/>
                <w:bCs/>
                <w:color w:val="365F91" w:themeColor="accent1" w:themeShade="BF"/>
                <w:szCs w:val="22"/>
                <w:lang w:val="en-US"/>
              </w:rPr>
              <w:t>1</w:t>
            </w:r>
            <w:r w:rsidR="00EA6A2D" w:rsidRPr="00CC4BDC">
              <w:rPr>
                <w:rFonts w:cs="Tahoma"/>
                <w:b/>
                <w:bCs/>
                <w:color w:val="365F91" w:themeColor="accent1" w:themeShade="BF"/>
                <w:szCs w:val="22"/>
                <w:lang w:val="en-US"/>
              </w:rPr>
              <w:t>9(I)</w:t>
            </w:r>
            <w:r w:rsidR="00FC2996" w:rsidRPr="00CC4BDC">
              <w:rPr>
                <w:rFonts w:cs="Tahoma"/>
                <w:b/>
                <w:bCs/>
                <w:color w:val="365F91" w:themeColor="accent1" w:themeShade="BF"/>
                <w:szCs w:val="22"/>
                <w:lang w:val="en-US"/>
              </w:rPr>
              <w:t>/</w:t>
            </w:r>
            <w:r w:rsidR="00CC4BDC">
              <w:rPr>
                <w:rFonts w:cs="Tahoma"/>
                <w:b/>
                <w:bCs/>
                <w:color w:val="365F91" w:themeColor="accent1" w:themeShade="BF"/>
                <w:szCs w:val="22"/>
                <w:lang w:val="en-US"/>
              </w:rPr>
              <w:t>INF.</w:t>
            </w:r>
            <w:r w:rsidR="00FC2996" w:rsidRPr="00CC4BDC">
              <w:rPr>
                <w:rFonts w:cs="Tahoma"/>
                <w:b/>
                <w:bCs/>
                <w:color w:val="365F91" w:themeColor="accent1" w:themeShade="BF"/>
                <w:szCs w:val="22"/>
                <w:lang w:val="en-US"/>
              </w:rPr>
              <w:t xml:space="preserve"> </w:t>
            </w:r>
            <w:r w:rsidR="00CC4BDC">
              <w:rPr>
                <w:rFonts w:cs="Tahoma"/>
                <w:b/>
                <w:bCs/>
                <w:color w:val="365F91" w:themeColor="accent1" w:themeShade="BF"/>
                <w:szCs w:val="22"/>
                <w:lang w:val="en-US"/>
              </w:rPr>
              <w:t>3.4(1)</w:t>
            </w:r>
          </w:p>
        </w:tc>
      </w:tr>
      <w:tr w:rsidR="00A80767" w:rsidRPr="00CC4BDC" w14:paraId="221E472A" w14:textId="77777777" w:rsidTr="00826D53">
        <w:trPr>
          <w:trHeight w:val="730"/>
        </w:trPr>
        <w:tc>
          <w:tcPr>
            <w:tcW w:w="500" w:type="dxa"/>
            <w:vMerge/>
            <w:tcBorders>
              <w:bottom w:val="nil"/>
            </w:tcBorders>
          </w:tcPr>
          <w:p w14:paraId="3F760E0F" w14:textId="77777777" w:rsidR="00A80767" w:rsidRPr="00CC4BDC"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6852" w:type="dxa"/>
            <w:vMerge/>
          </w:tcPr>
          <w:p w14:paraId="2F063CB4" w14:textId="77777777" w:rsidR="00A80767" w:rsidRPr="00CC4BDC" w:rsidRDefault="00A80767" w:rsidP="00826D53">
            <w:pPr>
              <w:tabs>
                <w:tab w:val="left" w:pos="6946"/>
              </w:tabs>
              <w:suppressAutoHyphens/>
              <w:spacing w:after="120" w:line="252" w:lineRule="auto"/>
              <w:ind w:left="1134"/>
              <w:jc w:val="left"/>
              <w:rPr>
                <w:color w:val="365F91" w:themeColor="accent1" w:themeShade="BF"/>
                <w:szCs w:val="22"/>
                <w:lang w:val="en-US" w:eastAsia="zh-CN"/>
              </w:rPr>
            </w:pPr>
          </w:p>
        </w:tc>
        <w:tc>
          <w:tcPr>
            <w:tcW w:w="2962" w:type="dxa"/>
          </w:tcPr>
          <w:p w14:paraId="1D538468" w14:textId="19562478" w:rsidR="00A80767" w:rsidRPr="00CC4BDC" w:rsidRDefault="00347201" w:rsidP="00826D53">
            <w:pPr>
              <w:tabs>
                <w:tab w:val="clear" w:pos="1134"/>
              </w:tabs>
              <w:spacing w:before="120" w:after="60"/>
              <w:ind w:right="-108"/>
              <w:jc w:val="right"/>
              <w:rPr>
                <w:rFonts w:cs="Tahoma"/>
                <w:color w:val="365F91" w:themeColor="accent1" w:themeShade="BF"/>
                <w:szCs w:val="22"/>
                <w:lang w:val="es-419"/>
              </w:rPr>
            </w:pPr>
            <w:r w:rsidRPr="00CC4BDC">
              <w:rPr>
                <w:rFonts w:cs="Tahoma"/>
                <w:color w:val="365F91" w:themeColor="accent1" w:themeShade="BF"/>
                <w:szCs w:val="22"/>
                <w:lang w:val="es-419"/>
              </w:rPr>
              <w:t>Pr</w:t>
            </w:r>
            <w:r w:rsidR="00BF2233" w:rsidRPr="00CC4BDC">
              <w:rPr>
                <w:rFonts w:cs="Tahoma"/>
                <w:color w:val="365F91" w:themeColor="accent1" w:themeShade="BF"/>
                <w:szCs w:val="22"/>
                <w:lang w:val="es-419"/>
              </w:rPr>
              <w:t>esentado por</w:t>
            </w:r>
            <w:r w:rsidRPr="00CC4BDC">
              <w:rPr>
                <w:rFonts w:cs="Tahoma"/>
                <w:color w:val="365F91" w:themeColor="accent1" w:themeShade="BF"/>
                <w:szCs w:val="22"/>
                <w:lang w:val="es-419"/>
              </w:rPr>
              <w:t>:</w:t>
            </w:r>
            <w:r w:rsidR="00A80767" w:rsidRPr="00CC4BDC">
              <w:rPr>
                <w:rFonts w:cs="Tahoma"/>
                <w:color w:val="365F91" w:themeColor="accent1" w:themeShade="BF"/>
                <w:szCs w:val="22"/>
                <w:lang w:val="es-419"/>
              </w:rPr>
              <w:br/>
            </w:r>
            <w:proofErr w:type="gramStart"/>
            <w:r w:rsidR="00CC4BDC" w:rsidRPr="00CC4BDC">
              <w:rPr>
                <w:rFonts w:cs="Tahoma"/>
                <w:color w:val="365F91" w:themeColor="accent1" w:themeShade="BF"/>
                <w:szCs w:val="22"/>
                <w:lang w:val="es-419"/>
              </w:rPr>
              <w:t>Secretaria General</w:t>
            </w:r>
            <w:proofErr w:type="gramEnd"/>
          </w:p>
          <w:p w14:paraId="280B5A68" w14:textId="44D29AEE" w:rsidR="00A80767" w:rsidRPr="00CC4BDC" w:rsidRDefault="00CC4BDC" w:rsidP="00826D53">
            <w:pPr>
              <w:tabs>
                <w:tab w:val="clear" w:pos="1134"/>
              </w:tabs>
              <w:spacing w:before="120" w:after="60"/>
              <w:ind w:right="-108"/>
              <w:jc w:val="right"/>
              <w:rPr>
                <w:rFonts w:cs="Tahoma"/>
                <w:color w:val="365F91" w:themeColor="accent1" w:themeShade="BF"/>
                <w:szCs w:val="22"/>
                <w:lang w:val="es-419"/>
              </w:rPr>
            </w:pPr>
            <w:r w:rsidRPr="00CC4BDC">
              <w:rPr>
                <w:rFonts w:cs="Tahoma"/>
                <w:color w:val="365F91" w:themeColor="accent1" w:themeShade="BF"/>
                <w:szCs w:val="22"/>
                <w:lang w:val="es-419"/>
              </w:rPr>
              <w:t>12</w:t>
            </w:r>
            <w:r w:rsidR="00FC2996" w:rsidRPr="00CC4BDC">
              <w:rPr>
                <w:rFonts w:cs="Tahoma"/>
                <w:color w:val="365F91" w:themeColor="accent1" w:themeShade="BF"/>
                <w:szCs w:val="22"/>
                <w:lang w:val="es-419"/>
              </w:rPr>
              <w:t>.</w:t>
            </w:r>
            <w:r w:rsidRPr="00CC4BDC">
              <w:rPr>
                <w:rFonts w:cs="Tahoma"/>
                <w:color w:val="365F91" w:themeColor="accent1" w:themeShade="BF"/>
                <w:szCs w:val="22"/>
                <w:lang w:val="es-419"/>
              </w:rPr>
              <w:t>I</w:t>
            </w:r>
            <w:r w:rsidR="00740EE4" w:rsidRPr="00CC4BDC">
              <w:rPr>
                <w:rFonts w:cs="Tahoma"/>
                <w:color w:val="365F91" w:themeColor="accent1" w:themeShade="BF"/>
                <w:szCs w:val="22"/>
                <w:lang w:val="es-419"/>
              </w:rPr>
              <w:t>X</w:t>
            </w:r>
            <w:r w:rsidR="00FC2996" w:rsidRPr="00CC4BDC">
              <w:rPr>
                <w:rFonts w:cs="Tahoma"/>
                <w:color w:val="365F91" w:themeColor="accent1" w:themeShade="BF"/>
                <w:szCs w:val="22"/>
                <w:lang w:val="es-419"/>
              </w:rPr>
              <w:t>.202</w:t>
            </w:r>
            <w:r w:rsidR="00EA6A2D" w:rsidRPr="00CC4BDC">
              <w:rPr>
                <w:rFonts w:cs="Tahoma"/>
                <w:color w:val="365F91" w:themeColor="accent1" w:themeShade="BF"/>
                <w:szCs w:val="22"/>
                <w:lang w:val="es-419"/>
              </w:rPr>
              <w:t>4</w:t>
            </w:r>
          </w:p>
          <w:p w14:paraId="56980C57" w14:textId="77777777" w:rsidR="00A80767" w:rsidRPr="00CC4BDC" w:rsidRDefault="00740EE4" w:rsidP="00826D53">
            <w:pPr>
              <w:tabs>
                <w:tab w:val="clear" w:pos="1134"/>
              </w:tabs>
              <w:spacing w:before="120" w:after="60"/>
              <w:ind w:right="-108"/>
              <w:jc w:val="right"/>
              <w:rPr>
                <w:rFonts w:cs="Tahoma"/>
                <w:b/>
                <w:bCs/>
                <w:color w:val="365F91" w:themeColor="accent1" w:themeShade="BF"/>
                <w:szCs w:val="22"/>
                <w:lang w:val="es-419"/>
              </w:rPr>
            </w:pPr>
            <w:r w:rsidRPr="00CC4BDC">
              <w:rPr>
                <w:rFonts w:cs="Tahoma"/>
                <w:b/>
                <w:bCs/>
                <w:color w:val="365F91" w:themeColor="accent1" w:themeShade="BF"/>
                <w:szCs w:val="22"/>
                <w:lang w:val="es-419"/>
              </w:rPr>
              <w:t>VERSI</w:t>
            </w:r>
            <w:r w:rsidR="002A29BD" w:rsidRPr="00CC4BDC">
              <w:rPr>
                <w:rFonts w:cs="Tahoma"/>
                <w:b/>
                <w:bCs/>
                <w:color w:val="365F91" w:themeColor="accent1" w:themeShade="BF"/>
                <w:szCs w:val="22"/>
                <w:lang w:val="es-419"/>
              </w:rPr>
              <w:t>Ó</w:t>
            </w:r>
            <w:r w:rsidRPr="00CC4BDC">
              <w:rPr>
                <w:rFonts w:cs="Tahoma"/>
                <w:b/>
                <w:bCs/>
                <w:color w:val="365F91" w:themeColor="accent1" w:themeShade="BF"/>
                <w:szCs w:val="22"/>
                <w:lang w:val="es-419"/>
              </w:rPr>
              <w:t>N</w:t>
            </w:r>
            <w:r w:rsidR="00A80767" w:rsidRPr="00CC4BDC">
              <w:rPr>
                <w:rFonts w:cs="Tahoma"/>
                <w:b/>
                <w:bCs/>
                <w:color w:val="365F91" w:themeColor="accent1" w:themeShade="BF"/>
                <w:szCs w:val="22"/>
                <w:lang w:val="es-419"/>
              </w:rPr>
              <w:t xml:space="preserve"> 1</w:t>
            </w:r>
          </w:p>
        </w:tc>
      </w:tr>
    </w:tbl>
    <w:p w14:paraId="20EAA9A2" w14:textId="77777777" w:rsidR="00CC4BDC" w:rsidRPr="00A85A97" w:rsidRDefault="00CC4BDC" w:rsidP="00CC4BDC">
      <w:pPr>
        <w:rPr>
          <w:rFonts w:ascii="Calibri" w:hAnsi="Calibri" w:cs="Calibri"/>
          <w:i/>
          <w:iCs/>
          <w:color w:val="FF0000"/>
          <w:lang w:val="es-ES"/>
        </w:rPr>
      </w:pPr>
      <w:bookmarkStart w:id="0" w:name="_APPENDIX_A:_"/>
      <w:bookmarkEnd w:id="0"/>
      <w:r>
        <w:rPr>
          <w:rFonts w:ascii="Calibri" w:eastAsia="Calibri" w:hAnsi="Calibri" w:cs="Calibri"/>
          <w:i/>
          <w:iCs/>
          <w:color w:val="FF0000"/>
          <w:sz w:val="22"/>
          <w:szCs w:val="22"/>
          <w:lang w:val="es-ES"/>
        </w:rPr>
        <w:t>[</w:t>
      </w:r>
      <w:r w:rsidRPr="00A85A97">
        <w:rPr>
          <w:rFonts w:ascii="Calibri" w:eastAsia="Calibri" w:hAnsi="Calibri" w:cs="Calibri"/>
          <w:i/>
          <w:iCs/>
          <w:color w:val="FF0000"/>
          <w:sz w:val="22"/>
          <w:szCs w:val="22"/>
          <w:lang w:val="es-ES"/>
        </w:rPr>
        <w:t xml:space="preserve">El presente documento ha sido traducido para su comodidad empleando tecnologías de traducción automática sin </w:t>
      </w:r>
      <w:proofErr w:type="spellStart"/>
      <w:r w:rsidRPr="00A85A97">
        <w:rPr>
          <w:rFonts w:ascii="Calibri" w:eastAsia="Calibri" w:hAnsi="Calibri" w:cs="Calibri"/>
          <w:i/>
          <w:iCs/>
          <w:color w:val="FF0000"/>
          <w:sz w:val="22"/>
          <w:szCs w:val="22"/>
          <w:lang w:val="es-ES"/>
        </w:rPr>
        <w:t>posedición</w:t>
      </w:r>
      <w:proofErr w:type="spellEnd"/>
      <w:r w:rsidRPr="00A85A97">
        <w:rPr>
          <w:rFonts w:ascii="Calibri" w:eastAsia="Calibri" w:hAnsi="Calibri" w:cs="Calibri"/>
          <w:i/>
          <w:iCs/>
          <w:color w:val="FF0000"/>
          <w:sz w:val="22"/>
          <w:szCs w:val="22"/>
          <w:lang w:val="es-ES"/>
        </w:rPr>
        <w:t xml:space="preserve">. </w:t>
      </w:r>
      <w:r w:rsidRPr="00A85A97">
        <w:rPr>
          <w:i/>
          <w:iCs/>
          <w:color w:val="FF0000"/>
          <w:lang w:val="es-ES"/>
        </w:rPr>
        <w:t>No se garantiza en modo alguno, ni de forma expresa ni implícita, su exactitud, fiabilidad o corrección. Toda discrepancia o diferencia que pudiera deberse a la traducción del contenido del documento original al español no será vinculante y no conllevará ninguna consecuencia jurídica a efectos de cumplimiento o aplicación, entre otros. Tenga en cuenta que determinados contenidos, como las imágenes, no pueden traducirse a causa de las limitaciones técnicas del sistema. Si tuviera alguna duda relacionada con la exactitud de la información de un documento traducido, sírvase consultar su versión oficial redactada en inglés.</w:t>
      </w:r>
      <w:r>
        <w:rPr>
          <w:i/>
          <w:iCs/>
          <w:color w:val="FF0000"/>
          <w:lang w:val="es-ES"/>
        </w:rPr>
        <w:t>]</w:t>
      </w:r>
    </w:p>
    <w:p w14:paraId="657A6D90" w14:textId="77777777" w:rsidR="00CC4BDC" w:rsidRPr="00A85A97" w:rsidRDefault="00CC4BDC" w:rsidP="00CC4BDC">
      <w:pPr>
        <w:pStyle w:val="Heading2"/>
        <w:rPr>
          <w:lang w:val="es-ES"/>
        </w:rPr>
      </w:pPr>
      <w:r>
        <w:rPr>
          <w:lang w:val="es-ES"/>
        </w:rPr>
        <w:t>COMPROMISO PÚBLICO-PRIVADO: PLATAFORMA CONSULTIVA ABIERTA REGIONAL (R-OCP) Y ACTUALIZACIÓN DE LAS ACTIVIDADES DE LA PPE</w:t>
      </w:r>
    </w:p>
    <w:p w14:paraId="24CA129E" w14:textId="77777777" w:rsidR="00CC4BDC" w:rsidRPr="00A85A97" w:rsidRDefault="00CC4BDC" w:rsidP="00CC4BDC">
      <w:pPr>
        <w:pStyle w:val="Heading3"/>
        <w:rPr>
          <w:lang w:val="es-ES"/>
        </w:rPr>
      </w:pPr>
      <w:bookmarkStart w:id="1" w:name="_Hlk175750495"/>
      <w:r w:rsidRPr="00A85A97">
        <w:rPr>
          <w:lang w:val="es-ES"/>
        </w:rPr>
        <w:t xml:space="preserve">Open Consultative </w:t>
      </w:r>
      <w:proofErr w:type="spellStart"/>
      <w:r w:rsidRPr="00A85A97">
        <w:rPr>
          <w:lang w:val="es-ES"/>
        </w:rPr>
        <w:t>Platform</w:t>
      </w:r>
      <w:proofErr w:type="spellEnd"/>
      <w:r w:rsidRPr="00A85A97">
        <w:rPr>
          <w:lang w:val="es-ES"/>
        </w:rPr>
        <w:t xml:space="preserve"> (OCP)</w:t>
      </w:r>
    </w:p>
    <w:bookmarkEnd w:id="1"/>
    <w:p w14:paraId="7739010D" w14:textId="7D1D0C0C" w:rsidR="00CC4BDC" w:rsidRPr="00A85A97" w:rsidRDefault="00CC4BDC" w:rsidP="00CC4BDC">
      <w:pPr>
        <w:pStyle w:val="WMOBodyText"/>
        <w:spacing w:after="120"/>
        <w:rPr>
          <w:lang w:val="es-ES"/>
        </w:rPr>
      </w:pPr>
      <w:r w:rsidRPr="00A85A97">
        <w:rPr>
          <w:lang w:val="es-ES"/>
        </w:rPr>
        <w:t xml:space="preserve">El Decimoctavo Congreso Meteorológico Mundial (Cg-18), a través de su </w:t>
      </w:r>
      <w:hyperlink r:id="rId12" w:anchor="page=292&amp;viewer=picture&amp;o=bookmark&amp;n=0&amp;q=" w:history="1">
        <w:r w:rsidRPr="00CC4BDC">
          <w:rPr>
            <w:rStyle w:val="Hyperlink"/>
            <w:lang w:val="es-ES"/>
          </w:rPr>
          <w:t>Resolución 79</w:t>
        </w:r>
      </w:hyperlink>
      <w:r w:rsidRPr="00A85A97">
        <w:rPr>
          <w:lang w:val="es-ES"/>
        </w:rPr>
        <w:t xml:space="preserve"> (Cg-18) - Plataforma Consultiva Abierta "Asociación e innovación para la próxima generación de inteligencia meteorológica y climática", acuerda que la OMM debería seguir desempeñando un papel central en la facilitación del diálogo entre los sectores en consonancia con la política general establecida mediante la </w:t>
      </w:r>
      <w:hyperlink r:id="rId13" w:anchor="page=293&amp;viewer=picture&amp;o=bookmark&amp;n=0&amp;q=" w:history="1">
        <w:r w:rsidRPr="00CC4BDC">
          <w:rPr>
            <w:rStyle w:val="Hyperlink"/>
            <w:lang w:val="es-ES"/>
          </w:rPr>
          <w:t>Resolución 80</w:t>
        </w:r>
      </w:hyperlink>
      <w:r w:rsidRPr="00A85A97">
        <w:rPr>
          <w:lang w:val="es-ES"/>
        </w:rPr>
        <w:t xml:space="preserve"> (Cg-18) - Declaración de Ginebra - 2019: Creación de una comunidad para las acciones relativas al tiempo, el clima y el agua, y está de acuerdo además con la propuesta de celebrar sesiones temáticas anuales del OCP como parte del programa de las sesiones del Consejo Ejecutivo (CE) o del Congreso Meteorológico Mundial (Cg).</w:t>
      </w:r>
    </w:p>
    <w:p w14:paraId="60EA3EC4" w14:textId="77777777" w:rsidR="00CC4BDC" w:rsidRPr="00A85A97" w:rsidRDefault="00CC4BDC" w:rsidP="00CC4BDC">
      <w:pPr>
        <w:pStyle w:val="WMOBodyText"/>
        <w:spacing w:after="120"/>
        <w:rPr>
          <w:lang w:val="es-ES"/>
        </w:rPr>
      </w:pPr>
      <w:r w:rsidRPr="00A85A97">
        <w:rPr>
          <w:lang w:val="es-ES"/>
        </w:rPr>
        <w:t xml:space="preserve">La Segunda Sesión de Alto Nivel de la Plataforma Consultiva Abierta (OCP-HL-2) se celebró con éxito los días 26 y 27 de mayo de 2021 como un evento en línea que consistió en dos </w:t>
      </w:r>
      <w:proofErr w:type="spellStart"/>
      <w:r w:rsidRPr="00A85A97">
        <w:rPr>
          <w:lang w:val="es-ES"/>
        </w:rPr>
        <w:t>sub-sesiones</w:t>
      </w:r>
      <w:proofErr w:type="spellEnd"/>
      <w:r w:rsidRPr="00A85A97">
        <w:rPr>
          <w:lang w:val="es-ES"/>
        </w:rPr>
        <w:t xml:space="preserve"> temáticas debido a la pandemia COVID-19. En la primera </w:t>
      </w:r>
      <w:proofErr w:type="spellStart"/>
      <w:r w:rsidRPr="00A85A97">
        <w:rPr>
          <w:lang w:val="es-ES"/>
        </w:rPr>
        <w:t>subsesión</w:t>
      </w:r>
      <w:proofErr w:type="spellEnd"/>
      <w:r w:rsidRPr="00A85A97">
        <w:rPr>
          <w:lang w:val="es-ES"/>
        </w:rPr>
        <w:t xml:space="preserve"> se presentó el Libro Blanco </w:t>
      </w:r>
      <w:proofErr w:type="spellStart"/>
      <w:r w:rsidRPr="00A85A97">
        <w:rPr>
          <w:lang w:val="es-ES"/>
        </w:rPr>
        <w:t>nº</w:t>
      </w:r>
      <w:proofErr w:type="spellEnd"/>
      <w:r w:rsidRPr="00A85A97">
        <w:rPr>
          <w:lang w:val="es-ES"/>
        </w:rPr>
        <w:t xml:space="preserve"> 1 de la OCP de la OMM sobre el futuro de las previsiones meteorológicas y climáticas. En los debates de la segunda </w:t>
      </w:r>
      <w:proofErr w:type="spellStart"/>
      <w:r w:rsidRPr="00A85A97">
        <w:rPr>
          <w:lang w:val="es-ES"/>
        </w:rPr>
        <w:t>subsesión</w:t>
      </w:r>
      <w:proofErr w:type="spellEnd"/>
      <w:r w:rsidRPr="00A85A97">
        <w:rPr>
          <w:lang w:val="es-ES"/>
        </w:rPr>
        <w:t xml:space="preserve"> se examinó la diversidad de los acuerdos institucionales relacionados con los Servicios Meteorológicos e Hidrológicos Nacionales (SMHN) de los Miembros y se ofrecieron perspectivas para que toda la comunidad comprendiera los motores y las tendencias que configuran la evolución futura de los SMHN y las partes interesadas.</w:t>
      </w:r>
    </w:p>
    <w:p w14:paraId="1576C68A" w14:textId="77777777" w:rsidR="00CC4BDC" w:rsidRPr="00A85A97" w:rsidRDefault="00CC4BDC" w:rsidP="00CC4BDC">
      <w:pPr>
        <w:pStyle w:val="WMOBodyText"/>
        <w:spacing w:after="120"/>
        <w:rPr>
          <w:lang w:val="es-ES"/>
        </w:rPr>
      </w:pPr>
      <w:r w:rsidRPr="00A85A97">
        <w:rPr>
          <w:lang w:val="es-ES"/>
        </w:rPr>
        <w:t>La Tercera Sesión de Alto Nivel (OCP-HL-3) se celebró como parte del programa de la Septuagésima Quinta Sesión de la CE (EC-75) para lanzar el Libro Blanco #2 de la OCP sobre el futuro de los Servicios Meteorológicos o Hidrometeorológicos Nacionales: Evolución de las funciones y responsabilidades y para debatir sobre ese tema, que está significativamente relacionado con la Planificación Estratégica de la OMM.</w:t>
      </w:r>
    </w:p>
    <w:p w14:paraId="08AB4DBD" w14:textId="77777777" w:rsidR="00CC4BDC" w:rsidRPr="00A85A97" w:rsidRDefault="00CC4BDC" w:rsidP="00CC4BDC">
      <w:pPr>
        <w:pStyle w:val="WMOBodyText"/>
        <w:spacing w:after="120"/>
        <w:rPr>
          <w:lang w:val="es-ES"/>
        </w:rPr>
      </w:pPr>
      <w:r w:rsidRPr="00A85A97">
        <w:rPr>
          <w:lang w:val="es-ES"/>
        </w:rPr>
        <w:t>La Cuarta Sesión de Alto Nivel (OCP-HL-4) se celebró como parte del programa del Decimonoveno Congreso Meteorológico Mundial (Cg-19) para debatir cómo implicar a las múltiples partes interesadas en la consecución del objetivo de la iniciativa Alerta Temprana para Todos (EW4All), centrándose en la identificación de los puntos fuertes y la posible contribución del sector privado a las deficiencias de capacidad relacionadas con la alerta temprana en los países menos adelantados (PMA) y los pequeños Estados insulares en desarrollo (PEID).</w:t>
      </w:r>
    </w:p>
    <w:p w14:paraId="2ED20894" w14:textId="77777777" w:rsidR="00CC4BDC" w:rsidRPr="00A85A97" w:rsidRDefault="00CC4BDC" w:rsidP="00CC4BDC">
      <w:pPr>
        <w:pStyle w:val="WMOBodyText"/>
        <w:spacing w:after="120"/>
        <w:rPr>
          <w:lang w:val="es-ES"/>
        </w:rPr>
      </w:pPr>
      <w:r w:rsidRPr="00A85A97">
        <w:rPr>
          <w:lang w:val="es-ES"/>
        </w:rPr>
        <w:t>La Quinta Sesión de Alto Nivel (OCP-HL-5) se celebró como parte del programa de la Septuagésima Octava Sesión de la CE (CE-78) y se centró en el Compromiso Público-Privado (PPE) para un servicio sostenible de datos por satélite.</w:t>
      </w:r>
    </w:p>
    <w:p w14:paraId="4A9FE317" w14:textId="77777777" w:rsidR="00CC4BDC" w:rsidRPr="00A85A97" w:rsidRDefault="00CC4BDC" w:rsidP="00CC4BDC">
      <w:pPr>
        <w:pStyle w:val="WMOBodyText"/>
        <w:spacing w:after="120"/>
        <w:rPr>
          <w:lang w:val="es-ES"/>
        </w:rPr>
      </w:pPr>
      <w:r w:rsidRPr="00A85A97">
        <w:rPr>
          <w:lang w:val="es-ES"/>
        </w:rPr>
        <w:lastRenderedPageBreak/>
        <w:t>Este nuevo mecanismo consultivo facilitado por la OMM ha desempeñado un papel decisivo en el fortalecimiento de las relaciones y conducirá a una mayor conciencia común a través de un diálogo sostenible entre los sectores público, privado y académico, así como con las comunidades de usuarios y la sociedad civil.</w:t>
      </w:r>
    </w:p>
    <w:p w14:paraId="72D7D493" w14:textId="77777777" w:rsidR="00CC4BDC" w:rsidRPr="00A85A97" w:rsidRDefault="00CC4BDC" w:rsidP="00CC4BDC">
      <w:pPr>
        <w:pStyle w:val="Heading3"/>
        <w:rPr>
          <w:lang w:val="es-ES"/>
        </w:rPr>
      </w:pPr>
      <w:r w:rsidRPr="00A85A97">
        <w:rPr>
          <w:lang w:val="es-ES"/>
        </w:rPr>
        <w:t>Foro regional vinculado a la OCP</w:t>
      </w:r>
    </w:p>
    <w:p w14:paraId="5D0308D5" w14:textId="0C6AA6FA" w:rsidR="00CC4BDC" w:rsidRPr="00A85A97" w:rsidRDefault="00CC4BDC" w:rsidP="00CC4BDC">
      <w:pPr>
        <w:pStyle w:val="WMOBodyText"/>
        <w:spacing w:after="120"/>
        <w:rPr>
          <w:lang w:val="es-ES"/>
        </w:rPr>
      </w:pPr>
      <w:r w:rsidRPr="00A85A97">
        <w:rPr>
          <w:lang w:val="es-ES"/>
        </w:rPr>
        <w:t xml:space="preserve">El Cg-18, a través de la </w:t>
      </w:r>
      <w:hyperlink r:id="rId14" w:anchor="page=292&amp;viewer=picture&amp;o=bookmark&amp;n=0&amp;q=" w:history="1">
        <w:r w:rsidRPr="00CC4BDC">
          <w:rPr>
            <w:rStyle w:val="Hyperlink"/>
            <w:lang w:val="es-ES"/>
          </w:rPr>
          <w:t>Resolución 79</w:t>
        </w:r>
      </w:hyperlink>
      <w:r w:rsidRPr="00A85A97">
        <w:rPr>
          <w:lang w:val="es-ES"/>
        </w:rPr>
        <w:t xml:space="preserve"> (Cg-18), también solicita a los presidentes de las asociaciones regionales (AR) que estimulen en sus regiones consultas informales con las partes interesadas de todos los sectores, a lo largo de toda la cadena de valor, para analizar y comprender mejor las circunstancias subregionales y regionales. Todas las AR de la OMM tomaron decisiones en respuesta a dicha Resolución. La AR VI, en su Decimoctava Sesión de noviembre de 2020, adoptó la </w:t>
      </w:r>
      <w:hyperlink r:id="rId15" w:anchor="page=29&amp;viewer=picture&amp;o=bookmark&amp;n=0&amp;q=" w:history="1">
        <w:r w:rsidRPr="00CC4BDC">
          <w:rPr>
            <w:rStyle w:val="Hyperlink"/>
            <w:lang w:val="es-ES"/>
          </w:rPr>
          <w:t>Decisión 8</w:t>
        </w:r>
      </w:hyperlink>
      <w:r w:rsidRPr="00A85A97">
        <w:rPr>
          <w:lang w:val="es-ES"/>
        </w:rPr>
        <w:t xml:space="preserve"> (AR VI-18) que decide considerar la organización, en colaboración con asociaciones del sector privado, de un Foro Regional sobre PPE vinculado a PCO para debatir cuestiones, oportunidades e iniciativas específicas de la región para impulsar la cooperación y la colaboración entre sectores que mejoren los beneficios socioeconómicos.</w:t>
      </w:r>
    </w:p>
    <w:p w14:paraId="5876AFEA" w14:textId="77777777" w:rsidR="00CC4BDC" w:rsidRPr="00A85A97" w:rsidRDefault="00CC4BDC" w:rsidP="00CC4BDC">
      <w:pPr>
        <w:pStyle w:val="WMOBodyText"/>
        <w:spacing w:after="120"/>
        <w:rPr>
          <w:lang w:val="es-ES"/>
        </w:rPr>
      </w:pPr>
      <w:r w:rsidRPr="00A85A97">
        <w:rPr>
          <w:lang w:val="es-ES"/>
        </w:rPr>
        <w:t>El Foro Regional de la AR III se celebró en Colombia en julio de 2022, el Foro Regional de la AR VI en Ginebra en noviembre de 2022, el Foro Regional de la AR IV en Jamaica en febrero de 2023, el Foro Regional de la AR I en Etiopía en febrero de 2023 como parte de la Conferencia Técnica Regional de la AR I (AR I RECO 2023), y el Foro Regional de las AR II y V en Singapur en abril de 2023. Estos foros regionales han reunido a los Representantes Permanentes de las respectivas regiones y a representantes de alto nivel de los sectores privado y académico para facilitar el diálogo entre todas las partes interesadas a nivel regional y debatir cuestiones, oportunidades e iniciativas específicas de cada región para potenciar la cooperación y la colaboración entre sectores que mejoren los beneficios socioeconómicos de los servicios meteorológicos y climáticos.</w:t>
      </w:r>
    </w:p>
    <w:p w14:paraId="5C478A5C" w14:textId="77777777" w:rsidR="00CC4BDC" w:rsidRPr="00A85A97" w:rsidRDefault="00CC4BDC" w:rsidP="00CC4BDC">
      <w:pPr>
        <w:pStyle w:val="Heading3"/>
        <w:rPr>
          <w:i/>
          <w:iCs/>
          <w:lang w:val="es-ES"/>
        </w:rPr>
      </w:pPr>
      <w:r w:rsidRPr="00A85A97">
        <w:rPr>
          <w:lang w:val="es-ES"/>
        </w:rPr>
        <w:t>Plataforma Consultiva Regional Abierta (R-OCP)</w:t>
      </w:r>
    </w:p>
    <w:p w14:paraId="3F93C9E8" w14:textId="3AAD441F" w:rsidR="00CC4BDC" w:rsidRPr="00A85A97" w:rsidRDefault="00CC4BDC" w:rsidP="00CC4BDC">
      <w:pPr>
        <w:pStyle w:val="WMOBodyText"/>
        <w:spacing w:after="120"/>
        <w:rPr>
          <w:lang w:val="es-ES"/>
        </w:rPr>
      </w:pPr>
      <w:r w:rsidRPr="00A85A97">
        <w:rPr>
          <w:lang w:val="es-ES"/>
        </w:rPr>
        <w:t xml:space="preserve">En este sentido, la Sesión Extraordinaria del Congreso Meteorológico Mundial (Cg-Ext.(2021)), a través de la </w:t>
      </w:r>
      <w:hyperlink r:id="rId16" w:anchor="page=217&amp;viewer=picture&amp;o=bookmark&amp;n=0&amp;q=" w:history="1">
        <w:r w:rsidRPr="00CC4BDC">
          <w:rPr>
            <w:rStyle w:val="Hyperlink"/>
            <w:lang w:val="es-ES"/>
          </w:rPr>
          <w:t>Resolución 8 (Cg-Ext(2021)</w:t>
        </w:r>
      </w:hyperlink>
      <w:r w:rsidRPr="00A85A97">
        <w:rPr>
          <w:lang w:val="es-ES"/>
        </w:rPr>
        <w:t xml:space="preserve"> - Revisión exhaustiva del concepto y los enfoques regionales de la OMM, solicitó a los presidentes de las AR: (11) Que fomenten la participación de los SMHN en las EPP con el fin de apoyar sus actividades de desarrollo de capacidades y complementar sus limitados presupuestos utilizando mecanismos como el PCO sobre modelos de negocio y asociaciones entre el sector público y el privado.</w:t>
      </w:r>
    </w:p>
    <w:p w14:paraId="23B5A4FF" w14:textId="77777777" w:rsidR="00CC4BDC" w:rsidRPr="00A85A97" w:rsidRDefault="00CC4BDC" w:rsidP="00CC4BDC">
      <w:pPr>
        <w:pStyle w:val="WMOBodyText"/>
        <w:spacing w:after="120"/>
        <w:rPr>
          <w:color w:val="FF0000"/>
          <w:lang w:val="es-ES"/>
        </w:rPr>
      </w:pPr>
      <w:r w:rsidRPr="00A85A97">
        <w:rPr>
          <w:lang w:val="es-ES"/>
        </w:rPr>
        <w:t>La situación de la EPP en cada región, los retos y oportunidades, los intereses y las necesidades varían de una a otra. Un PCO mundial y su sesión anual no pueden cubrir las expectativas y necesidades de cada región. Los foros regionales celebrados el año pasado han puesto de manifiesto que los miembros de cada región desean incluir de forma permanente las cuestiones relacionadas con la EPP en la estrategia regional y en el orden del día de la AR y adoptar disposiciones institucionales para la deliberación sobre las cuestiones relacionadas con la EPP específicas de cada región. Por lo tanto, el Foro Regional podría convertirse en una plataforma central para que la región desarrolle y lleve a cabo el diálogo, la colaboración y los proyectos de las múltiples partes interesadas de forma coordinada y neutral, y para que las actividades regionales del PPE sean más pertinentes para los intereses específicos de la región.</w:t>
      </w:r>
    </w:p>
    <w:p w14:paraId="0A878AB4" w14:textId="77777777" w:rsidR="00CC4BDC" w:rsidRPr="00A85A97" w:rsidRDefault="00CC4BDC" w:rsidP="00CC4BDC">
      <w:pPr>
        <w:pStyle w:val="WMOBodyText"/>
        <w:spacing w:after="120"/>
        <w:rPr>
          <w:lang w:val="es-ES"/>
        </w:rPr>
      </w:pPr>
      <w:r w:rsidRPr="00A85A97">
        <w:rPr>
          <w:lang w:val="es-ES"/>
        </w:rPr>
        <w:t>Dados los beneficios y las posibilidades que se espera que aporten dichos foros regionales y las actividades relacionadas con ellos, y dado que la Resolución mencionada fomenta el uso de mecanismos como las OCP, se anima a que el Foro Regional pase a denominarse Plataforma Consultiva Abierta Regional (R-OCP) a partir de la próxima sesión y a que las sesiones de la R-OCP se celebren regularmente junto con las sesiones de las AR o como parte de su programa.</w:t>
      </w:r>
    </w:p>
    <w:p w14:paraId="0CE0DA7C" w14:textId="77777777" w:rsidR="00CC4BDC" w:rsidRPr="00A85A97" w:rsidRDefault="00CC4BDC" w:rsidP="00CC4BDC">
      <w:pPr>
        <w:pStyle w:val="WMOBodyText"/>
        <w:spacing w:after="120"/>
        <w:rPr>
          <w:lang w:val="es-ES"/>
        </w:rPr>
      </w:pPr>
      <w:r w:rsidRPr="00A85A97">
        <w:rPr>
          <w:lang w:val="es-ES"/>
        </w:rPr>
        <w:lastRenderedPageBreak/>
        <w:t>La última novedad a escala regional es que la fase I de la Decimonovena Sesión de la AR I aprobó la decisión de establecer la Plataforma Consultiva Regional Abierta de la AR I (R-OCP-RA I) como mecanismo regular de diálogo regional, que es una plataforma abierta y voluntaria para la participación de los sectores público, privado y académico, y de las sociedades civiles.</w:t>
      </w:r>
    </w:p>
    <w:p w14:paraId="292A7847" w14:textId="77777777" w:rsidR="00CC4BDC" w:rsidRPr="00A85A97" w:rsidRDefault="00CC4BDC" w:rsidP="00CC4BDC">
      <w:pPr>
        <w:pStyle w:val="Heading3"/>
        <w:rPr>
          <w:lang w:val="es-ES"/>
        </w:rPr>
      </w:pPr>
      <w:r w:rsidRPr="00A85A97">
        <w:rPr>
          <w:lang w:val="es-ES"/>
        </w:rPr>
        <w:t>Información actualizada sobre otras actividades relacionadas con los EPI</w:t>
      </w:r>
    </w:p>
    <w:p w14:paraId="5D54FC3B" w14:textId="77777777" w:rsidR="00CC4BDC" w:rsidRPr="00A85A97" w:rsidRDefault="00CC4BDC" w:rsidP="00CC4BDC">
      <w:pPr>
        <w:pStyle w:val="WMOSubTitle1"/>
        <w:rPr>
          <w:lang w:val="es-ES"/>
        </w:rPr>
      </w:pPr>
      <w:r w:rsidRPr="00A85A97">
        <w:rPr>
          <w:bCs/>
          <w:iCs/>
          <w:lang w:val="es-ES"/>
        </w:rPr>
        <w:t>Elaboración de políticas</w:t>
      </w:r>
    </w:p>
    <w:p w14:paraId="205D455E" w14:textId="77777777" w:rsidR="00CC4BDC" w:rsidRPr="00A85A97" w:rsidRDefault="00CC4BDC" w:rsidP="00CC4BDC">
      <w:pPr>
        <w:pStyle w:val="WMOSubTitle2"/>
        <w:rPr>
          <w:lang w:val="es-ES"/>
        </w:rPr>
      </w:pPr>
      <w:r w:rsidRPr="00A85A97">
        <w:rPr>
          <w:lang w:val="es-ES"/>
        </w:rPr>
        <w:t>Revisión de las directrices de la OMM sobre EPI</w:t>
      </w:r>
    </w:p>
    <w:p w14:paraId="353AEA23" w14:textId="5042140E" w:rsidR="00CC4BDC" w:rsidRPr="00A85A97" w:rsidRDefault="00CC4BDC" w:rsidP="00CC4BDC">
      <w:pPr>
        <w:pStyle w:val="WMOBodyText"/>
        <w:spacing w:after="120"/>
      </w:pPr>
      <w:r w:rsidRPr="00A85A97">
        <w:rPr>
          <w:lang w:val="es-ES"/>
        </w:rPr>
        <w:t xml:space="preserve">Las </w:t>
      </w:r>
      <w:hyperlink r:id="rId17" w:history="1">
        <w:r w:rsidRPr="00CC4BDC">
          <w:rPr>
            <w:rStyle w:val="Hyperlink"/>
            <w:i/>
            <w:iCs/>
            <w:lang w:val="es-ES"/>
          </w:rPr>
          <w:t>Directrices de la OMM sobre EPI</w:t>
        </w:r>
      </w:hyperlink>
      <w:r w:rsidRPr="00A85A97">
        <w:rPr>
          <w:lang w:val="es-ES"/>
        </w:rPr>
        <w:t xml:space="preserve"> (OMM-</w:t>
      </w:r>
      <w:proofErr w:type="spellStart"/>
      <w:r w:rsidRPr="00A85A97">
        <w:rPr>
          <w:lang w:val="es-ES"/>
        </w:rPr>
        <w:t>Nº</w:t>
      </w:r>
      <w:proofErr w:type="spellEnd"/>
      <w:r w:rsidRPr="00A85A97">
        <w:rPr>
          <w:lang w:val="es-ES"/>
        </w:rPr>
        <w:t xml:space="preserve"> 1258) (edición de 2021) fueron aprobadas por la CE-72 en 2020. Ofrece perspectivas históricas, principios y orientaciones específicas para informar y facilitar las acciones mundiales, regionales y nacionales de la OMM y sus Miembros. Desde que se publicó la edición de 2021, algunos cambios en las políticas de la OMM y en las nuevas necesidades de los Miembros han hecho necesario revisar las directrices para ofrecer una orientación actualizada a los Miembros de la OMM y a las Administraciones Regionales en sus esfuerzos por establecer asociaciones y colaboraciones eficaces y mutuamente beneficiosas con los sectores privado y académico. Las revisiones de las Directrices fueron aprobadas por la </w:t>
      </w:r>
      <w:hyperlink r:id="rId18" w:history="1">
        <w:r w:rsidRPr="00E20FE5">
          <w:rPr>
            <w:rStyle w:val="Hyperlink"/>
            <w:lang w:val="es-ES"/>
          </w:rPr>
          <w:t>Resolución 26 (CE-78)</w:t>
        </w:r>
      </w:hyperlink>
      <w:r w:rsidRPr="00A85A97">
        <w:rPr>
          <w:lang w:val="es-ES"/>
        </w:rPr>
        <w:t xml:space="preserve"> en junio de 2024. Las principales revisiones incluyen dos partes:</w:t>
      </w:r>
    </w:p>
    <w:p w14:paraId="30350307" w14:textId="7C31B932" w:rsidR="00CC4BDC" w:rsidRPr="00A85A97" w:rsidRDefault="00CC4BDC" w:rsidP="00CC4BDC">
      <w:pPr>
        <w:pStyle w:val="WMOBodyText"/>
        <w:numPr>
          <w:ilvl w:val="0"/>
          <w:numId w:val="46"/>
        </w:numPr>
        <w:spacing w:after="120"/>
        <w:ind w:left="567" w:hanging="567"/>
        <w:rPr>
          <w:lang w:val="es-ES"/>
        </w:rPr>
      </w:pPr>
      <w:r w:rsidRPr="00A85A97">
        <w:rPr>
          <w:lang w:val="es-ES"/>
        </w:rPr>
        <w:t xml:space="preserve">Cambios en el cuerpo del texto de la edición de 2021 de las Directrices, que reflejan el desarrollo de las políticas desde EC-72 con implicaciones en la PPE, incluyendo principalmente la Política de Datos Unificada de la OMM o la </w:t>
      </w:r>
      <w:hyperlink r:id="rId19" w:anchor="page=10&amp;viewer=picture&amp;o=bookmark&amp;n=0&amp;q=" w:history="1">
        <w:r w:rsidRPr="00883888">
          <w:rPr>
            <w:rStyle w:val="Hyperlink"/>
            <w:lang w:val="es-ES"/>
          </w:rPr>
          <w:t>Resolución 1 (Cg-Ext(2021))</w:t>
        </w:r>
      </w:hyperlink>
      <w:r w:rsidRPr="00A85A97">
        <w:rPr>
          <w:lang w:val="es-ES"/>
        </w:rPr>
        <w:t xml:space="preserve"> y su </w:t>
      </w:r>
      <w:hyperlink r:id="rId20" w:anchor="page=27&amp;viewer=picture&amp;o=bookmark&amp;n=0&amp;q=" w:history="1">
        <w:r w:rsidRPr="00883888">
          <w:rPr>
            <w:rStyle w:val="Hyperlink"/>
            <w:lang w:val="es-ES"/>
          </w:rPr>
          <w:t>Anexo 3</w:t>
        </w:r>
      </w:hyperlink>
      <w:r w:rsidRPr="00A85A97">
        <w:rPr>
          <w:lang w:val="es-ES"/>
        </w:rPr>
        <w:t xml:space="preserve"> de Directrices sobre la aplicación de la política de datos en la PPE, y el Plan Estratégico de la OMM 2024-2027 adoptado por la Cg-19 que establece el objetivo estratégico de ampliar las asociaciones eficaces, incluidas las asociaciones con el sector privado;</w:t>
      </w:r>
    </w:p>
    <w:p w14:paraId="7CC1F3DD" w14:textId="77777777" w:rsidR="00CC4BDC" w:rsidRPr="00A85A97" w:rsidRDefault="00CC4BDC" w:rsidP="00CC4BDC">
      <w:pPr>
        <w:pStyle w:val="WMOBodyText"/>
        <w:numPr>
          <w:ilvl w:val="0"/>
          <w:numId w:val="46"/>
        </w:numPr>
        <w:spacing w:after="120"/>
        <w:ind w:left="567" w:hanging="567"/>
        <w:rPr>
          <w:b/>
          <w:lang w:val="es-ES"/>
        </w:rPr>
      </w:pPr>
      <w:r w:rsidRPr="00A85A97">
        <w:rPr>
          <w:lang w:val="es-ES"/>
        </w:rPr>
        <w:t>Adición de un anexo sobre el marco legislativo e institucional para promover la EPI; Proporciona casos de leyes y reglamentos recopilados de los Miembros y plantillas de dicho marco.</w:t>
      </w:r>
    </w:p>
    <w:p w14:paraId="37B55AB3" w14:textId="140DCC30" w:rsidR="00CC4BDC" w:rsidRPr="00A85A97" w:rsidRDefault="00CC4BDC" w:rsidP="00CC4BDC">
      <w:pPr>
        <w:pStyle w:val="WMOBodyText"/>
        <w:spacing w:after="120"/>
        <w:rPr>
          <w:color w:val="FF0000"/>
          <w:lang w:val="es-ES"/>
        </w:rPr>
      </w:pPr>
      <w:r w:rsidRPr="00A85A97">
        <w:rPr>
          <w:lang w:val="es-ES"/>
        </w:rPr>
        <w:t xml:space="preserve">En la </w:t>
      </w:r>
      <w:hyperlink r:id="rId21" w:history="1">
        <w:r w:rsidRPr="00E20FE5">
          <w:rPr>
            <w:rStyle w:val="Hyperlink"/>
            <w:lang w:val="es-ES"/>
          </w:rPr>
          <w:t>Resolución 26 (CE-78)</w:t>
        </w:r>
      </w:hyperlink>
      <w:r w:rsidRPr="00A85A97">
        <w:rPr>
          <w:lang w:val="es-ES"/>
        </w:rPr>
        <w:t xml:space="preserve"> se pide a los presidentes de la Asociación Regional que tengan debidamente en cuenta las Directrices revisadas a la hora de planificar las actividades regionales, en particular las destinadas a aumentar la sensibilización mutua y fomentar la confianza entre los sectores, utilizar el potencial de la EPP para colmar las lagunas de capacidad y compartir las buenas prácticas, incluidas las relacionadas con los marcos jurídicos e institucionales y las estrategias que sustentan la EPP. La Resolución también insta a los Miembros de la OMM a utilizar las Directrices revisadas para seguir estableciendo la colaboración y la asociación a nivel nacional entre los sectores público, privado, académico y de la sociedad civil que persiguen los objetivos comunes para el bien público, y para considerar, según sea necesario, sus propios marcos jurídicos e institucionales y las estrategias que sustentan la EPP.</w:t>
      </w:r>
    </w:p>
    <w:p w14:paraId="436550C8" w14:textId="77777777" w:rsidR="00CC4BDC" w:rsidRPr="00A85A97" w:rsidRDefault="00CC4BDC" w:rsidP="00CC4BDC">
      <w:pPr>
        <w:pStyle w:val="WMOSubTitle1"/>
        <w:rPr>
          <w:lang w:val="es-ES"/>
        </w:rPr>
      </w:pPr>
      <w:r w:rsidRPr="00A85A97">
        <w:rPr>
          <w:bCs/>
          <w:iCs/>
          <w:lang w:val="es-ES"/>
        </w:rPr>
        <w:t>Consulta con la industria</w:t>
      </w:r>
    </w:p>
    <w:p w14:paraId="20D8D4A3" w14:textId="77777777" w:rsidR="00CC4BDC" w:rsidRPr="00A85A97" w:rsidRDefault="00CC4BDC" w:rsidP="00CC4BDC">
      <w:pPr>
        <w:pStyle w:val="WMOSubTitle2"/>
        <w:rPr>
          <w:lang w:val="es-ES"/>
        </w:rPr>
      </w:pPr>
      <w:r w:rsidRPr="00A85A97">
        <w:rPr>
          <w:lang w:val="es-ES"/>
        </w:rPr>
        <w:t>Restablecer la consulta y la comunicación periódicas de alto nivel con la Asociación de la Industria Hidrometeorológica y Medioambiental (HMEI).</w:t>
      </w:r>
    </w:p>
    <w:p w14:paraId="39622BBC" w14:textId="77777777" w:rsidR="00CC4BDC" w:rsidRPr="00A85A97" w:rsidRDefault="00CC4BDC" w:rsidP="00CC4BDC">
      <w:pPr>
        <w:pStyle w:val="WMOBodyText"/>
        <w:spacing w:after="120"/>
        <w:rPr>
          <w:lang w:val="es-ES"/>
        </w:rPr>
      </w:pPr>
      <w:r w:rsidRPr="00A85A97">
        <w:rPr>
          <w:lang w:val="es-ES"/>
        </w:rPr>
        <w:t xml:space="preserve">La Reunión Consultiva de Alto Nivel OMM-HMEI es un mecanismo de consulta informal para la OMM y la HMEI, que llegó a suspenderse durante 2019-2022 debido a la pandemia de COVID-19 y otras razones. Se reanudó como la séptima de dichas reuniones (HLCM-7) el 27 de mayo de 2023 durante la Cg-19, en la que el </w:t>
      </w:r>
      <w:proofErr w:type="gramStart"/>
      <w:r w:rsidRPr="00A85A97">
        <w:rPr>
          <w:lang w:val="es-ES"/>
        </w:rPr>
        <w:t>Presidente</w:t>
      </w:r>
      <w:proofErr w:type="gramEnd"/>
      <w:r w:rsidRPr="00A85A97">
        <w:rPr>
          <w:lang w:val="es-ES"/>
        </w:rPr>
        <w:t xml:space="preserve"> de HMEI se reunió con el Presidente de la OMM, los presidentes de la Comisión de Sistemas de Observación, Infraestructura e Información (INFCOM) y de la Comisión de Servicios y Aplicaciones Meteorológicos, Climáticos, </w:t>
      </w:r>
      <w:r w:rsidRPr="00A85A97">
        <w:rPr>
          <w:lang w:val="es-ES"/>
        </w:rPr>
        <w:lastRenderedPageBreak/>
        <w:t>Hidrológicos, Marinos y Afines (SERCOM), el Director del Departamento de Infraestructuras y el Director de la Oficina PPE. En la reunión se debatieron algunas cuestiones, como la elaboración conjunta de un código ético, el posible inicio de la colaboración en la especificación de la licitación para el sistema de aire superior, la posible incorporación del tema de la sostenibilidad a largo plazo de las redes de observación en las futuras sesiones de la Asociación Regional, y el posible apoyo de HMEI al desarrollo de capacidades de la OMM mediante la colaboración con centros regionales especializados de la OMM, como los Centros Regionales de Formación (CRF) y los Centros Regionales de Instrumentos (CIR). El HLCM-7 también acordó iniciar la reunión mensual entre los miembros del consejo del HMEI y la Oficina del PPE de la Secretaría de la OMM para reforzar la comunicación y el intercambio de información.</w:t>
      </w:r>
    </w:p>
    <w:p w14:paraId="06349FD2" w14:textId="77777777" w:rsidR="00CC4BDC" w:rsidRPr="00A85A97" w:rsidRDefault="00CC4BDC" w:rsidP="00CC4BDC">
      <w:pPr>
        <w:pStyle w:val="WMOBodyText"/>
        <w:spacing w:after="120"/>
        <w:rPr>
          <w:lang w:val="es-ES"/>
        </w:rPr>
      </w:pPr>
      <w:r w:rsidRPr="00A85A97">
        <w:rPr>
          <w:lang w:val="es-ES"/>
        </w:rPr>
        <w:t xml:space="preserve">El HLCM-8 se convocó el 14 de junio de 2024, el último día de la EC-78, donde el </w:t>
      </w:r>
      <w:proofErr w:type="gramStart"/>
      <w:r w:rsidRPr="00A85A97">
        <w:rPr>
          <w:lang w:val="es-ES"/>
        </w:rPr>
        <w:t>Presidente</w:t>
      </w:r>
      <w:proofErr w:type="gramEnd"/>
      <w:r w:rsidRPr="00A85A97">
        <w:rPr>
          <w:lang w:val="es-ES"/>
        </w:rPr>
        <w:t xml:space="preserve"> del HMEI se reunió con el Presidente de la OMM, el Secretario General, el Subsecretario General, el Presidente de SERCOM, el </w:t>
      </w:r>
      <w:proofErr w:type="spellStart"/>
      <w:r w:rsidRPr="00A85A97">
        <w:rPr>
          <w:lang w:val="es-ES"/>
        </w:rPr>
        <w:t>Covicepresidente</w:t>
      </w:r>
      <w:proofErr w:type="spellEnd"/>
      <w:r w:rsidRPr="00A85A97">
        <w:rPr>
          <w:lang w:val="es-ES"/>
        </w:rPr>
        <w:t xml:space="preserve"> de INFCOM, los Directores del Departamento de Infraestructuras, el Departamento de Servicios y la Oficina PPE. El HLCM-8 revisó el estado de la colaboración, incluida la aplicación de un Código Ético conjunto (véase más abajo), el desarrollo de capacidades y la sostenibilidad de las redes de observación.</w:t>
      </w:r>
    </w:p>
    <w:p w14:paraId="2BE3EA92" w14:textId="77777777" w:rsidR="00CC4BDC" w:rsidRPr="00A85A97" w:rsidRDefault="00CC4BDC" w:rsidP="00CC4BDC">
      <w:pPr>
        <w:pStyle w:val="WMOSubTitle1"/>
        <w:rPr>
          <w:lang w:val="es-ES"/>
        </w:rPr>
      </w:pPr>
      <w:r w:rsidRPr="00A85A97">
        <w:rPr>
          <w:bCs/>
          <w:iCs/>
          <w:lang w:val="es-ES"/>
        </w:rPr>
        <w:t>Elaboración conjunta del Código Ético (</w:t>
      </w:r>
      <w:proofErr w:type="spellStart"/>
      <w:r w:rsidRPr="00A85A97">
        <w:rPr>
          <w:bCs/>
          <w:iCs/>
          <w:lang w:val="es-ES"/>
        </w:rPr>
        <w:t>CdE</w:t>
      </w:r>
      <w:proofErr w:type="spellEnd"/>
      <w:r w:rsidRPr="00A85A97">
        <w:rPr>
          <w:bCs/>
          <w:iCs/>
          <w:lang w:val="es-ES"/>
        </w:rPr>
        <w:t>)</w:t>
      </w:r>
    </w:p>
    <w:p w14:paraId="61AAAE1E" w14:textId="619D802C" w:rsidR="00CC4BDC" w:rsidRPr="00A85A97" w:rsidRDefault="00CC4BDC" w:rsidP="00CC4BDC">
      <w:pPr>
        <w:pStyle w:val="WMOBodyText"/>
        <w:spacing w:after="120"/>
        <w:rPr>
          <w:lang w:val="es-ES"/>
        </w:rPr>
      </w:pPr>
      <w:r w:rsidRPr="00A85A97">
        <w:rPr>
          <w:lang w:val="es-ES"/>
        </w:rPr>
        <w:t xml:space="preserve">La Secretaría de la OMM y HMEI han desarrollado conjuntamente un Código de Ética OMM-HMEI de conformidad con la sección 3.3.3 del Acuerdo de trabajo entre la OMM y HMEI aprobado por la </w:t>
      </w:r>
      <w:hyperlink r:id="rId22" w:anchor="page=252&amp;viewer=picture&amp;o=bookmark&amp;n=0&amp;q=" w:history="1">
        <w:r w:rsidRPr="00883888">
          <w:rPr>
            <w:rStyle w:val="Hyperlink"/>
            <w:lang w:val="es-ES"/>
          </w:rPr>
          <w:t>Decisión 52</w:t>
        </w:r>
      </w:hyperlink>
      <w:r w:rsidRPr="00A85A97">
        <w:rPr>
          <w:lang w:val="es-ES"/>
        </w:rPr>
        <w:t xml:space="preserve"> (EC-70). Fue aprobado por la CE-78 en junio de 2024 mediante la </w:t>
      </w:r>
      <w:hyperlink r:id="rId23" w:history="1">
        <w:r w:rsidRPr="00E20FE5">
          <w:rPr>
            <w:rStyle w:val="Hyperlink"/>
            <w:lang w:val="es-ES"/>
          </w:rPr>
          <w:t>Resolución 27 (CE-78)</w:t>
        </w:r>
      </w:hyperlink>
      <w:r w:rsidRPr="00A85A97">
        <w:rPr>
          <w:lang w:val="es-ES"/>
        </w:rPr>
        <w:t xml:space="preserve">. A continuación, el </w:t>
      </w:r>
      <w:proofErr w:type="gramStart"/>
      <w:r w:rsidRPr="00A85A97">
        <w:rPr>
          <w:lang w:val="es-ES"/>
        </w:rPr>
        <w:t>Secretario General</w:t>
      </w:r>
      <w:proofErr w:type="gramEnd"/>
      <w:r w:rsidRPr="00A85A97">
        <w:rPr>
          <w:lang w:val="es-ES"/>
        </w:rPr>
        <w:t xml:space="preserve"> de la OMM y el Presidente del HMEI firmaron el </w:t>
      </w:r>
      <w:proofErr w:type="spellStart"/>
      <w:r w:rsidRPr="00A85A97">
        <w:rPr>
          <w:lang w:val="es-ES"/>
        </w:rPr>
        <w:t>CdE</w:t>
      </w:r>
      <w:proofErr w:type="spellEnd"/>
      <w:r w:rsidRPr="00A85A97">
        <w:rPr>
          <w:lang w:val="es-ES"/>
        </w:rPr>
        <w:t xml:space="preserve"> el 14 de junio, al término de la EC-78, en presencia de los miembros del Consejo Ejecutivo. El propósito del </w:t>
      </w:r>
      <w:proofErr w:type="spellStart"/>
      <w:r w:rsidRPr="00A85A97">
        <w:rPr>
          <w:lang w:val="es-ES"/>
        </w:rPr>
        <w:t>CdE</w:t>
      </w:r>
      <w:proofErr w:type="spellEnd"/>
      <w:r w:rsidRPr="00A85A97">
        <w:rPr>
          <w:lang w:val="es-ES"/>
        </w:rPr>
        <w:t xml:space="preserve"> es esbozar un conjunto esencial de principios éticos que las partes interesadas de los sectores público y privado deben comprometerse a respetar cuando participen en actividades a lo largo de la cadena de valor para la prestación de servicios meteorológicos, climáticos, hídricos y medioambientales relacionados. </w:t>
      </w:r>
      <w:proofErr w:type="gramStart"/>
      <w:r w:rsidRPr="00A85A97">
        <w:rPr>
          <w:lang w:val="es-ES"/>
        </w:rPr>
        <w:t xml:space="preserve">El conjunto de principios incluidos en el </w:t>
      </w:r>
      <w:proofErr w:type="spellStart"/>
      <w:r w:rsidRPr="00A85A97">
        <w:rPr>
          <w:lang w:val="es-ES"/>
        </w:rPr>
        <w:t>CdE</w:t>
      </w:r>
      <w:proofErr w:type="spellEnd"/>
      <w:r w:rsidRPr="00A85A97">
        <w:rPr>
          <w:lang w:val="es-ES"/>
        </w:rPr>
        <w:t xml:space="preserve"> proceden</w:t>
      </w:r>
      <w:proofErr w:type="gramEnd"/>
      <w:r w:rsidRPr="00A85A97">
        <w:rPr>
          <w:lang w:val="es-ES"/>
        </w:rPr>
        <w:t xml:space="preserve"> de la Declaración de Ginebra de 2019 y de los principios y métricas para el éxito de la EPP y la asociación incluidos en los "10 principios" del Pacto Mundial de las Naciones Unidas. El propósito del </w:t>
      </w:r>
      <w:proofErr w:type="spellStart"/>
      <w:r w:rsidRPr="00A85A97">
        <w:rPr>
          <w:lang w:val="es-ES"/>
        </w:rPr>
        <w:t>CdE</w:t>
      </w:r>
      <w:proofErr w:type="spellEnd"/>
      <w:r w:rsidRPr="00A85A97">
        <w:rPr>
          <w:lang w:val="es-ES"/>
        </w:rPr>
        <w:t xml:space="preserve"> es ayudar a las partes interesadas a gestionar adecuadamente sus relaciones, maximizando los beneficios mutuos de un enfoque integrador, aumentar la transparencia en el compromiso, la política y la práctica, y potenciar los beneficios socioeconómicos de unos servicios meteorológicos y climáticos de alta calidad.</w:t>
      </w:r>
    </w:p>
    <w:p w14:paraId="6BE68EE3" w14:textId="77777777" w:rsidR="00CC4BDC" w:rsidRPr="00A85A97" w:rsidRDefault="00CC4BDC" w:rsidP="00CC4BDC">
      <w:pPr>
        <w:pStyle w:val="WMOBodyText"/>
        <w:spacing w:after="120"/>
        <w:rPr>
          <w:lang w:val="es-ES"/>
        </w:rPr>
      </w:pPr>
      <w:r w:rsidRPr="00A85A97">
        <w:rPr>
          <w:lang w:val="es-ES"/>
        </w:rPr>
        <w:t xml:space="preserve">La Resolución 27 (EC-78) pide a los Miembros que faciliten el diálogo con el sector privado para aplicar los principios éticos en sus EPP para actividades a lo largo de la cadena de valor para la prestación de servicios meteorológicos, climáticos, hídricos y medioambientales relacionados. También invita a HMEI a que inste a sus miembros a respetar los principios especificados en el </w:t>
      </w:r>
      <w:proofErr w:type="spellStart"/>
      <w:r w:rsidRPr="00A85A97">
        <w:rPr>
          <w:lang w:val="es-ES"/>
        </w:rPr>
        <w:t>CdE</w:t>
      </w:r>
      <w:proofErr w:type="spellEnd"/>
      <w:r w:rsidRPr="00A85A97">
        <w:rPr>
          <w:lang w:val="es-ES"/>
        </w:rPr>
        <w:t xml:space="preserve"> a la hora de desarrollar y gestionar las relaciones con los SMHN.</w:t>
      </w:r>
    </w:p>
    <w:p w14:paraId="07047A14" w14:textId="77777777" w:rsidR="00CC4BDC" w:rsidRPr="00A85A97" w:rsidRDefault="00CC4BDC" w:rsidP="00CC4BDC">
      <w:pPr>
        <w:pStyle w:val="WMOSubTitle1"/>
        <w:rPr>
          <w:lang w:val="es-ES"/>
        </w:rPr>
      </w:pPr>
      <w:r w:rsidRPr="00A85A97">
        <w:rPr>
          <w:lang w:val="es-ES"/>
        </w:rPr>
        <w:t>Desarrollo de la capacidad</w:t>
      </w:r>
    </w:p>
    <w:p w14:paraId="51CBFC0D" w14:textId="77777777" w:rsidR="00CC4BDC" w:rsidRPr="00A85A97" w:rsidRDefault="00CC4BDC" w:rsidP="00CC4BDC">
      <w:pPr>
        <w:pStyle w:val="WMOSubTitle2"/>
        <w:rPr>
          <w:lang w:val="es-ES"/>
        </w:rPr>
      </w:pPr>
      <w:r w:rsidRPr="00A85A97">
        <w:rPr>
          <w:lang w:val="es-ES"/>
        </w:rPr>
        <w:t>Versiones en inglés, francés y español de los módulos de formación sobre EPI</w:t>
      </w:r>
    </w:p>
    <w:p w14:paraId="19914DB3" w14:textId="128DF634" w:rsidR="00CC4BDC" w:rsidRPr="00A85A97" w:rsidRDefault="00CC4BDC" w:rsidP="00CC4BDC">
      <w:pPr>
        <w:pStyle w:val="WMOBodyText"/>
        <w:spacing w:after="120"/>
        <w:rPr>
          <w:lang w:val="es-ES"/>
        </w:rPr>
      </w:pPr>
      <w:r w:rsidRPr="00A85A97">
        <w:rPr>
          <w:lang w:val="es-ES"/>
        </w:rPr>
        <w:t xml:space="preserve">El curso de formación PPE, PPE in </w:t>
      </w:r>
      <w:proofErr w:type="spellStart"/>
      <w:r w:rsidRPr="00A85A97">
        <w:rPr>
          <w:lang w:val="es-ES"/>
        </w:rPr>
        <w:t>Weather</w:t>
      </w:r>
      <w:proofErr w:type="spellEnd"/>
      <w:r w:rsidRPr="00A85A97">
        <w:rPr>
          <w:lang w:val="es-ES"/>
        </w:rPr>
        <w:t xml:space="preserve">, </w:t>
      </w:r>
      <w:proofErr w:type="spellStart"/>
      <w:r w:rsidRPr="00A85A97">
        <w:rPr>
          <w:lang w:val="es-ES"/>
        </w:rPr>
        <w:t>Climate</w:t>
      </w:r>
      <w:proofErr w:type="spellEnd"/>
      <w:r w:rsidRPr="00A85A97">
        <w:rPr>
          <w:lang w:val="es-ES"/>
        </w:rPr>
        <w:t xml:space="preserve"> and </w:t>
      </w:r>
      <w:proofErr w:type="spellStart"/>
      <w:r w:rsidRPr="00A85A97">
        <w:rPr>
          <w:lang w:val="es-ES"/>
        </w:rPr>
        <w:t>Water</w:t>
      </w:r>
      <w:proofErr w:type="spellEnd"/>
      <w:r w:rsidRPr="00A85A97">
        <w:rPr>
          <w:lang w:val="es-ES"/>
        </w:rPr>
        <w:t xml:space="preserve"> </w:t>
      </w:r>
      <w:proofErr w:type="spellStart"/>
      <w:r w:rsidRPr="00A85A97">
        <w:rPr>
          <w:lang w:val="es-ES"/>
        </w:rPr>
        <w:t>Services</w:t>
      </w:r>
      <w:proofErr w:type="spellEnd"/>
      <w:r w:rsidRPr="00A85A97">
        <w:rPr>
          <w:lang w:val="es-ES"/>
        </w:rPr>
        <w:t xml:space="preserve">, con su versión en inglés lanzada en marzo de 2023, ha proporcionado el primer curso de autoaprendizaje en línea sobre el tema PPE para los Miembros y las partes interesadas. Utiliza vídeos, entrevistas, textos, gráficos interactivos, estudios de casos y actividades para presentar los conceptos básicos y las cuestiones relacionadas con la colaboración con el sector privado y otras partes interesadas. En el segundo semestre de 2023, la Secretaría de la OMM empezó a desarrollar las versiones en francés y español, que ya están disponibles en Moodle de la OMM (véanse los enlaces del curso en </w:t>
      </w:r>
      <w:hyperlink r:id="rId24" w:history="1">
        <w:r w:rsidRPr="00883888">
          <w:rPr>
            <w:rStyle w:val="Hyperlink"/>
            <w:lang w:val="es-ES"/>
          </w:rPr>
          <w:t>inglés</w:t>
        </w:r>
      </w:hyperlink>
      <w:r w:rsidRPr="00A85A97">
        <w:rPr>
          <w:lang w:val="es-ES"/>
        </w:rPr>
        <w:t xml:space="preserve">, </w:t>
      </w:r>
      <w:hyperlink r:id="rId25" w:history="1">
        <w:r w:rsidRPr="00883888">
          <w:rPr>
            <w:rStyle w:val="Hyperlink"/>
            <w:lang w:val="es-ES"/>
          </w:rPr>
          <w:t>francés</w:t>
        </w:r>
      </w:hyperlink>
      <w:r w:rsidRPr="00A85A97">
        <w:rPr>
          <w:lang w:val="es-ES"/>
        </w:rPr>
        <w:t xml:space="preserve"> y </w:t>
      </w:r>
      <w:hyperlink r:id="rId26" w:history="1">
        <w:r w:rsidRPr="00883888">
          <w:rPr>
            <w:rStyle w:val="Hyperlink"/>
            <w:lang w:val="es-ES"/>
          </w:rPr>
          <w:t>español</w:t>
        </w:r>
      </w:hyperlink>
      <w:r w:rsidRPr="00A85A97">
        <w:rPr>
          <w:lang w:val="es-ES"/>
        </w:rPr>
        <w:t xml:space="preserve">), lo que proporciona a estos recursos de formación más opciones lingüísticas. La Oficina PPE también ha empezado a explorar con el </w:t>
      </w:r>
      <w:r w:rsidRPr="00A85A97">
        <w:rPr>
          <w:lang w:val="es-ES"/>
        </w:rPr>
        <w:lastRenderedPageBreak/>
        <w:t>RTC la posibilidad de incluir el curso de formación PPE en los programas internacionales de formación del RTC para la gestión de los SMHN.</w:t>
      </w:r>
    </w:p>
    <w:p w14:paraId="765E90BC" w14:textId="77777777" w:rsidR="00CC4BDC" w:rsidRPr="00A85A97" w:rsidRDefault="00CC4BDC" w:rsidP="00CC4BDC">
      <w:pPr>
        <w:pStyle w:val="WMOSubTitle1"/>
        <w:rPr>
          <w:lang w:val="es-ES"/>
        </w:rPr>
      </w:pPr>
      <w:r w:rsidRPr="00A85A97">
        <w:rPr>
          <w:bCs/>
          <w:iCs/>
          <w:lang w:val="es-ES"/>
        </w:rPr>
        <w:t>Fomento de la innovación y la colaboración técnica en torno al mecanismo PPE</w:t>
      </w:r>
    </w:p>
    <w:p w14:paraId="24E36BCB" w14:textId="77777777" w:rsidR="00CC4BDC" w:rsidRPr="00A85A97" w:rsidRDefault="00CC4BDC" w:rsidP="00CC4BDC">
      <w:pPr>
        <w:pStyle w:val="WMOSubTitle2"/>
        <w:rPr>
          <w:lang w:val="es-ES"/>
        </w:rPr>
      </w:pPr>
      <w:r w:rsidRPr="00A85A97">
        <w:rPr>
          <w:lang w:val="es-ES"/>
        </w:rPr>
        <w:t>RA II Proyecto piloto sobre EPI para servicios meteorológicos inteligentes en megaciudades</w:t>
      </w:r>
    </w:p>
    <w:p w14:paraId="43AB0903" w14:textId="073F756C" w:rsidR="00CC4BDC" w:rsidRPr="00A85A97" w:rsidRDefault="00CC4BDC" w:rsidP="00CC4BDC">
      <w:pPr>
        <w:pStyle w:val="WMOBodyText"/>
        <w:spacing w:after="120"/>
        <w:rPr>
          <w:lang w:val="es-ES"/>
        </w:rPr>
      </w:pPr>
      <w:r w:rsidRPr="00A85A97">
        <w:rPr>
          <w:lang w:val="es-ES"/>
        </w:rPr>
        <w:t xml:space="preserve">Este proyecto piloto del PPE en la AR II, aprobado por su Decimoséptima Sesión en septiembre de 2021 y puesto en marcha en febrero de 2022, se ha ejecutado sin contratiempos con el apoyo de la Secretaría proporcionado por la Oficina del PPE y la Oficina Regional para Asia y el Pacífico Sudoccidental (RAP). La revisión intermedia del proyecto piloto se celebró en noviembre de 2023. El Comité Científico Asesor y el Grupo de Coordinación de Proyectos del proyecto piloto revisaron y confirmaron la consecución de las metas a medio plazo en relación con los siete objetivos de puesta en común de datos reticulares, previsión basada en el impacto y alerta basada en el riesgo, distribución selectiva de información, evaluación del clima urbano, servicios de previsión de mareas de tempestad, comunidad de servicios meteorológicos inteligentes y exploración de modelos PPE de servicios meteorológicos inteligentes en megaciudades. Los detalles y el informe de situación del proyecto piloto pueden consultarse </w:t>
      </w:r>
      <w:hyperlink r:id="rId27" w:history="1">
        <w:r w:rsidRPr="00883888">
          <w:rPr>
            <w:rStyle w:val="Hyperlink"/>
            <w:lang w:val="es-ES"/>
          </w:rPr>
          <w:t>aquí</w:t>
        </w:r>
      </w:hyperlink>
      <w:r w:rsidRPr="00A85A97">
        <w:rPr>
          <w:lang w:val="es-ES"/>
        </w:rPr>
        <w:t>. Los resultados del proyecto piloto se compartirán con los Miembros de la OMM interesados de otras regiones, así como con los órganos técnicos de la OMM.</w:t>
      </w:r>
    </w:p>
    <w:p w14:paraId="13858FC2" w14:textId="77777777" w:rsidR="00CC4BDC" w:rsidRPr="00A85A97" w:rsidRDefault="00CC4BDC" w:rsidP="00CC4BDC">
      <w:pPr>
        <w:pStyle w:val="WMOSubTitle1"/>
        <w:rPr>
          <w:b w:val="0"/>
          <w:bCs/>
          <w:lang w:val="es-ES"/>
        </w:rPr>
      </w:pPr>
      <w:r w:rsidRPr="00A85A97">
        <w:rPr>
          <w:bCs/>
          <w:iCs/>
          <w:lang w:val="es-ES"/>
        </w:rPr>
        <w:t>Estudio piloto sobre la aplicación del modelo Google de previsión de inundaciones</w:t>
      </w:r>
    </w:p>
    <w:p w14:paraId="05E8CCE3" w14:textId="77777777" w:rsidR="00CC4BDC" w:rsidRPr="00A85A97" w:rsidRDefault="00CC4BDC" w:rsidP="00CC4BDC">
      <w:pPr>
        <w:pStyle w:val="WMOBodyText"/>
        <w:spacing w:after="120"/>
        <w:rPr>
          <w:lang w:val="es-ES"/>
        </w:rPr>
      </w:pPr>
      <w:r w:rsidRPr="00A85A97">
        <w:rPr>
          <w:lang w:val="es-ES"/>
        </w:rPr>
        <w:t>Tras su presentación en la Asamblea Hidrológica celebrada durante la Cg-19, en noviembre de 2023 se inició un estudio piloto después de varias rondas de debate entre el Comité Permanente de Servicios Hidrológicos (SC-HYD), el Comité Permanente de Procesamiento de Datos para la Modelización y Predicción Aplicadas de los Sistemas Terrestres (SC-ESMP), el equipo de Google sobre Predicción de Inundaciones y la Secretaría de la OMM. El objetivo del estudio piloto es comprender las metodologías de los modelos basados en el aprendizaje automático (Inteligencia Artificial [IA]) para la previsión de inundaciones, y sus posibles beneficios para los participantes en el piloto.</w:t>
      </w:r>
    </w:p>
    <w:p w14:paraId="4F08D7E9" w14:textId="2A24629D" w:rsidR="00CC4BDC" w:rsidRPr="00A85A97" w:rsidRDefault="00CC4BDC" w:rsidP="00CC4BDC">
      <w:pPr>
        <w:pStyle w:val="WMOBodyText"/>
        <w:spacing w:after="120"/>
        <w:rPr>
          <w:lang w:val="es-ES"/>
        </w:rPr>
      </w:pPr>
      <w:r w:rsidRPr="00A85A97">
        <w:rPr>
          <w:lang w:val="es-ES"/>
        </w:rPr>
        <w:t xml:space="preserve">El estudio piloto, parte integrante del programa de trabajo de SERCOM para el próximo periodo entre sesiones, vinculado al resultado 1.3.08 y a los hitos 7 y 8 de SC-HYD, consiste en realizar un análisis retrospectivo utilizando las previsiones de crecidas de Google y los datos históricos de las cuencas piloto para evaluar las previsiones de crecidas. El proyecto piloto también se utilizará para evaluar las oportunidades y los detalles técnicos de la incorporación de modelos de previsión basados en IA al </w:t>
      </w:r>
      <w:hyperlink r:id="rId28" w:history="1">
        <w:r w:rsidRPr="00883888">
          <w:rPr>
            <w:rStyle w:val="Hyperlink"/>
            <w:lang w:val="es-ES"/>
          </w:rPr>
          <w:t>inventario</w:t>
        </w:r>
      </w:hyperlink>
      <w:r w:rsidRPr="00A85A97">
        <w:rPr>
          <w:lang w:val="es-ES"/>
        </w:rPr>
        <w:t xml:space="preserve"> de modelos interoperables de previsión de inundaciones de la OMM.</w:t>
      </w:r>
    </w:p>
    <w:p w14:paraId="214FEF5F" w14:textId="77777777" w:rsidR="00CC4BDC" w:rsidRPr="00A85A97" w:rsidRDefault="00CC4BDC" w:rsidP="00CC4BDC">
      <w:pPr>
        <w:pStyle w:val="WMOBodyText"/>
        <w:spacing w:after="120"/>
        <w:rPr>
          <w:lang w:val="es-ES"/>
        </w:rPr>
      </w:pPr>
      <w:r w:rsidRPr="00A85A97">
        <w:rPr>
          <w:lang w:val="es-ES"/>
        </w:rPr>
        <w:t>Los participantes (SMHN con la función operativa de previsión hidrológica) se unieron al estudio piloto de forma voluntaria y las condiciones de colaboración se acordaron entre Google y los SMHN participantes de forma individual. En el estudio piloto participan cuatro SMHN (entre ellos el checo de RA VI), que ahora se encuentran en la segunda fase del estudio para evaluar los productos de previsión de inundaciones a partir del modelo de Google. Google ha compartido recientemente los resultados iniciales con los SMHN participantes y la OMM.</w:t>
      </w:r>
    </w:p>
    <w:p w14:paraId="129ECE4E" w14:textId="77777777" w:rsidR="00CC4BDC" w:rsidRPr="00A85A97" w:rsidRDefault="00CC4BDC" w:rsidP="00CC4BDC">
      <w:pPr>
        <w:pStyle w:val="WMOBodyText"/>
        <w:spacing w:after="120"/>
        <w:rPr>
          <w:b/>
          <w:bCs/>
          <w:i/>
          <w:iCs/>
          <w:lang w:val="es-ES"/>
        </w:rPr>
      </w:pPr>
      <w:r w:rsidRPr="00A85A97">
        <w:rPr>
          <w:lang w:val="es-ES"/>
        </w:rPr>
        <w:t>El papel de la Secretaría de la OMM consiste en proporcionar apoyo técnico a los SMHN participantes y recopilar la experiencia de los estudios piloto y las lecciones aprendidas, que servirán de base para los debates técnicos y los trabajos de normalización relacionados con la IA en el seno de la comunidad de la OMM.</w:t>
      </w:r>
    </w:p>
    <w:p w14:paraId="715D420D" w14:textId="77777777" w:rsidR="00CC4BDC" w:rsidRPr="00A85A97" w:rsidRDefault="00CC4BDC" w:rsidP="00CC4BDC">
      <w:pPr>
        <w:pStyle w:val="WMOSubTitle1"/>
        <w:rPr>
          <w:b w:val="0"/>
          <w:bCs/>
          <w:lang w:val="es-ES"/>
        </w:rPr>
      </w:pPr>
      <w:r w:rsidRPr="00A85A97">
        <w:rPr>
          <w:bCs/>
          <w:iCs/>
          <w:lang w:val="es-ES"/>
        </w:rPr>
        <w:t>Un posible proyecto piloto del Sistema Integrado de Procesamiento y Predicción de la OMM (WIPPS) sobre la predicción inmediata por satélite basada en la IA (AINPP)</w:t>
      </w:r>
    </w:p>
    <w:p w14:paraId="21BBE403" w14:textId="77777777" w:rsidR="00CC4BDC" w:rsidRPr="00A85A97" w:rsidRDefault="00CC4BDC" w:rsidP="00CC4BDC">
      <w:pPr>
        <w:pStyle w:val="WMOBodyText"/>
        <w:spacing w:after="120"/>
        <w:rPr>
          <w:bCs/>
          <w:iCs/>
          <w:lang w:val="es-ES"/>
        </w:rPr>
      </w:pPr>
      <w:r w:rsidRPr="00A85A97">
        <w:rPr>
          <w:lang w:val="es-ES"/>
        </w:rPr>
        <w:t xml:space="preserve">La investigación y la explotación de la observación y predicción del sistema terrestre mediante la tecnología de la IA son objeto de una intensa actividad. Una aplicación prometedora es la </w:t>
      </w:r>
      <w:r w:rsidRPr="00A85A97">
        <w:rPr>
          <w:lang w:val="es-ES"/>
        </w:rPr>
        <w:lastRenderedPageBreak/>
        <w:t xml:space="preserve">predicción meteorológica por satélite, que predice el tiempo para el futuro inmediato a partir de grandes cantidades de datos satelitales. Con el apoyo del Comité Permanente sobre el Sistema Integrado de Proceso y Predicción de la OMM (WIPPS) de la Comisión de Infraestructuras y del Grupo de trabajo sobre predicción inmediata e investigación a </w:t>
      </w:r>
      <w:proofErr w:type="spellStart"/>
      <w:r w:rsidRPr="00A85A97">
        <w:rPr>
          <w:lang w:val="es-ES"/>
        </w:rPr>
        <w:t>mesoescala</w:t>
      </w:r>
      <w:proofErr w:type="spellEnd"/>
      <w:r w:rsidRPr="00A85A97">
        <w:rPr>
          <w:lang w:val="es-ES"/>
        </w:rPr>
        <w:t xml:space="preserve"> del Programa Mundial de Investigación Meteorológica, los expertos de los Miembros de la OMM de las AR I, II, IV y VI iniciaron un proyecto sobre predicción inmediata por satélite basada en IA, que ahora se reconoce como proyecto piloto del WIPPS.</w:t>
      </w:r>
    </w:p>
    <w:p w14:paraId="40270129" w14:textId="77777777" w:rsidR="00CC4BDC" w:rsidRPr="00A85A97" w:rsidRDefault="00CC4BDC" w:rsidP="00CC4BDC">
      <w:pPr>
        <w:pStyle w:val="WMOBodyText"/>
        <w:spacing w:after="120"/>
        <w:rPr>
          <w:lang w:val="es-ES"/>
        </w:rPr>
      </w:pPr>
      <w:r w:rsidRPr="00A85A97">
        <w:rPr>
          <w:lang w:val="es-ES"/>
        </w:rPr>
        <w:t xml:space="preserve">Algunas empresas privadas de alta tecnología e institutos académicos también han manifestado su interés por este proyecto piloto. El objetivo de este proyecto piloto es evaluar el rendimiento de varios productos de predicción actual por satélite basados en IA y hacer que todos los Miembros de la OMM tengan acceso a dichos productos y herramientas de IA para apoyar la iniciativa EW4All de las Naciones Unidas. Se espera que, como resultado de este proyecto piloto, aumenten los productos de </w:t>
      </w:r>
      <w:proofErr w:type="spellStart"/>
      <w:r w:rsidRPr="00A85A97">
        <w:rPr>
          <w:lang w:val="es-ES"/>
        </w:rPr>
        <w:t>nowcasting</w:t>
      </w:r>
      <w:proofErr w:type="spellEnd"/>
      <w:r w:rsidRPr="00A85A97">
        <w:rPr>
          <w:lang w:val="es-ES"/>
        </w:rPr>
        <w:t xml:space="preserve"> por satélite de los Centros Designados de WIPPS para </w:t>
      </w:r>
      <w:proofErr w:type="spellStart"/>
      <w:r w:rsidRPr="00A85A97">
        <w:rPr>
          <w:lang w:val="es-ES"/>
        </w:rPr>
        <w:t>nowcasting</w:t>
      </w:r>
      <w:proofErr w:type="spellEnd"/>
      <w:r w:rsidRPr="00A85A97">
        <w:rPr>
          <w:lang w:val="es-ES"/>
        </w:rPr>
        <w:t xml:space="preserve">. El Grupo Directivo del AINPP se reunirá en noviembre de 2024 para ultimar el plan de ejecución y poner en marcha la </w:t>
      </w:r>
      <w:proofErr w:type="spellStart"/>
      <w:r w:rsidRPr="00A85A97">
        <w:rPr>
          <w:lang w:val="es-ES"/>
        </w:rPr>
        <w:t>intercomparación</w:t>
      </w:r>
      <w:proofErr w:type="spellEnd"/>
      <w:r w:rsidRPr="00A85A97">
        <w:rPr>
          <w:lang w:val="es-ES"/>
        </w:rPr>
        <w:t xml:space="preserve"> de productos.</w:t>
      </w:r>
    </w:p>
    <w:p w14:paraId="336452F8" w14:textId="77777777" w:rsidR="00CC4BDC" w:rsidRPr="00A85A97" w:rsidRDefault="00CC4BDC" w:rsidP="00CC4BDC">
      <w:pPr>
        <w:pStyle w:val="WMOSubTitle1"/>
        <w:rPr>
          <w:b w:val="0"/>
          <w:bCs/>
          <w:lang w:val="es-ES"/>
        </w:rPr>
      </w:pPr>
      <w:r w:rsidRPr="00A85A97">
        <w:rPr>
          <w:bCs/>
          <w:iCs/>
          <w:lang w:val="es-ES"/>
        </w:rPr>
        <w:t>Grupo de Trabajo sobre Transformación Digital para la Hidrología y los Recursos Hídricos</w:t>
      </w:r>
    </w:p>
    <w:p w14:paraId="2ACFBC1A" w14:textId="77777777" w:rsidR="00CC4BDC" w:rsidRPr="00A85A97" w:rsidRDefault="00CC4BDC" w:rsidP="00CC4BDC">
      <w:pPr>
        <w:pStyle w:val="WMOBodyText"/>
        <w:spacing w:after="120"/>
        <w:rPr>
          <w:lang w:val="es-ES"/>
        </w:rPr>
      </w:pPr>
      <w:r w:rsidRPr="00A85A97">
        <w:rPr>
          <w:lang w:val="es-ES"/>
        </w:rPr>
        <w:t>El Comité Permanente de Servicios Hidrológicos (SC-HYD), dependiente de la Comisión de Servicios (SERCOM), ha creado un Grupo de Trabajo sobre Transformación Digital para la Hidrología y los Recursos Hídricos. A este grupo se le ha encomendado la elaboración de principios rectores para implicar eficazmente al sector privado en el apoyo a las alertas tempranas y la gestión de riesgos relacionados con las inundaciones. Además, el Grupo de Trabajo promoverá la adopción de tecnologías emergentes en hidrología operativa fomentando la colaboración entre las principales partes interesadas, incluidas las organizaciones internacionales, los gobiernos, el sector privado y el mundo académico. Con sus esfuerzos, el grupo pretende concienciar, movilizar recursos para las nuevas tecnologías y armonizar las iniciativas mundiales en este campo crítico.</w:t>
      </w:r>
    </w:p>
    <w:p w14:paraId="7E6FFA46" w14:textId="53085F29" w:rsidR="00CC4BDC" w:rsidRPr="00A85A97" w:rsidRDefault="00CC4BDC" w:rsidP="00CC4BDC">
      <w:pPr>
        <w:pStyle w:val="WMOBodyText"/>
        <w:spacing w:after="120"/>
        <w:rPr>
          <w:lang w:val="es-ES"/>
        </w:rPr>
      </w:pPr>
      <w:r w:rsidRPr="00A85A97">
        <w:rPr>
          <w:lang w:val="es-ES"/>
        </w:rPr>
        <w:t xml:space="preserve">El </w:t>
      </w:r>
      <w:hyperlink r:id="rId29" w:anchor="p=48" w:history="1">
        <w:r w:rsidRPr="00883888">
          <w:rPr>
            <w:rStyle w:val="Hyperlink"/>
            <w:lang w:val="es-ES"/>
          </w:rPr>
          <w:t>Grupo de Trabajo</w:t>
        </w:r>
      </w:hyperlink>
      <w:r w:rsidRPr="00A85A97">
        <w:rPr>
          <w:lang w:val="es-ES"/>
        </w:rPr>
        <w:t xml:space="preserve"> se inauguró oficialmente el 14 de junio de 2024, durante el primer </w:t>
      </w:r>
      <w:hyperlink r:id="rId30" w:history="1">
        <w:r w:rsidRPr="00883888">
          <w:rPr>
            <w:rStyle w:val="Hyperlink"/>
            <w:lang w:val="es-ES"/>
          </w:rPr>
          <w:t>Día de los Mundos Virtuales de la ONU</w:t>
        </w:r>
      </w:hyperlink>
      <w:r w:rsidRPr="00A85A97">
        <w:rPr>
          <w:lang w:val="es-ES"/>
        </w:rPr>
        <w:t xml:space="preserve"> en la Unión Internacional de Telecomunicaciones (UIT). Tras el lanzamiento, el grupo central celebró su primera reunión virtual, en la que participaron representantes de la UIT, la Convención de las Naciones Unidas de Lucha contra la Desertificación (CNULD) y el Programa de las Naciones Unidas para el Desarrollo (PNUD). En futuras reuniones se ampliará la composición del grupo para incluir a expertos del sector privado, que contribuirán a las tareas específicas del Grupo de Trabajo.</w:t>
      </w:r>
    </w:p>
    <w:p w14:paraId="28E13E8D" w14:textId="77777777" w:rsidR="00CC4BDC" w:rsidRPr="00A85A97" w:rsidRDefault="00CC4BDC" w:rsidP="00CC4BDC">
      <w:pPr>
        <w:pStyle w:val="Heading3"/>
        <w:rPr>
          <w:lang w:val="es-ES"/>
        </w:rPr>
      </w:pPr>
      <w:r w:rsidRPr="00A85A97">
        <w:rPr>
          <w:lang w:val="es-ES"/>
        </w:rPr>
        <w:t>Movilización de recursos</w:t>
      </w:r>
    </w:p>
    <w:p w14:paraId="64296915" w14:textId="77777777" w:rsidR="00CC4BDC" w:rsidRPr="00A85A97" w:rsidRDefault="00CC4BDC" w:rsidP="00CC4BDC">
      <w:pPr>
        <w:pStyle w:val="WMOSubTitle1"/>
        <w:rPr>
          <w:lang w:val="es-ES"/>
        </w:rPr>
      </w:pPr>
      <w:r w:rsidRPr="00A85A97">
        <w:rPr>
          <w:bCs/>
          <w:iCs/>
          <w:lang w:val="es-ES"/>
        </w:rPr>
        <w:t>Fondo Fiduciario PPE</w:t>
      </w:r>
    </w:p>
    <w:p w14:paraId="23B13DDF" w14:textId="77777777" w:rsidR="00CC4BDC" w:rsidRPr="00A85A97" w:rsidRDefault="00CC4BDC" w:rsidP="00CC4BDC">
      <w:pPr>
        <w:pStyle w:val="WMOBodyText"/>
        <w:spacing w:after="120"/>
        <w:rPr>
          <w:lang w:val="es-ES"/>
        </w:rPr>
      </w:pPr>
      <w:r w:rsidRPr="00A85A97">
        <w:rPr>
          <w:lang w:val="es-ES"/>
        </w:rPr>
        <w:t>El Fondo Fiduciario PPE se creó en mayo de 2023 y está abierto a las contribuciones de los sectores público y privado. La finalidad de este Fondo Fiduciario es proporcionar financiación complementaria al presupuesto ordinario, que resulta insuficiente para sufragar las actividades de la OMM en materia de EPP, que no dejan de aumentar. Las contribuciones a este Fondo Fiduciario no se utilizarán para actividades directamente relacionadas con la elaboración de políticas de la OMM en materia de EPP, sino para otras actividades, como la recopilación y el intercambio de buenas prácticas, el apoyo a los Miembros, la formación, la divulgación, la promoción, las reuniones y otras actividades relacionadas con la Plataforma Consultiva Abierta (PCA). Hasta la fecha, el Fondo Fiduciario ha recibido una contribución de 87.000 francos suizos del Gobierno japonés y 60.000 dólares del Gobierno chino.</w:t>
      </w:r>
    </w:p>
    <w:p w14:paraId="619F556C" w14:textId="77777777" w:rsidR="00CC4BDC" w:rsidRPr="00A85A97" w:rsidRDefault="00CC4BDC" w:rsidP="00CC4BDC">
      <w:pPr>
        <w:pStyle w:val="WMOBodyText"/>
        <w:spacing w:after="120"/>
        <w:rPr>
          <w:lang w:val="es-ES"/>
        </w:rPr>
      </w:pPr>
    </w:p>
    <w:p w14:paraId="389D0007" w14:textId="77777777" w:rsidR="00CC4BDC" w:rsidRPr="00A85A97" w:rsidRDefault="00CC4BDC" w:rsidP="00CC4BDC">
      <w:pPr>
        <w:pStyle w:val="WMOBodyText"/>
        <w:spacing w:after="120"/>
        <w:jc w:val="center"/>
        <w:rPr>
          <w:rFonts w:eastAsia="MS Mincho"/>
        </w:rPr>
      </w:pPr>
      <w:r w:rsidRPr="00A85A97">
        <w:rPr>
          <w:lang w:val="es-ES"/>
        </w:rPr>
        <w:lastRenderedPageBreak/>
        <w:t>_______________</w:t>
      </w:r>
    </w:p>
    <w:p w14:paraId="0211D7D0" w14:textId="77777777" w:rsidR="001A25F0" w:rsidRPr="002A29BD" w:rsidRDefault="001A25F0" w:rsidP="00CC4BDC">
      <w:pPr>
        <w:pStyle w:val="WMOBodyText"/>
        <w:ind w:left="3969" w:hanging="3969"/>
        <w:rPr>
          <w:lang w:val="es-419"/>
        </w:rPr>
      </w:pPr>
    </w:p>
    <w:sectPr w:rsidR="001A25F0" w:rsidRPr="002A29BD" w:rsidSect="00472D8C">
      <w:headerReference w:type="defaul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289CE" w14:textId="77777777" w:rsidR="00861F87" w:rsidRDefault="00861F87">
      <w:r>
        <w:separator/>
      </w:r>
    </w:p>
    <w:p w14:paraId="212D8D57" w14:textId="77777777" w:rsidR="00861F87" w:rsidRDefault="00861F87"/>
    <w:p w14:paraId="6B940391" w14:textId="77777777" w:rsidR="00861F87" w:rsidRDefault="00861F87"/>
  </w:endnote>
  <w:endnote w:type="continuationSeparator" w:id="0">
    <w:p w14:paraId="15DBB8D6" w14:textId="77777777" w:rsidR="00861F87" w:rsidRDefault="00861F87">
      <w:r>
        <w:continuationSeparator/>
      </w:r>
    </w:p>
    <w:p w14:paraId="294E9640" w14:textId="77777777" w:rsidR="00861F87" w:rsidRDefault="00861F87"/>
    <w:p w14:paraId="46E6EB0B" w14:textId="77777777" w:rsidR="00861F87" w:rsidRDefault="00861F87"/>
  </w:endnote>
  <w:endnote w:type="continuationNotice" w:id="1">
    <w:p w14:paraId="11F8EAD7" w14:textId="77777777" w:rsidR="00861F87" w:rsidRDefault="00861F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5BE83" w14:textId="77777777" w:rsidR="00861F87" w:rsidRDefault="00861F87">
      <w:r>
        <w:separator/>
      </w:r>
    </w:p>
  </w:footnote>
  <w:footnote w:type="continuationSeparator" w:id="0">
    <w:p w14:paraId="6AB2C60C" w14:textId="77777777" w:rsidR="00861F87" w:rsidRDefault="00861F87">
      <w:r>
        <w:continuationSeparator/>
      </w:r>
    </w:p>
    <w:p w14:paraId="6764B16B" w14:textId="77777777" w:rsidR="00861F87" w:rsidRDefault="00861F87"/>
    <w:p w14:paraId="1CF747C4" w14:textId="77777777" w:rsidR="00861F87" w:rsidRDefault="00861F87"/>
  </w:footnote>
  <w:footnote w:type="continuationNotice" w:id="1">
    <w:p w14:paraId="7F3727AC" w14:textId="77777777" w:rsidR="00861F87" w:rsidRDefault="00861F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AAF26" w14:textId="4F44AA72" w:rsidR="003143C9" w:rsidRPr="00472D8C" w:rsidRDefault="00FC2996" w:rsidP="00B72444">
    <w:pPr>
      <w:pStyle w:val="Header"/>
      <w:rPr>
        <w:sz w:val="18"/>
        <w:szCs w:val="18"/>
        <w:lang w:val="it-IT"/>
      </w:rPr>
    </w:pPr>
    <w:r w:rsidRPr="003D423B">
      <w:rPr>
        <w:sz w:val="18"/>
        <w:szCs w:val="18"/>
        <w:lang w:val="it-IT"/>
      </w:rPr>
      <w:t>A</w:t>
    </w:r>
    <w:r w:rsidR="0069167A">
      <w:rPr>
        <w:sz w:val="18"/>
        <w:szCs w:val="18"/>
        <w:lang w:val="it-IT"/>
      </w:rPr>
      <w:t>R</w:t>
    </w:r>
    <w:r w:rsidRPr="003D423B">
      <w:rPr>
        <w:sz w:val="18"/>
        <w:szCs w:val="18"/>
        <w:lang w:val="it-IT"/>
      </w:rPr>
      <w:t xml:space="preserve"> </w:t>
    </w:r>
    <w:r w:rsidR="0069167A">
      <w:rPr>
        <w:sz w:val="18"/>
        <w:szCs w:val="18"/>
        <w:lang w:val="it-IT"/>
      </w:rPr>
      <w:t>V</w:t>
    </w:r>
    <w:r w:rsidRPr="003D423B">
      <w:rPr>
        <w:sz w:val="18"/>
        <w:szCs w:val="18"/>
        <w:lang w:val="it-IT"/>
      </w:rPr>
      <w:t>I-1</w:t>
    </w:r>
    <w:r w:rsidR="00EA6A2D" w:rsidRPr="003D423B">
      <w:rPr>
        <w:sz w:val="18"/>
        <w:szCs w:val="18"/>
        <w:lang w:val="it-IT"/>
      </w:rPr>
      <w:t>9(I)</w:t>
    </w:r>
    <w:r w:rsidRPr="003D423B">
      <w:rPr>
        <w:sz w:val="18"/>
        <w:szCs w:val="18"/>
        <w:lang w:val="it-IT"/>
      </w:rPr>
      <w:t>/</w:t>
    </w:r>
    <w:r w:rsidR="00883888" w:rsidRPr="00883888">
      <w:rPr>
        <w:sz w:val="18"/>
        <w:szCs w:val="18"/>
        <w:lang w:val="es-ES"/>
      </w:rPr>
      <w:t>INF. 3.4(1)</w:t>
    </w:r>
    <w:r w:rsidR="003143C9" w:rsidRPr="00883888">
      <w:rPr>
        <w:sz w:val="18"/>
        <w:szCs w:val="18"/>
        <w:lang w:val="it-IT"/>
      </w:rPr>
      <w:t>,</w:t>
    </w:r>
    <w:r w:rsidR="003143C9" w:rsidRPr="003D423B">
      <w:rPr>
        <w:sz w:val="18"/>
        <w:szCs w:val="18"/>
        <w:lang w:val="it-IT"/>
      </w:rPr>
      <w:t xml:space="preserve"> </w:t>
    </w:r>
    <w:r w:rsidR="00595ED4" w:rsidRPr="008C11BE">
      <w:rPr>
        <w:sz w:val="18"/>
        <w:szCs w:val="18"/>
        <w:lang w:val="it-IT"/>
      </w:rPr>
      <w:t>VERSI</w:t>
    </w:r>
    <w:r w:rsidR="00472D8C">
      <w:rPr>
        <w:sz w:val="18"/>
        <w:szCs w:val="18"/>
        <w:lang w:val="it-IT"/>
      </w:rPr>
      <w:t>Ó</w:t>
    </w:r>
    <w:r w:rsidR="00595ED4" w:rsidRPr="008C11BE">
      <w:rPr>
        <w:sz w:val="18"/>
        <w:szCs w:val="18"/>
        <w:lang w:val="it-IT"/>
      </w:rPr>
      <w:t>N</w:t>
    </w:r>
    <w:r w:rsidR="003143C9" w:rsidRPr="003D423B">
      <w:rPr>
        <w:sz w:val="18"/>
        <w:szCs w:val="18"/>
        <w:lang w:val="it-IT"/>
      </w:rPr>
      <w:t xml:space="preserve"> 1, p. </w:t>
    </w:r>
    <w:r w:rsidR="003143C9" w:rsidRPr="00595ED4">
      <w:rPr>
        <w:rStyle w:val="PageNumber"/>
        <w:sz w:val="18"/>
        <w:szCs w:val="18"/>
      </w:rPr>
      <w:fldChar w:fldCharType="begin"/>
    </w:r>
    <w:r w:rsidR="003143C9" w:rsidRPr="003D423B">
      <w:rPr>
        <w:rStyle w:val="PageNumber"/>
        <w:sz w:val="18"/>
        <w:szCs w:val="18"/>
        <w:lang w:val="it-IT"/>
      </w:rPr>
      <w:instrText xml:space="preserve"> PAGE </w:instrText>
    </w:r>
    <w:r w:rsidR="003143C9" w:rsidRPr="00595ED4">
      <w:rPr>
        <w:rStyle w:val="PageNumber"/>
        <w:sz w:val="18"/>
        <w:szCs w:val="18"/>
      </w:rPr>
      <w:fldChar w:fldCharType="separate"/>
    </w:r>
    <w:r w:rsidR="003143C9" w:rsidRPr="00472D8C">
      <w:rPr>
        <w:rStyle w:val="PageNumber"/>
        <w:noProof/>
        <w:sz w:val="18"/>
        <w:szCs w:val="18"/>
        <w:lang w:val="it-IT"/>
      </w:rPr>
      <w:t>6</w:t>
    </w:r>
    <w:r w:rsidR="003143C9" w:rsidRPr="00595ED4">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6D3C16"/>
    <w:multiLevelType w:val="hybridMultilevel"/>
    <w:tmpl w:val="9F748B30"/>
    <w:lvl w:ilvl="0" w:tplc="20000011">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08117710">
    <w:abstractNumId w:val="30"/>
  </w:num>
  <w:num w:numId="2" w16cid:durableId="395132351">
    <w:abstractNumId w:val="45"/>
  </w:num>
  <w:num w:numId="3" w16cid:durableId="683485111">
    <w:abstractNumId w:val="28"/>
  </w:num>
  <w:num w:numId="4" w16cid:durableId="888303166">
    <w:abstractNumId w:val="37"/>
  </w:num>
  <w:num w:numId="5" w16cid:durableId="937755136">
    <w:abstractNumId w:val="17"/>
  </w:num>
  <w:num w:numId="6" w16cid:durableId="770706160">
    <w:abstractNumId w:val="23"/>
  </w:num>
  <w:num w:numId="7" w16cid:durableId="1912621405">
    <w:abstractNumId w:val="18"/>
  </w:num>
  <w:num w:numId="8" w16cid:durableId="180946254">
    <w:abstractNumId w:val="31"/>
  </w:num>
  <w:num w:numId="9" w16cid:durableId="483395811">
    <w:abstractNumId w:val="22"/>
  </w:num>
  <w:num w:numId="10" w16cid:durableId="843129939">
    <w:abstractNumId w:val="20"/>
  </w:num>
  <w:num w:numId="11" w16cid:durableId="829566723">
    <w:abstractNumId w:val="36"/>
  </w:num>
  <w:num w:numId="12" w16cid:durableId="439373003">
    <w:abstractNumId w:val="11"/>
  </w:num>
  <w:num w:numId="13" w16cid:durableId="1394966300">
    <w:abstractNumId w:val="26"/>
  </w:num>
  <w:num w:numId="14" w16cid:durableId="1083793167">
    <w:abstractNumId w:val="41"/>
  </w:num>
  <w:num w:numId="15" w16cid:durableId="41289554">
    <w:abstractNumId w:val="19"/>
  </w:num>
  <w:num w:numId="16" w16cid:durableId="79370841">
    <w:abstractNumId w:val="9"/>
  </w:num>
  <w:num w:numId="17" w16cid:durableId="1571118888">
    <w:abstractNumId w:val="7"/>
  </w:num>
  <w:num w:numId="18" w16cid:durableId="2116052669">
    <w:abstractNumId w:val="6"/>
  </w:num>
  <w:num w:numId="19" w16cid:durableId="817764028">
    <w:abstractNumId w:val="5"/>
  </w:num>
  <w:num w:numId="20" w16cid:durableId="230042971">
    <w:abstractNumId w:val="4"/>
  </w:num>
  <w:num w:numId="21" w16cid:durableId="1769546142">
    <w:abstractNumId w:val="8"/>
  </w:num>
  <w:num w:numId="22" w16cid:durableId="2098364357">
    <w:abstractNumId w:val="3"/>
  </w:num>
  <w:num w:numId="23" w16cid:durableId="45028411">
    <w:abstractNumId w:val="2"/>
  </w:num>
  <w:num w:numId="24" w16cid:durableId="899246484">
    <w:abstractNumId w:val="1"/>
  </w:num>
  <w:num w:numId="25" w16cid:durableId="976648262">
    <w:abstractNumId w:val="0"/>
  </w:num>
  <w:num w:numId="26" w16cid:durableId="1624851051">
    <w:abstractNumId w:val="43"/>
  </w:num>
  <w:num w:numId="27" w16cid:durableId="284893697">
    <w:abstractNumId w:val="32"/>
  </w:num>
  <w:num w:numId="28" w16cid:durableId="112556197">
    <w:abstractNumId w:val="24"/>
  </w:num>
  <w:num w:numId="29" w16cid:durableId="1826781198">
    <w:abstractNumId w:val="33"/>
  </w:num>
  <w:num w:numId="30" w16cid:durableId="40599064">
    <w:abstractNumId w:val="34"/>
  </w:num>
  <w:num w:numId="31" w16cid:durableId="874587545">
    <w:abstractNumId w:val="14"/>
  </w:num>
  <w:num w:numId="32" w16cid:durableId="1794666580">
    <w:abstractNumId w:val="40"/>
  </w:num>
  <w:num w:numId="33" w16cid:durableId="614749954">
    <w:abstractNumId w:val="38"/>
  </w:num>
  <w:num w:numId="34" w16cid:durableId="2077586355">
    <w:abstractNumId w:val="25"/>
  </w:num>
  <w:num w:numId="35" w16cid:durableId="1884560045">
    <w:abstractNumId w:val="27"/>
  </w:num>
  <w:num w:numId="36" w16cid:durableId="1154374151">
    <w:abstractNumId w:val="44"/>
  </w:num>
  <w:num w:numId="37" w16cid:durableId="1827430313">
    <w:abstractNumId w:val="35"/>
  </w:num>
  <w:num w:numId="38" w16cid:durableId="380323024">
    <w:abstractNumId w:val="12"/>
  </w:num>
  <w:num w:numId="39" w16cid:durableId="1466049558">
    <w:abstractNumId w:val="13"/>
  </w:num>
  <w:num w:numId="40" w16cid:durableId="117652511">
    <w:abstractNumId w:val="15"/>
  </w:num>
  <w:num w:numId="41" w16cid:durableId="311764002">
    <w:abstractNumId w:val="10"/>
  </w:num>
  <w:num w:numId="42" w16cid:durableId="1118449087">
    <w:abstractNumId w:val="42"/>
  </w:num>
  <w:num w:numId="43" w16cid:durableId="173421731">
    <w:abstractNumId w:val="16"/>
  </w:num>
  <w:num w:numId="44" w16cid:durableId="280694128">
    <w:abstractNumId w:val="29"/>
  </w:num>
  <w:num w:numId="45" w16cid:durableId="2084912840">
    <w:abstractNumId w:val="39"/>
  </w:num>
  <w:num w:numId="46" w16cid:durableId="14561026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BDC"/>
    <w:rsid w:val="00001CF5"/>
    <w:rsid w:val="0000459E"/>
    <w:rsid w:val="000133EE"/>
    <w:rsid w:val="00014820"/>
    <w:rsid w:val="000206A8"/>
    <w:rsid w:val="0003137A"/>
    <w:rsid w:val="00041171"/>
    <w:rsid w:val="00041727"/>
    <w:rsid w:val="0004226F"/>
    <w:rsid w:val="00050060"/>
    <w:rsid w:val="00050F8E"/>
    <w:rsid w:val="000518BB"/>
    <w:rsid w:val="000573AD"/>
    <w:rsid w:val="0006123B"/>
    <w:rsid w:val="00064F6B"/>
    <w:rsid w:val="00067325"/>
    <w:rsid w:val="000708A5"/>
    <w:rsid w:val="00071D6D"/>
    <w:rsid w:val="00072F17"/>
    <w:rsid w:val="000750D0"/>
    <w:rsid w:val="000806D8"/>
    <w:rsid w:val="00082C80"/>
    <w:rsid w:val="00083099"/>
    <w:rsid w:val="00083847"/>
    <w:rsid w:val="00083C36"/>
    <w:rsid w:val="00092CAE"/>
    <w:rsid w:val="00095E48"/>
    <w:rsid w:val="000A067F"/>
    <w:rsid w:val="000A0762"/>
    <w:rsid w:val="000A4F1C"/>
    <w:rsid w:val="000A5190"/>
    <w:rsid w:val="000A51EC"/>
    <w:rsid w:val="000A69BF"/>
    <w:rsid w:val="000C225A"/>
    <w:rsid w:val="000C6781"/>
    <w:rsid w:val="000C6A11"/>
    <w:rsid w:val="000D0753"/>
    <w:rsid w:val="000F5E49"/>
    <w:rsid w:val="000F7A87"/>
    <w:rsid w:val="00102EAE"/>
    <w:rsid w:val="001047DC"/>
    <w:rsid w:val="00105D2E"/>
    <w:rsid w:val="00110CE0"/>
    <w:rsid w:val="00111BFD"/>
    <w:rsid w:val="0011498B"/>
    <w:rsid w:val="00120147"/>
    <w:rsid w:val="00123140"/>
    <w:rsid w:val="00123D94"/>
    <w:rsid w:val="001242AE"/>
    <w:rsid w:val="00146195"/>
    <w:rsid w:val="00155527"/>
    <w:rsid w:val="001564E9"/>
    <w:rsid w:val="00156F9B"/>
    <w:rsid w:val="00163BA3"/>
    <w:rsid w:val="00166B31"/>
    <w:rsid w:val="00167D54"/>
    <w:rsid w:val="001732E7"/>
    <w:rsid w:val="00180771"/>
    <w:rsid w:val="00190854"/>
    <w:rsid w:val="001930A3"/>
    <w:rsid w:val="00195AD9"/>
    <w:rsid w:val="00196EB8"/>
    <w:rsid w:val="001A25F0"/>
    <w:rsid w:val="001A341E"/>
    <w:rsid w:val="001B0EA6"/>
    <w:rsid w:val="001B1CDF"/>
    <w:rsid w:val="001B38BB"/>
    <w:rsid w:val="001B56F4"/>
    <w:rsid w:val="001C5462"/>
    <w:rsid w:val="001D265C"/>
    <w:rsid w:val="001D3062"/>
    <w:rsid w:val="001D3CFB"/>
    <w:rsid w:val="001D559B"/>
    <w:rsid w:val="001D6302"/>
    <w:rsid w:val="001E2C22"/>
    <w:rsid w:val="001E4565"/>
    <w:rsid w:val="001E740C"/>
    <w:rsid w:val="001E7DD0"/>
    <w:rsid w:val="001F1BDA"/>
    <w:rsid w:val="001F48A5"/>
    <w:rsid w:val="0020095E"/>
    <w:rsid w:val="00207AA6"/>
    <w:rsid w:val="00210BFE"/>
    <w:rsid w:val="00210D30"/>
    <w:rsid w:val="002204FD"/>
    <w:rsid w:val="00221020"/>
    <w:rsid w:val="0022455A"/>
    <w:rsid w:val="002308B5"/>
    <w:rsid w:val="00233C0B"/>
    <w:rsid w:val="00234A34"/>
    <w:rsid w:val="0025255D"/>
    <w:rsid w:val="00253070"/>
    <w:rsid w:val="00255EE3"/>
    <w:rsid w:val="00256B3D"/>
    <w:rsid w:val="0026409B"/>
    <w:rsid w:val="0026743C"/>
    <w:rsid w:val="00270480"/>
    <w:rsid w:val="002713E9"/>
    <w:rsid w:val="002779AF"/>
    <w:rsid w:val="002823D8"/>
    <w:rsid w:val="0028531A"/>
    <w:rsid w:val="00285446"/>
    <w:rsid w:val="00295593"/>
    <w:rsid w:val="002A29BD"/>
    <w:rsid w:val="002A354F"/>
    <w:rsid w:val="002A386C"/>
    <w:rsid w:val="002A3B7E"/>
    <w:rsid w:val="002B540D"/>
    <w:rsid w:val="002B7A7E"/>
    <w:rsid w:val="002C30BC"/>
    <w:rsid w:val="002C37B7"/>
    <w:rsid w:val="002C3987"/>
    <w:rsid w:val="002C5965"/>
    <w:rsid w:val="002C7A88"/>
    <w:rsid w:val="002C7AB9"/>
    <w:rsid w:val="002D232B"/>
    <w:rsid w:val="002D2759"/>
    <w:rsid w:val="002D5E00"/>
    <w:rsid w:val="002D6DAC"/>
    <w:rsid w:val="002E261D"/>
    <w:rsid w:val="002E3FAD"/>
    <w:rsid w:val="002E4E16"/>
    <w:rsid w:val="002F6DAC"/>
    <w:rsid w:val="00301E8C"/>
    <w:rsid w:val="00306057"/>
    <w:rsid w:val="00312177"/>
    <w:rsid w:val="003143C9"/>
    <w:rsid w:val="003146E9"/>
    <w:rsid w:val="00314D5D"/>
    <w:rsid w:val="00320009"/>
    <w:rsid w:val="0032424A"/>
    <w:rsid w:val="003245D3"/>
    <w:rsid w:val="00330AA3"/>
    <w:rsid w:val="00331584"/>
    <w:rsid w:val="00331964"/>
    <w:rsid w:val="00334987"/>
    <w:rsid w:val="00340C69"/>
    <w:rsid w:val="00342E34"/>
    <w:rsid w:val="00345FAA"/>
    <w:rsid w:val="00347201"/>
    <w:rsid w:val="0035567E"/>
    <w:rsid w:val="003638A1"/>
    <w:rsid w:val="00371CF1"/>
    <w:rsid w:val="00372211"/>
    <w:rsid w:val="00373128"/>
    <w:rsid w:val="003750C1"/>
    <w:rsid w:val="0038051E"/>
    <w:rsid w:val="003809E1"/>
    <w:rsid w:val="00380AF7"/>
    <w:rsid w:val="00394A05"/>
    <w:rsid w:val="003955F5"/>
    <w:rsid w:val="00397770"/>
    <w:rsid w:val="00397880"/>
    <w:rsid w:val="003A5894"/>
    <w:rsid w:val="003A7016"/>
    <w:rsid w:val="003A70AE"/>
    <w:rsid w:val="003B0C08"/>
    <w:rsid w:val="003B4908"/>
    <w:rsid w:val="003B5A74"/>
    <w:rsid w:val="003C17A5"/>
    <w:rsid w:val="003C1843"/>
    <w:rsid w:val="003C5D19"/>
    <w:rsid w:val="003D1552"/>
    <w:rsid w:val="003D423B"/>
    <w:rsid w:val="003E381F"/>
    <w:rsid w:val="003E4046"/>
    <w:rsid w:val="003F003A"/>
    <w:rsid w:val="003F125B"/>
    <w:rsid w:val="003F5943"/>
    <w:rsid w:val="003F7B3F"/>
    <w:rsid w:val="004058AD"/>
    <w:rsid w:val="0041078D"/>
    <w:rsid w:val="00416F97"/>
    <w:rsid w:val="0043039B"/>
    <w:rsid w:val="00436197"/>
    <w:rsid w:val="004423FE"/>
    <w:rsid w:val="00445C35"/>
    <w:rsid w:val="0045053B"/>
    <w:rsid w:val="00454B41"/>
    <w:rsid w:val="0045663A"/>
    <w:rsid w:val="0046344E"/>
    <w:rsid w:val="004654FB"/>
    <w:rsid w:val="004667E7"/>
    <w:rsid w:val="004672CF"/>
    <w:rsid w:val="00472B40"/>
    <w:rsid w:val="00472D8C"/>
    <w:rsid w:val="00475797"/>
    <w:rsid w:val="00476D0A"/>
    <w:rsid w:val="00482BF7"/>
    <w:rsid w:val="0049002F"/>
    <w:rsid w:val="0049253B"/>
    <w:rsid w:val="004A140B"/>
    <w:rsid w:val="004A4B47"/>
    <w:rsid w:val="004B0EC9"/>
    <w:rsid w:val="004B7BAA"/>
    <w:rsid w:val="004C2DF7"/>
    <w:rsid w:val="004C4E0B"/>
    <w:rsid w:val="004D497E"/>
    <w:rsid w:val="004E4809"/>
    <w:rsid w:val="004E4CC3"/>
    <w:rsid w:val="004E5985"/>
    <w:rsid w:val="004E6352"/>
    <w:rsid w:val="004E6460"/>
    <w:rsid w:val="004F6B46"/>
    <w:rsid w:val="0050425E"/>
    <w:rsid w:val="005072C4"/>
    <w:rsid w:val="00511999"/>
    <w:rsid w:val="005145D6"/>
    <w:rsid w:val="005206E5"/>
    <w:rsid w:val="00520824"/>
    <w:rsid w:val="00521EA5"/>
    <w:rsid w:val="00525B80"/>
    <w:rsid w:val="0053098F"/>
    <w:rsid w:val="00536065"/>
    <w:rsid w:val="00536B2E"/>
    <w:rsid w:val="00546D8E"/>
    <w:rsid w:val="00553738"/>
    <w:rsid w:val="0056646F"/>
    <w:rsid w:val="00571AE1"/>
    <w:rsid w:val="00581B28"/>
    <w:rsid w:val="00590010"/>
    <w:rsid w:val="00592267"/>
    <w:rsid w:val="0059421F"/>
    <w:rsid w:val="00595ED4"/>
    <w:rsid w:val="005A136D"/>
    <w:rsid w:val="005A1B09"/>
    <w:rsid w:val="005B0AE2"/>
    <w:rsid w:val="005B1F2C"/>
    <w:rsid w:val="005B5F3C"/>
    <w:rsid w:val="005C41F2"/>
    <w:rsid w:val="005C5DDD"/>
    <w:rsid w:val="005C5EA3"/>
    <w:rsid w:val="005D03D9"/>
    <w:rsid w:val="005D1EE8"/>
    <w:rsid w:val="005D51CF"/>
    <w:rsid w:val="005D56AE"/>
    <w:rsid w:val="005D666D"/>
    <w:rsid w:val="005E3A59"/>
    <w:rsid w:val="005E6AA1"/>
    <w:rsid w:val="00604802"/>
    <w:rsid w:val="006125F8"/>
    <w:rsid w:val="00615AB0"/>
    <w:rsid w:val="00616247"/>
    <w:rsid w:val="0061778C"/>
    <w:rsid w:val="00636B90"/>
    <w:rsid w:val="00644CD5"/>
    <w:rsid w:val="0064738B"/>
    <w:rsid w:val="006508EA"/>
    <w:rsid w:val="006530BB"/>
    <w:rsid w:val="00667E86"/>
    <w:rsid w:val="006703D7"/>
    <w:rsid w:val="00681336"/>
    <w:rsid w:val="0068392D"/>
    <w:rsid w:val="0069167A"/>
    <w:rsid w:val="00696663"/>
    <w:rsid w:val="00697DB5"/>
    <w:rsid w:val="006A0216"/>
    <w:rsid w:val="006A161B"/>
    <w:rsid w:val="006A1B33"/>
    <w:rsid w:val="006A492A"/>
    <w:rsid w:val="006B5C72"/>
    <w:rsid w:val="006B7710"/>
    <w:rsid w:val="006C289D"/>
    <w:rsid w:val="006C2F46"/>
    <w:rsid w:val="006C452C"/>
    <w:rsid w:val="006D0310"/>
    <w:rsid w:val="006D2009"/>
    <w:rsid w:val="006D5576"/>
    <w:rsid w:val="006E766D"/>
    <w:rsid w:val="006F4B29"/>
    <w:rsid w:val="006F6CE9"/>
    <w:rsid w:val="006F6F80"/>
    <w:rsid w:val="0070517C"/>
    <w:rsid w:val="00705C9F"/>
    <w:rsid w:val="00716951"/>
    <w:rsid w:val="00720F6B"/>
    <w:rsid w:val="0072317C"/>
    <w:rsid w:val="00730ADA"/>
    <w:rsid w:val="00732C37"/>
    <w:rsid w:val="00735D9E"/>
    <w:rsid w:val="00740EE4"/>
    <w:rsid w:val="007415B4"/>
    <w:rsid w:val="00745A09"/>
    <w:rsid w:val="00751667"/>
    <w:rsid w:val="00751EAF"/>
    <w:rsid w:val="00753C6D"/>
    <w:rsid w:val="00754CF7"/>
    <w:rsid w:val="00757B0D"/>
    <w:rsid w:val="00761320"/>
    <w:rsid w:val="00762050"/>
    <w:rsid w:val="007651B1"/>
    <w:rsid w:val="00767CE1"/>
    <w:rsid w:val="00771A68"/>
    <w:rsid w:val="007744D2"/>
    <w:rsid w:val="00786136"/>
    <w:rsid w:val="007968E6"/>
    <w:rsid w:val="007A7D5F"/>
    <w:rsid w:val="007B05CF"/>
    <w:rsid w:val="007B4E8D"/>
    <w:rsid w:val="007C212A"/>
    <w:rsid w:val="007E7D21"/>
    <w:rsid w:val="007E7DBD"/>
    <w:rsid w:val="007F482F"/>
    <w:rsid w:val="007F7C94"/>
    <w:rsid w:val="0080398D"/>
    <w:rsid w:val="00805174"/>
    <w:rsid w:val="00806385"/>
    <w:rsid w:val="00807CC5"/>
    <w:rsid w:val="00807ED7"/>
    <w:rsid w:val="00814CC6"/>
    <w:rsid w:val="00826D53"/>
    <w:rsid w:val="00826E06"/>
    <w:rsid w:val="00831751"/>
    <w:rsid w:val="00833369"/>
    <w:rsid w:val="00835B42"/>
    <w:rsid w:val="00842A4E"/>
    <w:rsid w:val="00847D99"/>
    <w:rsid w:val="0085038E"/>
    <w:rsid w:val="0085230A"/>
    <w:rsid w:val="00861F87"/>
    <w:rsid w:val="0086271D"/>
    <w:rsid w:val="0086420B"/>
    <w:rsid w:val="00864DBF"/>
    <w:rsid w:val="00865AE2"/>
    <w:rsid w:val="008663C8"/>
    <w:rsid w:val="00876FDC"/>
    <w:rsid w:val="0088163A"/>
    <w:rsid w:val="00883888"/>
    <w:rsid w:val="00887090"/>
    <w:rsid w:val="00893963"/>
    <w:rsid w:val="0089601F"/>
    <w:rsid w:val="008970B8"/>
    <w:rsid w:val="008A7313"/>
    <w:rsid w:val="008A7D91"/>
    <w:rsid w:val="008B7FC7"/>
    <w:rsid w:val="008C11BE"/>
    <w:rsid w:val="008C4337"/>
    <w:rsid w:val="008C4F06"/>
    <w:rsid w:val="008E1E4A"/>
    <w:rsid w:val="008F0615"/>
    <w:rsid w:val="008F103E"/>
    <w:rsid w:val="008F1FDB"/>
    <w:rsid w:val="008F36FB"/>
    <w:rsid w:val="008F7A8B"/>
    <w:rsid w:val="00900181"/>
    <w:rsid w:val="00902EA9"/>
    <w:rsid w:val="0090427F"/>
    <w:rsid w:val="009065CD"/>
    <w:rsid w:val="00920506"/>
    <w:rsid w:val="009319E8"/>
    <w:rsid w:val="00931DEB"/>
    <w:rsid w:val="009332D2"/>
    <w:rsid w:val="00933957"/>
    <w:rsid w:val="009356FA"/>
    <w:rsid w:val="0094022A"/>
    <w:rsid w:val="00945B8E"/>
    <w:rsid w:val="009473DB"/>
    <w:rsid w:val="009504A1"/>
    <w:rsid w:val="00950605"/>
    <w:rsid w:val="00952233"/>
    <w:rsid w:val="00954D66"/>
    <w:rsid w:val="00963F8F"/>
    <w:rsid w:val="00970BD5"/>
    <w:rsid w:val="00973C62"/>
    <w:rsid w:val="00975D76"/>
    <w:rsid w:val="00982E51"/>
    <w:rsid w:val="009874B9"/>
    <w:rsid w:val="00993581"/>
    <w:rsid w:val="009A288C"/>
    <w:rsid w:val="009A64C1"/>
    <w:rsid w:val="009B3D5A"/>
    <w:rsid w:val="009B6697"/>
    <w:rsid w:val="009B6C78"/>
    <w:rsid w:val="009C2B43"/>
    <w:rsid w:val="009C2EA4"/>
    <w:rsid w:val="009C4C04"/>
    <w:rsid w:val="009D5213"/>
    <w:rsid w:val="009E06B2"/>
    <w:rsid w:val="009E1C95"/>
    <w:rsid w:val="009F196A"/>
    <w:rsid w:val="009F3498"/>
    <w:rsid w:val="009F669B"/>
    <w:rsid w:val="009F7566"/>
    <w:rsid w:val="009F7F18"/>
    <w:rsid w:val="00A02A72"/>
    <w:rsid w:val="00A06BFE"/>
    <w:rsid w:val="00A10F5D"/>
    <w:rsid w:val="00A12254"/>
    <w:rsid w:val="00A1243C"/>
    <w:rsid w:val="00A135AE"/>
    <w:rsid w:val="00A14AF1"/>
    <w:rsid w:val="00A16891"/>
    <w:rsid w:val="00A25B99"/>
    <w:rsid w:val="00A268CE"/>
    <w:rsid w:val="00A332E8"/>
    <w:rsid w:val="00A35AF5"/>
    <w:rsid w:val="00A35DDF"/>
    <w:rsid w:val="00A36CBA"/>
    <w:rsid w:val="00A45741"/>
    <w:rsid w:val="00A50291"/>
    <w:rsid w:val="00A530E4"/>
    <w:rsid w:val="00A54C0E"/>
    <w:rsid w:val="00A604CD"/>
    <w:rsid w:val="00A60FE6"/>
    <w:rsid w:val="00A622F5"/>
    <w:rsid w:val="00A654BE"/>
    <w:rsid w:val="00A66DD6"/>
    <w:rsid w:val="00A75EC2"/>
    <w:rsid w:val="00A771FD"/>
    <w:rsid w:val="00A80767"/>
    <w:rsid w:val="00A861A3"/>
    <w:rsid w:val="00A874EF"/>
    <w:rsid w:val="00A9109D"/>
    <w:rsid w:val="00A95415"/>
    <w:rsid w:val="00AA131A"/>
    <w:rsid w:val="00AA3C89"/>
    <w:rsid w:val="00AB32BD"/>
    <w:rsid w:val="00AB4723"/>
    <w:rsid w:val="00AC4CDB"/>
    <w:rsid w:val="00AC70FE"/>
    <w:rsid w:val="00AD3AA3"/>
    <w:rsid w:val="00AD4358"/>
    <w:rsid w:val="00AF61E1"/>
    <w:rsid w:val="00AF638A"/>
    <w:rsid w:val="00AF7567"/>
    <w:rsid w:val="00B00141"/>
    <w:rsid w:val="00B009AA"/>
    <w:rsid w:val="00B00ECE"/>
    <w:rsid w:val="00B030C8"/>
    <w:rsid w:val="00B039C0"/>
    <w:rsid w:val="00B056E7"/>
    <w:rsid w:val="00B05B71"/>
    <w:rsid w:val="00B10035"/>
    <w:rsid w:val="00B11B58"/>
    <w:rsid w:val="00B15C76"/>
    <w:rsid w:val="00B165E6"/>
    <w:rsid w:val="00B235DB"/>
    <w:rsid w:val="00B24C31"/>
    <w:rsid w:val="00B411AF"/>
    <w:rsid w:val="00B447C0"/>
    <w:rsid w:val="00B53E53"/>
    <w:rsid w:val="00B548A2"/>
    <w:rsid w:val="00B56934"/>
    <w:rsid w:val="00B62F03"/>
    <w:rsid w:val="00B72444"/>
    <w:rsid w:val="00B93B62"/>
    <w:rsid w:val="00B953D1"/>
    <w:rsid w:val="00B96D93"/>
    <w:rsid w:val="00BA30D0"/>
    <w:rsid w:val="00BA77FB"/>
    <w:rsid w:val="00BB0D32"/>
    <w:rsid w:val="00BC76B5"/>
    <w:rsid w:val="00BD5420"/>
    <w:rsid w:val="00BE241E"/>
    <w:rsid w:val="00BF2233"/>
    <w:rsid w:val="00C023AF"/>
    <w:rsid w:val="00C04BD2"/>
    <w:rsid w:val="00C13EEC"/>
    <w:rsid w:val="00C14689"/>
    <w:rsid w:val="00C156A4"/>
    <w:rsid w:val="00C16356"/>
    <w:rsid w:val="00C20032"/>
    <w:rsid w:val="00C20BCE"/>
    <w:rsid w:val="00C20FAA"/>
    <w:rsid w:val="00C23509"/>
    <w:rsid w:val="00C2459D"/>
    <w:rsid w:val="00C2755A"/>
    <w:rsid w:val="00C316F1"/>
    <w:rsid w:val="00C42C95"/>
    <w:rsid w:val="00C4470F"/>
    <w:rsid w:val="00C50727"/>
    <w:rsid w:val="00C50A41"/>
    <w:rsid w:val="00C55E5B"/>
    <w:rsid w:val="00C62739"/>
    <w:rsid w:val="00C720A4"/>
    <w:rsid w:val="00C7611C"/>
    <w:rsid w:val="00C93FF2"/>
    <w:rsid w:val="00C94097"/>
    <w:rsid w:val="00CA4269"/>
    <w:rsid w:val="00CA48CA"/>
    <w:rsid w:val="00CA7330"/>
    <w:rsid w:val="00CB1C84"/>
    <w:rsid w:val="00CB5363"/>
    <w:rsid w:val="00CB64F0"/>
    <w:rsid w:val="00CC2909"/>
    <w:rsid w:val="00CC4BDC"/>
    <w:rsid w:val="00CD0549"/>
    <w:rsid w:val="00CE6B3C"/>
    <w:rsid w:val="00CF5E4B"/>
    <w:rsid w:val="00D03E49"/>
    <w:rsid w:val="00D05E6F"/>
    <w:rsid w:val="00D16D05"/>
    <w:rsid w:val="00D178D6"/>
    <w:rsid w:val="00D20296"/>
    <w:rsid w:val="00D2231A"/>
    <w:rsid w:val="00D27929"/>
    <w:rsid w:val="00D302CD"/>
    <w:rsid w:val="00D33442"/>
    <w:rsid w:val="00D419C6"/>
    <w:rsid w:val="00D44BAD"/>
    <w:rsid w:val="00D45B55"/>
    <w:rsid w:val="00D64A62"/>
    <w:rsid w:val="00D664D7"/>
    <w:rsid w:val="00D7097B"/>
    <w:rsid w:val="00D72207"/>
    <w:rsid w:val="00D72BC4"/>
    <w:rsid w:val="00D815FC"/>
    <w:rsid w:val="00D8517B"/>
    <w:rsid w:val="00D91DFA"/>
    <w:rsid w:val="00D94FED"/>
    <w:rsid w:val="00DA159A"/>
    <w:rsid w:val="00DB1AB2"/>
    <w:rsid w:val="00DC17C2"/>
    <w:rsid w:val="00DC4210"/>
    <w:rsid w:val="00DC4FDF"/>
    <w:rsid w:val="00DC66F0"/>
    <w:rsid w:val="00DD3A65"/>
    <w:rsid w:val="00DD62C6"/>
    <w:rsid w:val="00DD6576"/>
    <w:rsid w:val="00DD6CF7"/>
    <w:rsid w:val="00DD6DC4"/>
    <w:rsid w:val="00DE3B92"/>
    <w:rsid w:val="00DE48B4"/>
    <w:rsid w:val="00DE7137"/>
    <w:rsid w:val="00DF18E4"/>
    <w:rsid w:val="00E00498"/>
    <w:rsid w:val="00E1464C"/>
    <w:rsid w:val="00E14ADB"/>
    <w:rsid w:val="00E20D32"/>
    <w:rsid w:val="00E20FE5"/>
    <w:rsid w:val="00E22F78"/>
    <w:rsid w:val="00E2425D"/>
    <w:rsid w:val="00E24F87"/>
    <w:rsid w:val="00E2617A"/>
    <w:rsid w:val="00E273FB"/>
    <w:rsid w:val="00E31CD4"/>
    <w:rsid w:val="00E4497F"/>
    <w:rsid w:val="00E538E6"/>
    <w:rsid w:val="00E64CBD"/>
    <w:rsid w:val="00E71C45"/>
    <w:rsid w:val="00E74332"/>
    <w:rsid w:val="00E802A2"/>
    <w:rsid w:val="00E80F02"/>
    <w:rsid w:val="00E8410F"/>
    <w:rsid w:val="00E85C0B"/>
    <w:rsid w:val="00E86BFA"/>
    <w:rsid w:val="00EA4EDD"/>
    <w:rsid w:val="00EA6A2D"/>
    <w:rsid w:val="00EA7089"/>
    <w:rsid w:val="00EB13D7"/>
    <w:rsid w:val="00EB1E83"/>
    <w:rsid w:val="00EB21B6"/>
    <w:rsid w:val="00ED22CB"/>
    <w:rsid w:val="00ED67AF"/>
    <w:rsid w:val="00EE11F0"/>
    <w:rsid w:val="00EE128C"/>
    <w:rsid w:val="00EE2B19"/>
    <w:rsid w:val="00EE4C48"/>
    <w:rsid w:val="00EE5D2E"/>
    <w:rsid w:val="00EE7E6F"/>
    <w:rsid w:val="00EF66D9"/>
    <w:rsid w:val="00EF68E3"/>
    <w:rsid w:val="00EF6BA5"/>
    <w:rsid w:val="00EF780D"/>
    <w:rsid w:val="00EF7A98"/>
    <w:rsid w:val="00F0267E"/>
    <w:rsid w:val="00F071B2"/>
    <w:rsid w:val="00F075C1"/>
    <w:rsid w:val="00F11B47"/>
    <w:rsid w:val="00F2412D"/>
    <w:rsid w:val="00F25D8D"/>
    <w:rsid w:val="00F3069C"/>
    <w:rsid w:val="00F30BF8"/>
    <w:rsid w:val="00F330A1"/>
    <w:rsid w:val="00F3603E"/>
    <w:rsid w:val="00F44CCB"/>
    <w:rsid w:val="00F474C9"/>
    <w:rsid w:val="00F5126B"/>
    <w:rsid w:val="00F54EA3"/>
    <w:rsid w:val="00F61675"/>
    <w:rsid w:val="00F6686B"/>
    <w:rsid w:val="00F67F74"/>
    <w:rsid w:val="00F712B3"/>
    <w:rsid w:val="00F71E9F"/>
    <w:rsid w:val="00F73DE3"/>
    <w:rsid w:val="00F744BF"/>
    <w:rsid w:val="00F7632C"/>
    <w:rsid w:val="00F77219"/>
    <w:rsid w:val="00F802F3"/>
    <w:rsid w:val="00F84DD2"/>
    <w:rsid w:val="00F906B8"/>
    <w:rsid w:val="00F94E44"/>
    <w:rsid w:val="00FA7307"/>
    <w:rsid w:val="00FB0872"/>
    <w:rsid w:val="00FB1F7A"/>
    <w:rsid w:val="00FB54CC"/>
    <w:rsid w:val="00FC2996"/>
    <w:rsid w:val="00FC362F"/>
    <w:rsid w:val="00FD0351"/>
    <w:rsid w:val="00FD1A37"/>
    <w:rsid w:val="00FD4E5B"/>
    <w:rsid w:val="00FE4EE0"/>
    <w:rsid w:val="00FE56C4"/>
    <w:rsid w:val="00FF0F9A"/>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FAFB24"/>
  <w15:docId w15:val="{E03972D7-1182-4C80-B241-906198083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StyleWMOBodyTextBold">
    <w:name w:val="Style WMO_BodyText + Bold"/>
    <w:basedOn w:val="WMOBodyText"/>
    <w:rsid w:val="0035567E"/>
    <w:rPr>
      <w:b/>
      <w:bCs/>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28035926">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viewer/28029/?offset=1" TargetMode="External"/><Relationship Id="rId18" Type="http://schemas.openxmlformats.org/officeDocument/2006/relationships/hyperlink" Target="https://meetings.wmo.int/EC-78/_layouts/15/WopiFrame.aspx?sourcedoc=%7b42A47F5F-0E15-48DC-BFEC-A736FBDDF92E%7d&amp;file=EC-78-d06(1)-REVISED-GUIDELINES-FOR-PPE-approved_es.docx&amp;action=default" TargetMode="External"/><Relationship Id="rId26" Type="http://schemas.openxmlformats.org/officeDocument/2006/relationships/hyperlink" Target="https://etrp.wmo.int/course/view.php?id=337" TargetMode="External"/><Relationship Id="rId3" Type="http://schemas.openxmlformats.org/officeDocument/2006/relationships/customXml" Target="../customXml/item3.xml"/><Relationship Id="rId21" Type="http://schemas.openxmlformats.org/officeDocument/2006/relationships/hyperlink" Target="https://meetings.wmo.int/EC-78/_layouts/15/WopiFrame.aspx?sourcedoc=%7b42A47F5F-0E15-48DC-BFEC-A736FBDDF92E%7d&amp;file=EC-78-d06(1)-REVISED-GUIDELINES-FOR-PPE-approved_es.docx&amp;action=default" TargetMode="External"/><Relationship Id="rId7" Type="http://schemas.openxmlformats.org/officeDocument/2006/relationships/settings" Target="settings.xml"/><Relationship Id="rId12" Type="http://schemas.openxmlformats.org/officeDocument/2006/relationships/hyperlink" Target="https://library.wmo.int/viewer/28029/?offset=1" TargetMode="External"/><Relationship Id="rId17" Type="http://schemas.openxmlformats.org/officeDocument/2006/relationships/hyperlink" Target="https://library.wmo.int/idurl/4/28210" TargetMode="External"/><Relationship Id="rId25" Type="http://schemas.openxmlformats.org/officeDocument/2006/relationships/hyperlink" Target="https://etrp.wmo.int/course/view.php?id=336"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brary.wmo.int/viewer/37395/?offset=3" TargetMode="External"/><Relationship Id="rId20" Type="http://schemas.openxmlformats.org/officeDocument/2006/relationships/hyperlink" Target="https://library.wmo.int/viewer/37395/?offset=3" TargetMode="External"/><Relationship Id="rId29" Type="http://schemas.openxmlformats.org/officeDocument/2006/relationships/hyperlink" Target="https://www.itu.int/net/epub/TSB/2024-UN-Executive-Briefing-on-unlocking-potential/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etrp.wmo.int/course/view.php?id=277&amp;lang=en"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viewer/57474?viewer=picture" TargetMode="External"/><Relationship Id="rId23" Type="http://schemas.openxmlformats.org/officeDocument/2006/relationships/hyperlink" Target="https://meetings.wmo.int/EC-78/_layouts/15/WopiFrame.aspx?sourcedoc=%7bB1649FB9-C69D-4236-BF93-779D15CF04B2%7d&amp;file=EC-78-d06(2)-CODE-OF-ETHICS-BETWEEN-WMO-AND-HMEI-approved_es.docx&amp;action=default" TargetMode="External"/><Relationship Id="rId28" Type="http://schemas.openxmlformats.org/officeDocument/2006/relationships/hyperlink" Target="https://www.floodmanagement.info/e2e-ews-ff-community-of-practice-area/resources/inventory/" TargetMode="External"/><Relationship Id="rId10" Type="http://schemas.openxmlformats.org/officeDocument/2006/relationships/endnotes" Target="endnotes.xml"/><Relationship Id="rId19" Type="http://schemas.openxmlformats.org/officeDocument/2006/relationships/hyperlink" Target="https://library.wmo.int/viewer/37395/?offset=3"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viewer/28029/?offset=1" TargetMode="External"/><Relationship Id="rId22" Type="http://schemas.openxmlformats.org/officeDocument/2006/relationships/hyperlink" Target="https://library.wmo.int/viewer/60443/?offset=1" TargetMode="External"/><Relationship Id="rId27" Type="http://schemas.openxmlformats.org/officeDocument/2006/relationships/hyperlink" Target="https://wmo.int/about-us/partnerships/activities-and-events/pilot-project-public-private-engagement-smart-meteorological-service-mega-cities-regional" TargetMode="External"/><Relationship Id="rId30" Type="http://schemas.openxmlformats.org/officeDocument/2006/relationships/hyperlink" Target="https://www.itu.int/metaverse/un-virtual-worlds-day/"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dBuesaLalueza\Downloads\RA-VI-19(I)-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AD02DA-5DFD-425C-9FAD-89F3BF317192}">
  <ds:schemaRefs>
    <ds:schemaRef ds:uri="http://schemas.openxmlformats.org/officeDocument/2006/bibliography"/>
  </ds:schemaRefs>
</ds:datastoreItem>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FAC7B9B9-2B32-4242-8206-495E2D76E2FD}"/>
</file>

<file path=customXml/itemProps4.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docProps/app.xml><?xml version="1.0" encoding="utf-8"?>
<Properties xmlns="http://schemas.openxmlformats.org/officeDocument/2006/extended-properties" xmlns:vt="http://schemas.openxmlformats.org/officeDocument/2006/docPropsVTypes">
  <Template>RA-VI-19(I)-dxx-Template_es</Template>
  <TotalTime>11</TotalTime>
  <Pages>7</Pages>
  <Words>3852</Words>
  <Characters>21963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25764</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David Buesa Lalueza</dc:creator>
  <cp:lastModifiedBy>David Buesa Lalueza</cp:lastModifiedBy>
  <cp:revision>2</cp:revision>
  <cp:lastPrinted>2013-03-12T09:27:00Z</cp:lastPrinted>
  <dcterms:created xsi:type="dcterms:W3CDTF">2024-09-24T14:09:00Z</dcterms:created>
  <dcterms:modified xsi:type="dcterms:W3CDTF">2024-09-25T08:21:00Z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