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ook w:val="01E0" w:firstRow="1" w:lastRow="1" w:firstColumn="1" w:lastColumn="1" w:noHBand="0" w:noVBand="0"/>
      </w:tblPr>
      <w:tblGrid>
        <w:gridCol w:w="500"/>
        <w:gridCol w:w="6852"/>
        <w:gridCol w:w="2962"/>
      </w:tblGrid>
      <w:tr w:rsidR="00A80767" w:rsidRPr="002A29BD" w14:paraId="4EFFE581" w14:textId="77777777" w:rsidTr="00826D53">
        <w:trPr>
          <w:trHeight w:val="282"/>
        </w:trPr>
        <w:tc>
          <w:tcPr>
            <w:tcW w:w="500" w:type="dxa"/>
            <w:vMerge w:val="restart"/>
            <w:tcBorders>
              <w:bottom w:val="nil"/>
            </w:tcBorders>
            <w:textDirection w:val="btLr"/>
          </w:tcPr>
          <w:p w14:paraId="6478D757" w14:textId="77777777" w:rsidR="00A80767" w:rsidRPr="002A29BD" w:rsidRDefault="00F075C1" w:rsidP="00826D53">
            <w:pPr>
              <w:tabs>
                <w:tab w:val="clear" w:pos="1134"/>
                <w:tab w:val="left" w:pos="6946"/>
              </w:tabs>
              <w:suppressAutoHyphens/>
              <w:spacing w:after="120" w:line="252" w:lineRule="auto"/>
              <w:ind w:left="175" w:right="113"/>
              <w:jc w:val="right"/>
              <w:rPr>
                <w:color w:val="365F91" w:themeColor="accent1" w:themeShade="BF"/>
                <w:sz w:val="12"/>
                <w:szCs w:val="12"/>
                <w:lang w:val="es-419" w:eastAsia="zh-CN"/>
              </w:rPr>
            </w:pPr>
            <w:r w:rsidRPr="002A29BD">
              <w:rPr>
                <w:color w:val="365F91" w:themeColor="accent1" w:themeShade="BF"/>
                <w:sz w:val="10"/>
                <w:szCs w:val="10"/>
                <w:lang w:val="es-419" w:eastAsia="zh-CN"/>
              </w:rPr>
              <w:t>T</w:t>
            </w:r>
            <w:r w:rsidR="002A29BD">
              <w:rPr>
                <w:color w:val="365F91" w:themeColor="accent1" w:themeShade="BF"/>
                <w:sz w:val="10"/>
                <w:szCs w:val="10"/>
                <w:lang w:val="es-419" w:eastAsia="zh-CN"/>
              </w:rPr>
              <w:t>I</w:t>
            </w:r>
            <w:r w:rsidRPr="002A29BD">
              <w:rPr>
                <w:color w:val="365F91" w:themeColor="accent1" w:themeShade="BF"/>
                <w:sz w:val="10"/>
                <w:szCs w:val="10"/>
                <w:lang w:val="es-419" w:eastAsia="zh-CN"/>
              </w:rPr>
              <w:t>EMP</w:t>
            </w:r>
            <w:r w:rsidR="00472D8C" w:rsidRPr="002A29BD">
              <w:rPr>
                <w:color w:val="365F91" w:themeColor="accent1" w:themeShade="BF"/>
                <w:sz w:val="10"/>
                <w:szCs w:val="10"/>
                <w:lang w:val="es-419" w:eastAsia="zh-CN"/>
              </w:rPr>
              <w:t>O</w:t>
            </w:r>
            <w:r w:rsidRPr="002A29BD">
              <w:rPr>
                <w:color w:val="365F91" w:themeColor="accent1" w:themeShade="BF"/>
                <w:sz w:val="10"/>
                <w:szCs w:val="10"/>
                <w:lang w:val="es-419" w:eastAsia="zh-CN"/>
              </w:rPr>
              <w:t xml:space="preserve"> CLIMA </w:t>
            </w:r>
            <w:r w:rsidR="00472D8C" w:rsidRPr="002A29BD">
              <w:rPr>
                <w:color w:val="365F91" w:themeColor="accent1" w:themeShade="BF"/>
                <w:sz w:val="10"/>
                <w:szCs w:val="10"/>
                <w:lang w:val="es-419" w:eastAsia="zh-CN"/>
              </w:rPr>
              <w:t>AGUA</w:t>
            </w:r>
          </w:p>
        </w:tc>
        <w:tc>
          <w:tcPr>
            <w:tcW w:w="6852" w:type="dxa"/>
            <w:vMerge w:val="restart"/>
          </w:tcPr>
          <w:p w14:paraId="0AEA20EA" w14:textId="77777777" w:rsidR="00A80767" w:rsidRPr="002A29BD" w:rsidRDefault="005E6AA1" w:rsidP="00826D53">
            <w:pPr>
              <w:tabs>
                <w:tab w:val="left" w:pos="6946"/>
              </w:tabs>
              <w:suppressAutoHyphens/>
              <w:spacing w:after="120" w:line="252" w:lineRule="auto"/>
              <w:ind w:left="1134"/>
              <w:jc w:val="left"/>
              <w:rPr>
                <w:rFonts w:cs="Tahoma"/>
                <w:b/>
                <w:bCs/>
                <w:color w:val="365F91" w:themeColor="accent1" w:themeShade="BF"/>
                <w:szCs w:val="22"/>
                <w:lang w:val="es-419"/>
              </w:rPr>
            </w:pPr>
            <w:r w:rsidRPr="002A29BD">
              <w:rPr>
                <w:rFonts w:cs="Tahoma"/>
                <w:b/>
                <w:bCs/>
                <w:color w:val="365F91" w:themeColor="accent1" w:themeShade="BF"/>
                <w:szCs w:val="22"/>
                <w:lang w:val="es-419"/>
              </w:rPr>
              <w:t>Organi</w:t>
            </w:r>
            <w:r w:rsidR="003D423B" w:rsidRPr="002A29BD">
              <w:rPr>
                <w:rFonts w:cs="Tahoma"/>
                <w:b/>
                <w:bCs/>
                <w:color w:val="365F91" w:themeColor="accent1" w:themeShade="BF"/>
                <w:szCs w:val="22"/>
                <w:lang w:val="es-419"/>
              </w:rPr>
              <w:t>zación</w:t>
            </w:r>
            <w:r w:rsidRPr="002A29BD">
              <w:rPr>
                <w:rFonts w:cs="Tahoma"/>
                <w:b/>
                <w:bCs/>
                <w:color w:val="365F91" w:themeColor="accent1" w:themeShade="BF"/>
                <w:szCs w:val="22"/>
                <w:lang w:val="es-419"/>
              </w:rPr>
              <w:t xml:space="preserve"> </w:t>
            </w:r>
            <w:r w:rsidR="00472D8C" w:rsidRPr="002A29BD">
              <w:rPr>
                <w:rFonts w:cs="Tahoma"/>
                <w:b/>
                <w:bCs/>
                <w:color w:val="365F91" w:themeColor="accent1" w:themeShade="BF"/>
                <w:szCs w:val="22"/>
                <w:lang w:val="es-419"/>
              </w:rPr>
              <w:t>M</w:t>
            </w:r>
            <w:r w:rsidR="003D423B" w:rsidRPr="002A29BD">
              <w:rPr>
                <w:rFonts w:cs="Tahoma"/>
                <w:b/>
                <w:bCs/>
                <w:color w:val="365F91" w:themeColor="accent1" w:themeShade="BF"/>
                <w:szCs w:val="22"/>
                <w:lang w:val="es-419"/>
              </w:rPr>
              <w:t xml:space="preserve">eteorológica </w:t>
            </w:r>
            <w:r w:rsidR="00472D8C" w:rsidRPr="002A29BD">
              <w:rPr>
                <w:rFonts w:cs="Tahoma"/>
                <w:b/>
                <w:bCs/>
                <w:color w:val="365F91" w:themeColor="accent1" w:themeShade="BF"/>
                <w:szCs w:val="22"/>
                <w:lang w:val="es-419"/>
              </w:rPr>
              <w:t>M</w:t>
            </w:r>
            <w:r w:rsidR="003D423B" w:rsidRPr="002A29BD">
              <w:rPr>
                <w:rFonts w:cs="Tahoma"/>
                <w:b/>
                <w:bCs/>
                <w:color w:val="365F91" w:themeColor="accent1" w:themeShade="BF"/>
                <w:szCs w:val="22"/>
                <w:lang w:val="es-419"/>
              </w:rPr>
              <w:t>undial</w:t>
            </w:r>
            <w:r w:rsidR="00A80767" w:rsidRPr="002A29BD">
              <w:rPr>
                <w:noProof/>
                <w:color w:val="365F91" w:themeColor="accent1" w:themeShade="BF"/>
                <w:szCs w:val="22"/>
                <w:lang w:val="es-419" w:eastAsia="zh-CN"/>
              </w:rPr>
              <w:drawing>
                <wp:anchor distT="0" distB="0" distL="114300" distR="114300" simplePos="0" relativeHeight="251659264" behindDoc="1" locked="1" layoutInCell="1" allowOverlap="1" wp14:anchorId="4C88232E" wp14:editId="1DBA6E96">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FD7198" w14:textId="77777777" w:rsidR="00A80767" w:rsidRPr="002A29BD" w:rsidRDefault="008C11BE" w:rsidP="00826D53">
            <w:pPr>
              <w:tabs>
                <w:tab w:val="left" w:pos="6946"/>
              </w:tabs>
              <w:suppressAutoHyphens/>
              <w:spacing w:after="120" w:line="252" w:lineRule="auto"/>
              <w:ind w:left="1134"/>
              <w:jc w:val="left"/>
              <w:rPr>
                <w:rFonts w:cs="Tahoma"/>
                <w:b/>
                <w:color w:val="365F91" w:themeColor="accent1" w:themeShade="BF"/>
                <w:spacing w:val="-2"/>
                <w:szCs w:val="22"/>
                <w:lang w:val="es-419"/>
              </w:rPr>
            </w:pPr>
            <w:r w:rsidRPr="002A29BD">
              <w:rPr>
                <w:rFonts w:cs="Tahoma"/>
                <w:b/>
                <w:color w:val="365F91" w:themeColor="accent1" w:themeShade="BF"/>
                <w:spacing w:val="-2"/>
                <w:szCs w:val="22"/>
                <w:lang w:val="es-419"/>
              </w:rPr>
              <w:t>ASOCIACIÓN REGIONAL</w:t>
            </w:r>
            <w:r w:rsidR="00BF2233" w:rsidRPr="002A29BD">
              <w:rPr>
                <w:rFonts w:cs="Tahoma"/>
                <w:b/>
                <w:color w:val="365F91" w:themeColor="accent1" w:themeShade="BF"/>
                <w:spacing w:val="-2"/>
                <w:szCs w:val="22"/>
                <w:lang w:val="es-419"/>
              </w:rPr>
              <w:t xml:space="preserve"> </w:t>
            </w:r>
            <w:r w:rsidR="00B24C31" w:rsidRPr="002A29BD">
              <w:rPr>
                <w:rFonts w:cs="Tahoma"/>
                <w:b/>
                <w:color w:val="365F91" w:themeColor="accent1" w:themeShade="BF"/>
                <w:spacing w:val="-2"/>
                <w:szCs w:val="22"/>
                <w:lang w:val="es-419"/>
              </w:rPr>
              <w:t>V</w:t>
            </w:r>
            <w:r w:rsidR="00FD0351" w:rsidRPr="002A29BD">
              <w:rPr>
                <w:rFonts w:cs="Tahoma"/>
                <w:b/>
                <w:color w:val="365F91" w:themeColor="accent1" w:themeShade="BF"/>
                <w:spacing w:val="-2"/>
                <w:szCs w:val="22"/>
                <w:lang w:val="es-419"/>
              </w:rPr>
              <w:t>I (</w:t>
            </w:r>
            <w:r w:rsidR="00B24C31" w:rsidRPr="002A29BD">
              <w:rPr>
                <w:rFonts w:cs="Tahoma"/>
                <w:b/>
                <w:color w:val="365F91" w:themeColor="accent1" w:themeShade="BF"/>
                <w:spacing w:val="-2"/>
                <w:szCs w:val="22"/>
                <w:lang w:val="es-419"/>
              </w:rPr>
              <w:t>EUROPA</w:t>
            </w:r>
            <w:r w:rsidR="00FD0351" w:rsidRPr="002A29BD">
              <w:rPr>
                <w:rFonts w:cs="Tahoma"/>
                <w:b/>
                <w:color w:val="365F91" w:themeColor="accent1" w:themeShade="BF"/>
                <w:spacing w:val="-2"/>
                <w:szCs w:val="22"/>
                <w:lang w:val="es-419"/>
              </w:rPr>
              <w:t>)</w:t>
            </w:r>
          </w:p>
          <w:p w14:paraId="5FFBC416" w14:textId="77777777" w:rsidR="00A80767" w:rsidRPr="002A29BD" w:rsidRDefault="00751667" w:rsidP="00826D53">
            <w:pPr>
              <w:tabs>
                <w:tab w:val="left" w:pos="6946"/>
              </w:tabs>
              <w:suppressAutoHyphens/>
              <w:spacing w:after="120" w:line="252" w:lineRule="auto"/>
              <w:ind w:left="1134"/>
              <w:jc w:val="left"/>
              <w:rPr>
                <w:rFonts w:cs="Tahoma"/>
                <w:b/>
                <w:bCs/>
                <w:color w:val="365F91" w:themeColor="accent1" w:themeShade="BF"/>
                <w:szCs w:val="22"/>
                <w:lang w:val="es-419"/>
              </w:rPr>
            </w:pPr>
            <w:r w:rsidRPr="002A29BD">
              <w:rPr>
                <w:rFonts w:cstheme="minorBidi"/>
                <w:b/>
                <w:snapToGrid w:val="0"/>
                <w:color w:val="365F91" w:themeColor="accent1" w:themeShade="BF"/>
                <w:szCs w:val="22"/>
                <w:lang w:val="es-419"/>
              </w:rPr>
              <w:t>D</w:t>
            </w:r>
            <w:r w:rsidR="00BF2233" w:rsidRPr="002A29BD">
              <w:rPr>
                <w:rFonts w:cstheme="minorBidi"/>
                <w:b/>
                <w:snapToGrid w:val="0"/>
                <w:color w:val="365F91" w:themeColor="accent1" w:themeShade="BF"/>
                <w:szCs w:val="22"/>
                <w:lang w:val="es-419"/>
              </w:rPr>
              <w:t>ecimonovena reunión</w:t>
            </w:r>
            <w:r w:rsidR="00EA6A2D" w:rsidRPr="002A29BD">
              <w:rPr>
                <w:rFonts w:cstheme="minorBidi"/>
                <w:b/>
                <w:snapToGrid w:val="0"/>
                <w:color w:val="365F91" w:themeColor="accent1" w:themeShade="BF"/>
                <w:szCs w:val="22"/>
                <w:lang w:val="es-419"/>
              </w:rPr>
              <w:t xml:space="preserve"> (</w:t>
            </w:r>
            <w:r w:rsidR="008C11BE" w:rsidRPr="002A29BD">
              <w:rPr>
                <w:rFonts w:cstheme="minorBidi"/>
                <w:b/>
                <w:snapToGrid w:val="0"/>
                <w:color w:val="365F91" w:themeColor="accent1" w:themeShade="BF"/>
                <w:szCs w:val="22"/>
                <w:lang w:val="es-419"/>
              </w:rPr>
              <w:t xml:space="preserve">primera </w:t>
            </w:r>
            <w:r w:rsidR="00BF2233" w:rsidRPr="002A29BD">
              <w:rPr>
                <w:rFonts w:cstheme="minorBidi"/>
                <w:b/>
                <w:snapToGrid w:val="0"/>
                <w:color w:val="365F91" w:themeColor="accent1" w:themeShade="BF"/>
                <w:szCs w:val="22"/>
                <w:lang w:val="es-419"/>
              </w:rPr>
              <w:t>fa</w:t>
            </w:r>
            <w:r w:rsidR="00EA6A2D" w:rsidRPr="002A29BD">
              <w:rPr>
                <w:rFonts w:cstheme="minorBidi"/>
                <w:b/>
                <w:snapToGrid w:val="0"/>
                <w:color w:val="365F91" w:themeColor="accent1" w:themeShade="BF"/>
                <w:szCs w:val="22"/>
                <w:lang w:val="es-419"/>
              </w:rPr>
              <w:t>se)</w:t>
            </w:r>
            <w:r w:rsidR="00A80767" w:rsidRPr="002A29BD">
              <w:rPr>
                <w:rFonts w:cstheme="minorBidi"/>
                <w:b/>
                <w:snapToGrid w:val="0"/>
                <w:color w:val="365F91" w:themeColor="accent1" w:themeShade="BF"/>
                <w:szCs w:val="22"/>
                <w:lang w:val="es-419"/>
              </w:rPr>
              <w:br/>
            </w:r>
            <w:r w:rsidR="008C11BE" w:rsidRPr="002A29BD">
              <w:rPr>
                <w:snapToGrid w:val="0"/>
                <w:color w:val="365F91" w:themeColor="accent1" w:themeShade="BF"/>
                <w:szCs w:val="22"/>
                <w:lang w:val="es-419"/>
              </w:rPr>
              <w:t xml:space="preserve">Reunión virtual, </w:t>
            </w:r>
            <w:r w:rsidR="00FC2996" w:rsidRPr="002A29BD">
              <w:rPr>
                <w:snapToGrid w:val="0"/>
                <w:color w:val="365F91" w:themeColor="accent1" w:themeShade="BF"/>
                <w:szCs w:val="22"/>
                <w:lang w:val="es-419"/>
              </w:rPr>
              <w:t>1</w:t>
            </w:r>
            <w:r w:rsidR="00B24C31" w:rsidRPr="002A29BD">
              <w:rPr>
                <w:snapToGrid w:val="0"/>
                <w:color w:val="365F91" w:themeColor="accent1" w:themeShade="BF"/>
                <w:szCs w:val="22"/>
                <w:lang w:val="es-419"/>
              </w:rPr>
              <w:t>5</w:t>
            </w:r>
            <w:r w:rsidR="00BF2233" w:rsidRPr="002A29BD">
              <w:rPr>
                <w:snapToGrid w:val="0"/>
                <w:color w:val="365F91" w:themeColor="accent1" w:themeShade="BF"/>
                <w:szCs w:val="22"/>
                <w:lang w:val="es-419"/>
              </w:rPr>
              <w:t xml:space="preserve"> </w:t>
            </w:r>
            <w:r w:rsidR="00B24C31" w:rsidRPr="002A29BD">
              <w:rPr>
                <w:snapToGrid w:val="0"/>
                <w:color w:val="365F91" w:themeColor="accent1" w:themeShade="BF"/>
                <w:szCs w:val="22"/>
                <w:lang w:val="es-419"/>
              </w:rPr>
              <w:t>y</w:t>
            </w:r>
            <w:r w:rsidR="00BF2233" w:rsidRPr="002A29BD">
              <w:rPr>
                <w:snapToGrid w:val="0"/>
                <w:color w:val="365F91" w:themeColor="accent1" w:themeShade="BF"/>
                <w:szCs w:val="22"/>
                <w:lang w:val="es-419"/>
              </w:rPr>
              <w:t xml:space="preserve"> </w:t>
            </w:r>
            <w:r w:rsidR="00FC2996" w:rsidRPr="002A29BD">
              <w:rPr>
                <w:snapToGrid w:val="0"/>
                <w:color w:val="365F91" w:themeColor="accent1" w:themeShade="BF"/>
                <w:szCs w:val="22"/>
                <w:lang w:val="es-419"/>
              </w:rPr>
              <w:t>1</w:t>
            </w:r>
            <w:r w:rsidR="00B24C31" w:rsidRPr="002A29BD">
              <w:rPr>
                <w:snapToGrid w:val="0"/>
                <w:color w:val="365F91" w:themeColor="accent1" w:themeShade="BF"/>
                <w:szCs w:val="22"/>
                <w:lang w:val="es-419"/>
              </w:rPr>
              <w:t>6</w:t>
            </w:r>
            <w:r w:rsidR="00FC2996" w:rsidRPr="002A29BD">
              <w:rPr>
                <w:snapToGrid w:val="0"/>
                <w:color w:val="365F91" w:themeColor="accent1" w:themeShade="BF"/>
                <w:szCs w:val="22"/>
                <w:lang w:val="es-419"/>
              </w:rPr>
              <w:t xml:space="preserve"> </w:t>
            </w:r>
            <w:r w:rsidR="00BF2233" w:rsidRPr="002A29BD">
              <w:rPr>
                <w:snapToGrid w:val="0"/>
                <w:color w:val="365F91" w:themeColor="accent1" w:themeShade="BF"/>
                <w:szCs w:val="22"/>
                <w:lang w:val="es-419"/>
              </w:rPr>
              <w:t xml:space="preserve">de </w:t>
            </w:r>
            <w:r w:rsidR="00B24C31" w:rsidRPr="002A29BD">
              <w:rPr>
                <w:snapToGrid w:val="0"/>
                <w:color w:val="365F91" w:themeColor="accent1" w:themeShade="BF"/>
                <w:szCs w:val="22"/>
                <w:lang w:val="es-419"/>
              </w:rPr>
              <w:t xml:space="preserve">octubre de </w:t>
            </w:r>
            <w:r w:rsidR="00EA6A2D" w:rsidRPr="002A29BD">
              <w:rPr>
                <w:snapToGrid w:val="0"/>
                <w:color w:val="365F91" w:themeColor="accent1" w:themeShade="BF"/>
                <w:szCs w:val="22"/>
                <w:lang w:val="es-419"/>
              </w:rPr>
              <w:t>2024</w:t>
            </w:r>
          </w:p>
        </w:tc>
        <w:tc>
          <w:tcPr>
            <w:tcW w:w="2962" w:type="dxa"/>
          </w:tcPr>
          <w:p w14:paraId="589E6119" w14:textId="7716FC7B" w:rsidR="00A80767" w:rsidRPr="004E2350" w:rsidRDefault="0069167A" w:rsidP="00826D53">
            <w:pPr>
              <w:tabs>
                <w:tab w:val="clear" w:pos="1134"/>
              </w:tabs>
              <w:spacing w:after="60"/>
              <w:ind w:right="-108"/>
              <w:jc w:val="right"/>
              <w:rPr>
                <w:rFonts w:cs="Tahoma"/>
                <w:b/>
                <w:bCs/>
                <w:color w:val="365F91" w:themeColor="accent1" w:themeShade="BF"/>
                <w:szCs w:val="22"/>
                <w:lang w:val="en-US"/>
              </w:rPr>
            </w:pPr>
            <w:r w:rsidRPr="004E2350">
              <w:rPr>
                <w:rFonts w:cs="Tahoma"/>
                <w:b/>
                <w:bCs/>
                <w:color w:val="365F91" w:themeColor="accent1" w:themeShade="BF"/>
                <w:szCs w:val="22"/>
                <w:lang w:val="en-US"/>
              </w:rPr>
              <w:t>AR</w:t>
            </w:r>
            <w:r w:rsidR="00FC2996" w:rsidRPr="004E2350">
              <w:rPr>
                <w:rFonts w:cs="Tahoma"/>
                <w:b/>
                <w:bCs/>
                <w:color w:val="365F91" w:themeColor="accent1" w:themeShade="BF"/>
                <w:szCs w:val="22"/>
                <w:lang w:val="en-US"/>
              </w:rPr>
              <w:t xml:space="preserve"> </w:t>
            </w:r>
            <w:r w:rsidR="00B24C31" w:rsidRPr="004E2350">
              <w:rPr>
                <w:rFonts w:cs="Tahoma"/>
                <w:b/>
                <w:bCs/>
                <w:color w:val="365F91" w:themeColor="accent1" w:themeShade="BF"/>
                <w:szCs w:val="22"/>
                <w:lang w:val="en-US"/>
              </w:rPr>
              <w:t>V</w:t>
            </w:r>
            <w:r w:rsidR="00FC2996" w:rsidRPr="004E2350">
              <w:rPr>
                <w:rFonts w:cs="Tahoma"/>
                <w:b/>
                <w:bCs/>
                <w:color w:val="365F91" w:themeColor="accent1" w:themeShade="BF"/>
                <w:szCs w:val="22"/>
                <w:lang w:val="en-US"/>
              </w:rPr>
              <w:t>I</w:t>
            </w:r>
            <w:r w:rsidR="002A29BD" w:rsidRPr="004E2350">
              <w:rPr>
                <w:rFonts w:cs="Tahoma"/>
                <w:b/>
                <w:bCs/>
                <w:color w:val="365F91" w:themeColor="accent1" w:themeShade="BF"/>
                <w:szCs w:val="22"/>
                <w:lang w:val="en-US"/>
              </w:rPr>
              <w:t>-</w:t>
            </w:r>
            <w:r w:rsidR="00FC2996" w:rsidRPr="004E2350">
              <w:rPr>
                <w:rFonts w:cs="Tahoma"/>
                <w:b/>
                <w:bCs/>
                <w:color w:val="365F91" w:themeColor="accent1" w:themeShade="BF"/>
                <w:szCs w:val="22"/>
                <w:lang w:val="en-US"/>
              </w:rPr>
              <w:t>1</w:t>
            </w:r>
            <w:r w:rsidR="00EA6A2D" w:rsidRPr="004E2350">
              <w:rPr>
                <w:rFonts w:cs="Tahoma"/>
                <w:b/>
                <w:bCs/>
                <w:color w:val="365F91" w:themeColor="accent1" w:themeShade="BF"/>
                <w:szCs w:val="22"/>
                <w:lang w:val="en-US"/>
              </w:rPr>
              <w:t>9(I)</w:t>
            </w:r>
            <w:r w:rsidR="00FC2996" w:rsidRPr="004E2350">
              <w:rPr>
                <w:rFonts w:cs="Tahoma"/>
                <w:b/>
                <w:bCs/>
                <w:color w:val="365F91" w:themeColor="accent1" w:themeShade="BF"/>
                <w:szCs w:val="22"/>
                <w:lang w:val="en-US"/>
              </w:rPr>
              <w:t>/</w:t>
            </w:r>
            <w:r w:rsidR="004E2350">
              <w:rPr>
                <w:rFonts w:cs="Tahoma"/>
                <w:b/>
                <w:bCs/>
                <w:color w:val="365F91" w:themeColor="accent1" w:themeShade="BF"/>
                <w:szCs w:val="22"/>
                <w:lang w:val="en-US"/>
              </w:rPr>
              <w:t>INF</w:t>
            </w:r>
            <w:r w:rsidR="00FC2996" w:rsidRPr="004E2350">
              <w:rPr>
                <w:rFonts w:cs="Tahoma"/>
                <w:b/>
                <w:bCs/>
                <w:color w:val="365F91" w:themeColor="accent1" w:themeShade="BF"/>
                <w:szCs w:val="22"/>
                <w:lang w:val="en-US"/>
              </w:rPr>
              <w:t xml:space="preserve">. </w:t>
            </w:r>
            <w:r w:rsidR="004E2350">
              <w:rPr>
                <w:rFonts w:cs="Tahoma"/>
                <w:b/>
                <w:bCs/>
                <w:color w:val="365F91" w:themeColor="accent1" w:themeShade="BF"/>
                <w:szCs w:val="22"/>
                <w:lang w:val="en-US"/>
              </w:rPr>
              <w:t>3.3.1</w:t>
            </w:r>
          </w:p>
        </w:tc>
      </w:tr>
      <w:tr w:rsidR="00A80767" w:rsidRPr="002A29BD" w14:paraId="7516CC6B" w14:textId="77777777" w:rsidTr="00826D53">
        <w:trPr>
          <w:trHeight w:val="730"/>
        </w:trPr>
        <w:tc>
          <w:tcPr>
            <w:tcW w:w="500" w:type="dxa"/>
            <w:vMerge/>
            <w:tcBorders>
              <w:bottom w:val="nil"/>
            </w:tcBorders>
          </w:tcPr>
          <w:p w14:paraId="4A147582" w14:textId="77777777" w:rsidR="00A80767" w:rsidRPr="004E2350" w:rsidRDefault="00A80767" w:rsidP="00826D53">
            <w:pPr>
              <w:tabs>
                <w:tab w:val="left" w:pos="6946"/>
              </w:tabs>
              <w:suppressAutoHyphens/>
              <w:spacing w:after="120" w:line="252" w:lineRule="auto"/>
              <w:ind w:left="1134"/>
              <w:jc w:val="left"/>
              <w:rPr>
                <w:color w:val="365F91" w:themeColor="accent1" w:themeShade="BF"/>
                <w:szCs w:val="22"/>
                <w:lang w:val="en-US" w:eastAsia="zh-CN"/>
              </w:rPr>
            </w:pPr>
          </w:p>
        </w:tc>
        <w:tc>
          <w:tcPr>
            <w:tcW w:w="6852" w:type="dxa"/>
            <w:vMerge/>
          </w:tcPr>
          <w:p w14:paraId="0DECC86F" w14:textId="77777777" w:rsidR="00A80767" w:rsidRPr="004E2350" w:rsidRDefault="00A80767" w:rsidP="00826D53">
            <w:pPr>
              <w:tabs>
                <w:tab w:val="left" w:pos="6946"/>
              </w:tabs>
              <w:suppressAutoHyphens/>
              <w:spacing w:after="120" w:line="252" w:lineRule="auto"/>
              <w:ind w:left="1134"/>
              <w:jc w:val="left"/>
              <w:rPr>
                <w:color w:val="365F91" w:themeColor="accent1" w:themeShade="BF"/>
                <w:szCs w:val="22"/>
                <w:lang w:val="en-US" w:eastAsia="zh-CN"/>
              </w:rPr>
            </w:pPr>
          </w:p>
        </w:tc>
        <w:tc>
          <w:tcPr>
            <w:tcW w:w="2962" w:type="dxa"/>
          </w:tcPr>
          <w:p w14:paraId="4FD1F362" w14:textId="77777777" w:rsidR="00A80767" w:rsidRPr="004E2350" w:rsidRDefault="00347201" w:rsidP="00826D53">
            <w:pPr>
              <w:tabs>
                <w:tab w:val="clear" w:pos="1134"/>
              </w:tabs>
              <w:spacing w:before="120" w:after="60"/>
              <w:ind w:right="-108"/>
              <w:jc w:val="right"/>
              <w:rPr>
                <w:rFonts w:cs="Tahoma"/>
                <w:color w:val="365F91" w:themeColor="accent1" w:themeShade="BF"/>
                <w:szCs w:val="22"/>
                <w:lang w:val="es-419"/>
              </w:rPr>
            </w:pPr>
            <w:r w:rsidRPr="004E2350">
              <w:rPr>
                <w:rFonts w:cs="Tahoma"/>
                <w:color w:val="365F91" w:themeColor="accent1" w:themeShade="BF"/>
                <w:szCs w:val="22"/>
                <w:lang w:val="es-419"/>
              </w:rPr>
              <w:t>Pr</w:t>
            </w:r>
            <w:r w:rsidR="00BF2233" w:rsidRPr="004E2350">
              <w:rPr>
                <w:rFonts w:cs="Tahoma"/>
                <w:color w:val="365F91" w:themeColor="accent1" w:themeShade="BF"/>
                <w:szCs w:val="22"/>
                <w:lang w:val="es-419"/>
              </w:rPr>
              <w:t>esentado por</w:t>
            </w:r>
            <w:r w:rsidRPr="004E2350">
              <w:rPr>
                <w:rFonts w:cs="Tahoma"/>
                <w:color w:val="365F91" w:themeColor="accent1" w:themeShade="BF"/>
                <w:szCs w:val="22"/>
                <w:lang w:val="es-419"/>
              </w:rPr>
              <w:t>:</w:t>
            </w:r>
            <w:r w:rsidR="00A80767" w:rsidRPr="004E2350">
              <w:rPr>
                <w:rFonts w:cs="Tahoma"/>
                <w:color w:val="365F91" w:themeColor="accent1" w:themeShade="BF"/>
                <w:szCs w:val="22"/>
                <w:lang w:val="es-419"/>
              </w:rPr>
              <w:br/>
            </w:r>
            <w:r w:rsidR="00B24C31" w:rsidRPr="004E2350">
              <w:rPr>
                <w:rFonts w:cs="Tahoma"/>
                <w:color w:val="365F91" w:themeColor="accent1" w:themeShade="BF"/>
                <w:szCs w:val="22"/>
                <w:lang w:val="es-419"/>
              </w:rPr>
              <w:t>presidenta de la AR VI</w:t>
            </w:r>
          </w:p>
          <w:p w14:paraId="4472E51F" w14:textId="3F7CD386" w:rsidR="00A80767" w:rsidRPr="002A29BD" w:rsidRDefault="004E2350" w:rsidP="00826D53">
            <w:pPr>
              <w:tabs>
                <w:tab w:val="clear" w:pos="1134"/>
              </w:tabs>
              <w:spacing w:before="120" w:after="60"/>
              <w:ind w:right="-108"/>
              <w:jc w:val="right"/>
              <w:rPr>
                <w:rFonts w:cs="Tahoma"/>
                <w:color w:val="365F91" w:themeColor="accent1" w:themeShade="BF"/>
                <w:szCs w:val="22"/>
                <w:highlight w:val="lightGray"/>
                <w:lang w:val="es-419"/>
              </w:rPr>
            </w:pPr>
            <w:r w:rsidRPr="004E2350">
              <w:rPr>
                <w:rFonts w:cs="Tahoma"/>
                <w:color w:val="365F91" w:themeColor="accent1" w:themeShade="BF"/>
                <w:szCs w:val="22"/>
                <w:lang w:val="es-419"/>
              </w:rPr>
              <w:t>12</w:t>
            </w:r>
            <w:r w:rsidR="00FC2996" w:rsidRPr="004E2350">
              <w:rPr>
                <w:rFonts w:cs="Tahoma"/>
                <w:color w:val="365F91" w:themeColor="accent1" w:themeShade="BF"/>
                <w:szCs w:val="22"/>
                <w:lang w:val="es-419"/>
              </w:rPr>
              <w:t>.</w:t>
            </w:r>
            <w:r w:rsidRPr="004E2350">
              <w:rPr>
                <w:rFonts w:cs="Tahoma"/>
                <w:color w:val="365F91" w:themeColor="accent1" w:themeShade="BF"/>
                <w:szCs w:val="22"/>
                <w:lang w:val="es-419"/>
              </w:rPr>
              <w:t>I</w:t>
            </w:r>
            <w:r w:rsidR="00740EE4" w:rsidRPr="004E2350">
              <w:rPr>
                <w:rFonts w:cs="Tahoma"/>
                <w:color w:val="365F91" w:themeColor="accent1" w:themeShade="BF"/>
                <w:szCs w:val="22"/>
                <w:lang w:val="es-419"/>
              </w:rPr>
              <w:t>X</w:t>
            </w:r>
            <w:r w:rsidR="00FC2996" w:rsidRPr="004E2350">
              <w:rPr>
                <w:rFonts w:cs="Tahoma"/>
                <w:color w:val="365F91" w:themeColor="accent1" w:themeShade="BF"/>
                <w:szCs w:val="22"/>
                <w:lang w:val="es-419"/>
              </w:rPr>
              <w:t>.202</w:t>
            </w:r>
            <w:r w:rsidR="00EA6A2D" w:rsidRPr="004E2350">
              <w:rPr>
                <w:rFonts w:cs="Tahoma"/>
                <w:color w:val="365F91" w:themeColor="accent1" w:themeShade="BF"/>
                <w:szCs w:val="22"/>
                <w:lang w:val="es-419"/>
              </w:rPr>
              <w:t>4</w:t>
            </w:r>
          </w:p>
          <w:p w14:paraId="06CCAD08" w14:textId="77777777" w:rsidR="00A80767" w:rsidRPr="002A29BD" w:rsidRDefault="00740EE4" w:rsidP="00826D53">
            <w:pPr>
              <w:tabs>
                <w:tab w:val="clear" w:pos="1134"/>
              </w:tabs>
              <w:spacing w:before="120" w:after="60"/>
              <w:ind w:right="-108"/>
              <w:jc w:val="right"/>
              <w:rPr>
                <w:rFonts w:cs="Tahoma"/>
                <w:b/>
                <w:bCs/>
                <w:color w:val="365F91" w:themeColor="accent1" w:themeShade="BF"/>
                <w:szCs w:val="22"/>
                <w:highlight w:val="lightGray"/>
                <w:lang w:val="es-419"/>
              </w:rPr>
            </w:pPr>
            <w:r w:rsidRPr="002A29BD">
              <w:rPr>
                <w:rFonts w:cs="Tahoma"/>
                <w:b/>
                <w:bCs/>
                <w:color w:val="365F91" w:themeColor="accent1" w:themeShade="BF"/>
                <w:szCs w:val="22"/>
                <w:lang w:val="es-419"/>
              </w:rPr>
              <w:t>VERSI</w:t>
            </w:r>
            <w:r w:rsidR="002A29BD" w:rsidRPr="002A29BD">
              <w:rPr>
                <w:rFonts w:cs="Tahoma"/>
                <w:b/>
                <w:bCs/>
                <w:color w:val="365F91" w:themeColor="accent1" w:themeShade="BF"/>
                <w:szCs w:val="22"/>
                <w:lang w:val="es-419"/>
              </w:rPr>
              <w:t>Ó</w:t>
            </w:r>
            <w:r w:rsidRPr="002A29BD">
              <w:rPr>
                <w:rFonts w:cs="Tahoma"/>
                <w:b/>
                <w:bCs/>
                <w:color w:val="365F91" w:themeColor="accent1" w:themeShade="BF"/>
                <w:szCs w:val="22"/>
                <w:lang w:val="es-419"/>
              </w:rPr>
              <w:t>N</w:t>
            </w:r>
            <w:r w:rsidR="00A80767" w:rsidRPr="002A29BD">
              <w:rPr>
                <w:rFonts w:cs="Tahoma"/>
                <w:b/>
                <w:bCs/>
                <w:color w:val="365F91" w:themeColor="accent1" w:themeShade="BF"/>
                <w:szCs w:val="22"/>
                <w:lang w:val="es-419"/>
              </w:rPr>
              <w:t xml:space="preserve"> 1</w:t>
            </w:r>
          </w:p>
        </w:tc>
      </w:tr>
    </w:tbl>
    <w:p w14:paraId="24A6B37B" w14:textId="6BEC7410" w:rsidR="004E2350" w:rsidRDefault="004E2350" w:rsidP="004E2350">
      <w:pPr>
        <w:rPr>
          <w:rFonts w:ascii="Calibri" w:hAnsi="Calibri" w:cs="Calibri"/>
          <w:i/>
          <w:iCs/>
          <w:color w:val="FF0000"/>
          <w:lang w:val="es-ES"/>
        </w:rPr>
      </w:pPr>
      <w:bookmarkStart w:id="0" w:name="_APPENDIX_A:_"/>
      <w:bookmarkEnd w:id="0"/>
      <w:r>
        <w:rPr>
          <w:rFonts w:ascii="Calibri" w:eastAsia="Calibri" w:hAnsi="Calibri" w:cs="Calibri"/>
          <w:i/>
          <w:iCs/>
          <w:color w:val="FF0000"/>
          <w:sz w:val="22"/>
          <w:szCs w:val="22"/>
          <w:lang w:val="es-ES"/>
        </w:rPr>
        <w:t xml:space="preserve">[El presente documento ha sido traducido para su comodidad empleando tecnologías de traducción automática sin posedición. </w:t>
      </w:r>
      <w:r>
        <w:rPr>
          <w:i/>
          <w:iCs/>
          <w:color w:val="FF0000"/>
          <w:lang w:val="es-ES"/>
        </w:rPr>
        <w:t>No se garantiza en modo alguno, ni de forma expresa ni implícita, su exactitud, fiabilidad o corrección. Toda discrepancia o diferencia que pudiera deberse a la traducción del contenido del documento original al español no será vinculante y no conllevará ninguna consecuencia jurídica a efectos de cumplimiento o aplicación, entre otros. Tenga en cuenta que determinados contenidos, como las imágenes, no pueden traducirse a causa de las limitaciones técnicas del sistema. Si tuviera alguna duda relacionada con la exactitud de la información de un documento traducido, sírvase consultar su versión oficial redactada en inglés.</w:t>
      </w:r>
      <w:r w:rsidR="001065E7">
        <w:rPr>
          <w:i/>
          <w:iCs/>
          <w:color w:val="FF0000"/>
          <w:lang w:val="es-ES"/>
        </w:rPr>
        <w:t>]</w:t>
      </w:r>
    </w:p>
    <w:p w14:paraId="2A404423" w14:textId="77777777" w:rsidR="004E2350" w:rsidRDefault="004E2350" w:rsidP="004E2350">
      <w:pPr>
        <w:pStyle w:val="Heading2"/>
        <w:rPr>
          <w:lang w:val="es-ES"/>
        </w:rPr>
      </w:pPr>
      <w:r>
        <w:rPr>
          <w:lang w:val="es-ES"/>
        </w:rPr>
        <w:t>PLAN REGIONAL DE EJECUCIÓN DEL WIGOS PARA LA ASOCIACIÓN REGIONAL IV</w:t>
      </w:r>
    </w:p>
    <w:p w14:paraId="7E82AD01" w14:textId="77777777" w:rsidR="004E2350" w:rsidRDefault="004E2350" w:rsidP="004E2350">
      <w:pPr>
        <w:pStyle w:val="Heading3"/>
        <w:numPr>
          <w:ilvl w:val="0"/>
          <w:numId w:val="46"/>
        </w:numPr>
        <w:tabs>
          <w:tab w:val="num" w:pos="644"/>
        </w:tabs>
        <w:ind w:left="0" w:firstLine="0"/>
      </w:pPr>
      <w:bookmarkStart w:id="1" w:name="_Hlk113628809"/>
      <w:r>
        <w:t>Introducción</w:t>
      </w:r>
    </w:p>
    <w:bookmarkEnd w:id="1"/>
    <w:p w14:paraId="76340BB3" w14:textId="77777777" w:rsidR="004E2350" w:rsidRDefault="004E2350" w:rsidP="004E2350">
      <w:pPr>
        <w:pStyle w:val="WMOBodyText"/>
        <w:spacing w:after="120"/>
        <w:rPr>
          <w:lang w:val="es-ES"/>
        </w:rPr>
      </w:pPr>
      <w:r>
        <w:rPr>
          <w:lang w:val="es-ES"/>
        </w:rPr>
        <w:t>El presente documento conceptual tiene por objeto describir los principios básicos y el enfoque para el establecimiento y el funcionamiento de los Centros Regionales de la Subdivisión del Sistema Mundial Integrado de Observación de la OMM (RWC) en la AR VI, incluidas sus funciones, la posible arquitectura y los Miembros afiliados a los distintos nodos de los RWC, los principios operativos, las repercusiones y los beneficios para los Miembros.</w:t>
      </w:r>
    </w:p>
    <w:p w14:paraId="45B1DA79" w14:textId="77777777" w:rsidR="004E2350" w:rsidRDefault="004E2350" w:rsidP="004E2350">
      <w:pPr>
        <w:pStyle w:val="Style1"/>
        <w:spacing w:before="240"/>
        <w:jc w:val="left"/>
        <w:rPr>
          <w:lang w:val="es-ES"/>
        </w:rPr>
      </w:pPr>
      <w:r>
        <w:rPr>
          <w:lang w:val="es-ES"/>
        </w:rPr>
        <w:t>Este documento conceptual estará sujeto a actualizaciones basadas en las experiencias de aplicación, los posibles cambios en las condiciones y las funciones realizadas, las intenciones de los Miembros (candidatos actuales y futuros) de acoger los RWC, así como las orientaciones y/o solicitudes de las entidades pertinentes de la AR VI, las aportaciones de los Miembros de la AR VI, del Grupo de trabajo de la AR VI sobre sistemas de observación, infraestructura e información (WG-INF), y las orientaciones y la asistencia de la Secretaría de la OMM.</w:t>
      </w:r>
    </w:p>
    <w:p w14:paraId="531724F4" w14:textId="77777777" w:rsidR="004E2350" w:rsidRDefault="004E2350" w:rsidP="004E2350">
      <w:pPr>
        <w:pStyle w:val="Style1"/>
        <w:spacing w:before="240"/>
        <w:jc w:val="left"/>
        <w:rPr>
          <w:lang w:val="es-ES"/>
        </w:rPr>
      </w:pPr>
      <w:r>
        <w:rPr>
          <w:lang w:val="es-ES"/>
        </w:rPr>
        <w:t>Este documento proporcionará orientación sobre el establecimiento de los CRR de la AR VI en modo piloto, sobre cómo llevar a cabo sus funciones y sobre cómo los Miembros deben responder de forma eficiente y cooperativa dentro de la AR VI en lo que respecta a las actividades relacionadas con los CRR.</w:t>
      </w:r>
    </w:p>
    <w:p w14:paraId="39F18C0B" w14:textId="77777777" w:rsidR="004E2350" w:rsidRDefault="004E2350" w:rsidP="004E2350">
      <w:pPr>
        <w:pStyle w:val="Heading3"/>
        <w:numPr>
          <w:ilvl w:val="0"/>
          <w:numId w:val="46"/>
        </w:numPr>
        <w:tabs>
          <w:tab w:val="num" w:pos="644"/>
        </w:tabs>
        <w:ind w:left="0" w:firstLine="0"/>
        <w:rPr>
          <w:rFonts w:cs="Times New Roman"/>
        </w:rPr>
      </w:pPr>
      <w:r>
        <w:rPr>
          <w:rFonts w:cs="Times New Roman"/>
        </w:rPr>
        <w:t>Antecedentes y fundamentos</w:t>
      </w:r>
    </w:p>
    <w:p w14:paraId="02964EF4" w14:textId="77777777" w:rsidR="004E2350" w:rsidRDefault="004E2350" w:rsidP="004E2350">
      <w:pPr>
        <w:pStyle w:val="Style1"/>
        <w:spacing w:before="240"/>
        <w:jc w:val="left"/>
        <w:rPr>
          <w:lang w:val="es-ES"/>
        </w:rPr>
      </w:pPr>
      <w:r>
        <w:rPr>
          <w:lang w:val="es-ES"/>
        </w:rPr>
        <w:t>El anterior Equipo de Trabajo sobre WIGOS (2015-2017) desarrolló un proyecto de demostración para probar las funciones del RWC como un "RWC en pocas palabras", en el que participaron Alemania, Türkiye, Bosnia y Herzegovina y Líbano, que trabajó en:</w:t>
      </w:r>
    </w:p>
    <w:p w14:paraId="5B5F88A8" w14:textId="77777777" w:rsidR="004E2350" w:rsidRDefault="004E2350" w:rsidP="004E2350">
      <w:pPr>
        <w:pStyle w:val="ListParagraph"/>
        <w:numPr>
          <w:ilvl w:val="0"/>
          <w:numId w:val="47"/>
        </w:numPr>
        <w:spacing w:before="240" w:after="120"/>
        <w:ind w:left="567" w:hanging="567"/>
        <w:rPr>
          <w:rFonts w:ascii="Verdana" w:hAnsi="Verdana" w:cs="Times New Roman"/>
          <w:sz w:val="20"/>
          <w:szCs w:val="20"/>
          <w:lang w:val="es-ES"/>
        </w:rPr>
      </w:pPr>
      <w:r>
        <w:rPr>
          <w:rFonts w:ascii="Verdana" w:hAnsi="Verdana"/>
          <w:sz w:val="20"/>
          <w:szCs w:val="20"/>
          <w:lang w:val="es-ES"/>
        </w:rPr>
        <w:t>Mejora de los metadatos de las estaciones RA VI de algunos países en OSCAR/Surface</w:t>
      </w:r>
    </w:p>
    <w:p w14:paraId="7B0A80B4" w14:textId="77777777" w:rsidR="004E2350" w:rsidRDefault="004E2350" w:rsidP="004E2350">
      <w:pPr>
        <w:pStyle w:val="ListParagraph"/>
        <w:numPr>
          <w:ilvl w:val="0"/>
          <w:numId w:val="47"/>
        </w:numPr>
        <w:spacing w:before="240" w:after="120"/>
        <w:ind w:left="567" w:hanging="567"/>
        <w:rPr>
          <w:rFonts w:ascii="Verdana" w:hAnsi="Verdana" w:cs="Times New Roman"/>
          <w:sz w:val="20"/>
          <w:szCs w:val="20"/>
          <w:lang w:val="es-ES"/>
        </w:rPr>
      </w:pPr>
      <w:r>
        <w:rPr>
          <w:rFonts w:ascii="Verdana" w:hAnsi="Verdana"/>
          <w:sz w:val="20"/>
          <w:szCs w:val="20"/>
          <w:lang w:val="es-ES"/>
        </w:rPr>
        <w:t>Mejora de la calidad de los datos de WIGOS utilizando el sistema de control de calidad de datos de WIGOS (WDQMS) y con el apoyo de la herramienta de control EUMETNET (portal EUMETNET Composite Observing System (EUCOS)).</w:t>
      </w:r>
    </w:p>
    <w:p w14:paraId="5CF86AE8" w14:textId="77777777" w:rsidR="004E2350" w:rsidRDefault="004E2350" w:rsidP="004E2350">
      <w:pPr>
        <w:pStyle w:val="Style1"/>
        <w:spacing w:before="240"/>
        <w:jc w:val="left"/>
        <w:rPr>
          <w:lang w:val="es-ES"/>
        </w:rPr>
      </w:pPr>
      <w:r>
        <w:rPr>
          <w:lang w:val="es-ES"/>
        </w:rPr>
        <w:lastRenderedPageBreak/>
        <w:t>En la Decimoséptima Sesión de la AR VI, celebrada del 7 al 9 de febrero de 2018, la Asociación Regional tomó algunas decisiones para el establecimiento de los CRR en la AR VI y solicitó al Grupo de Gestión que apoyara el establecimiento de los CRR.</w:t>
      </w:r>
    </w:p>
    <w:p w14:paraId="412A2750" w14:textId="77777777" w:rsidR="004E2350" w:rsidRDefault="004E2350" w:rsidP="004E2350">
      <w:pPr>
        <w:pStyle w:val="Style1"/>
        <w:spacing w:before="240"/>
        <w:jc w:val="left"/>
        <w:rPr>
          <w:lang w:val="es-ES"/>
        </w:rPr>
      </w:pPr>
      <w:r>
        <w:rPr>
          <w:lang w:val="es-ES"/>
        </w:rPr>
        <w:t>También se decidió aprobar el Observatorio de Seguimiento de EUCOS (actualmente situado en Deutscher Wetterdienst en Offenbach am Main), operado bajo la Gestión del Programa de Observaciones de EUMETNET, como Centro Regional WIGOS (RWC) para la Región VI, con la responsabilidad de operar un Portal de Seguimiento de la Calidad automatizado basado en la web para mostrar las estadísticas de seguimiento de la calidad de los datos para l</w:t>
      </w:r>
      <w:r>
        <w:rPr>
          <w:rStyle w:val="FootnoteReference"/>
          <w:rFonts w:cs="Times New Roman"/>
          <w:lang w:val="es-ES"/>
        </w:rPr>
        <w:footnoteReference w:id="2"/>
      </w:r>
      <w:r>
        <w:rPr>
          <w:lang w:val="es-ES"/>
        </w:rPr>
        <w:t>os Miembros de EUMETNET, accesible a todos los Miembros de la Región VI.</w:t>
      </w:r>
    </w:p>
    <w:p w14:paraId="09330A86" w14:textId="77777777" w:rsidR="004E2350" w:rsidRDefault="004E2350" w:rsidP="004E2350">
      <w:pPr>
        <w:pStyle w:val="Heading3"/>
        <w:numPr>
          <w:ilvl w:val="0"/>
          <w:numId w:val="46"/>
        </w:numPr>
        <w:tabs>
          <w:tab w:val="num" w:pos="644"/>
        </w:tabs>
        <w:ind w:left="0" w:firstLine="0"/>
      </w:pPr>
      <w:bookmarkStart w:id="2" w:name="_Hlk113630946"/>
      <w:r>
        <w:t>Funciones</w:t>
      </w:r>
    </w:p>
    <w:bookmarkEnd w:id="2"/>
    <w:p w14:paraId="06275DB9" w14:textId="77777777" w:rsidR="004E2350" w:rsidRDefault="004E2350" w:rsidP="004E2350">
      <w:pPr>
        <w:pStyle w:val="Style1"/>
        <w:spacing w:before="240"/>
        <w:jc w:val="left"/>
      </w:pPr>
      <w:r>
        <w:t>The RWCs in RA VI will perform functions for regional coordination, guidance, oversight and support to WIGOS implementation and operational activities at the regional and national levels, as daily activities.</w:t>
      </w:r>
    </w:p>
    <w:p w14:paraId="2F4327AC" w14:textId="2A6C14D0" w:rsidR="004E2350" w:rsidRDefault="004E2350" w:rsidP="004E2350">
      <w:pPr>
        <w:pStyle w:val="Style1"/>
        <w:spacing w:before="240"/>
        <w:jc w:val="left"/>
        <w:rPr>
          <w:lang w:val="es-ES"/>
        </w:rPr>
      </w:pPr>
      <w:r>
        <w:rPr>
          <w:noProof/>
        </w:rPr>
        <w:drawing>
          <wp:anchor distT="0" distB="0" distL="114300" distR="114300" simplePos="0" relativeHeight="251661312" behindDoc="0" locked="0" layoutInCell="1" allowOverlap="1" wp14:anchorId="58AAE303" wp14:editId="210A910E">
            <wp:simplePos x="0" y="0"/>
            <wp:positionH relativeFrom="column">
              <wp:posOffset>-42545</wp:posOffset>
            </wp:positionH>
            <wp:positionV relativeFrom="paragraph">
              <wp:posOffset>433705</wp:posOffset>
            </wp:positionV>
            <wp:extent cx="5598160" cy="2621280"/>
            <wp:effectExtent l="0" t="0" r="2540" b="7620"/>
            <wp:wrapSquare wrapText="bothSides"/>
            <wp:docPr id="4155864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8160" cy="2621280"/>
                    </a:xfrm>
                    <a:prstGeom prst="rect">
                      <a:avLst/>
                    </a:prstGeom>
                    <a:noFill/>
                  </pic:spPr>
                </pic:pic>
              </a:graphicData>
            </a:graphic>
            <wp14:sizeRelH relativeFrom="page">
              <wp14:pctWidth>0</wp14:pctWidth>
            </wp14:sizeRelH>
            <wp14:sizeRelV relativeFrom="page">
              <wp14:pctHeight>0</wp14:pctHeight>
            </wp14:sizeRelV>
          </wp:anchor>
        </w:drawing>
      </w:r>
      <w:r>
        <w:rPr>
          <w:lang w:val="es-ES"/>
        </w:rPr>
        <w:t xml:space="preserve">Existen funciones obligatorias y opcionales para los RWC, tal y como se especifica en la </w:t>
      </w:r>
      <w:hyperlink r:id="rId13" w:history="1">
        <w:r w:rsidRPr="004E2350">
          <w:rPr>
            <w:rStyle w:val="Hyperlink"/>
            <w:i/>
            <w:iCs/>
            <w:lang w:val="es-ES"/>
          </w:rPr>
          <w:t>Guía del Sistema Mundial Integrado de Observa</w:t>
        </w:r>
        <w:r w:rsidRPr="004E2350">
          <w:rPr>
            <w:rStyle w:val="Hyperlink"/>
            <w:rFonts w:cs="Times New Roman"/>
            <w:i/>
            <w:iCs/>
            <w:vertAlign w:val="superscript"/>
            <w:lang w:val="es-ES"/>
          </w:rPr>
          <w:footnoteReference w:id="3"/>
        </w:r>
        <w:r w:rsidRPr="004E2350">
          <w:rPr>
            <w:rStyle w:val="Hyperlink"/>
            <w:i/>
            <w:iCs/>
            <w:lang w:val="es-ES"/>
          </w:rPr>
          <w:t>ción de la OMM</w:t>
        </w:r>
      </w:hyperlink>
      <w:r>
        <w:rPr>
          <w:lang w:val="es-ES"/>
        </w:rPr>
        <w:t xml:space="preserve"> (OMM-Nº 1165).</w:t>
      </w:r>
    </w:p>
    <w:p w14:paraId="3E55C46E" w14:textId="77777777" w:rsidR="004E2350" w:rsidRDefault="004E2350" w:rsidP="004E2350">
      <w:pPr>
        <w:spacing w:before="240" w:after="120"/>
        <w:jc w:val="center"/>
        <w:rPr>
          <w:b/>
          <w:bCs/>
          <w:lang w:val="es-ES"/>
        </w:rPr>
      </w:pPr>
      <w:r>
        <w:rPr>
          <w:lang w:val="es-ES"/>
        </w:rPr>
        <w:t xml:space="preserve">Figure 1. </w:t>
      </w:r>
      <w:r>
        <w:rPr>
          <w:b/>
          <w:bCs/>
          <w:lang w:val="es-ES"/>
        </w:rPr>
        <w:t>RWC Funciones obligatorias y opcionales</w:t>
      </w:r>
    </w:p>
    <w:p w14:paraId="7B5D8CB8" w14:textId="77777777" w:rsidR="004E2350" w:rsidRDefault="004E2350" w:rsidP="004E2350">
      <w:pPr>
        <w:pStyle w:val="Style1"/>
        <w:spacing w:before="240"/>
        <w:jc w:val="left"/>
        <w:rPr>
          <w:lang w:val="es-ES"/>
        </w:rPr>
      </w:pPr>
      <w:r>
        <w:rPr>
          <w:lang w:val="es-ES"/>
        </w:rPr>
        <w:t>Los Miembros candidatos a acoger una RWC acordaron que se adoptará el enfoque multifuncional para el establecimiento y funcionamiento de las RWC. Cada RWC de la AR VI asumirá la responsabilidad de ambas funciones obligatorias.</w:t>
      </w:r>
    </w:p>
    <w:p w14:paraId="4EEC6A1A" w14:textId="77777777" w:rsidR="004E2350" w:rsidRDefault="004E2350" w:rsidP="004E2350">
      <w:pPr>
        <w:pStyle w:val="WMOSubTitle1"/>
        <w:numPr>
          <w:ilvl w:val="1"/>
          <w:numId w:val="46"/>
        </w:numPr>
        <w:tabs>
          <w:tab w:val="num" w:pos="1440"/>
        </w:tabs>
        <w:ind w:left="0" w:firstLine="0"/>
      </w:pPr>
      <w:r>
        <w:t>Funciones obligaorias</w:t>
      </w:r>
    </w:p>
    <w:p w14:paraId="5EAF39A4" w14:textId="5DB0DBF6" w:rsidR="004E2350" w:rsidRDefault="004E2350" w:rsidP="004E2350">
      <w:pPr>
        <w:pStyle w:val="Style1"/>
        <w:spacing w:before="240"/>
        <w:jc w:val="left"/>
        <w:rPr>
          <w:lang w:val="es-ES"/>
        </w:rPr>
      </w:pPr>
      <w:r>
        <w:rPr>
          <w:lang w:val="es-ES"/>
        </w:rPr>
        <w:t xml:space="preserve">En la </w:t>
      </w:r>
      <w:hyperlink r:id="rId14" w:history="1">
        <w:r w:rsidRPr="004E2350">
          <w:rPr>
            <w:rStyle w:val="Hyperlink"/>
            <w:i/>
            <w:iCs/>
            <w:lang w:val="es-ES"/>
          </w:rPr>
          <w:t>Guía de los WIGOS</w:t>
        </w:r>
      </w:hyperlink>
      <w:r>
        <w:rPr>
          <w:lang w:val="es-ES"/>
        </w:rPr>
        <w:t xml:space="preserve"> (OMM-Nº 1165) se especifican dos funciones obligatorias que deben desempeñar los RWC en apoyo de los Miembros:</w:t>
      </w:r>
    </w:p>
    <w:p w14:paraId="03432C63" w14:textId="77777777" w:rsidR="004E2350" w:rsidRDefault="004E2350" w:rsidP="004E2350">
      <w:pPr>
        <w:pStyle w:val="ListParagraph"/>
        <w:numPr>
          <w:ilvl w:val="0"/>
          <w:numId w:val="48"/>
        </w:numPr>
        <w:spacing w:before="240" w:after="120" w:line="276" w:lineRule="auto"/>
        <w:ind w:left="567" w:hanging="567"/>
        <w:rPr>
          <w:rFonts w:ascii="Verdana" w:hAnsi="Verdana"/>
          <w:sz w:val="20"/>
          <w:szCs w:val="20"/>
        </w:rPr>
      </w:pPr>
      <w:r>
        <w:rPr>
          <w:rFonts w:ascii="Verdana" w:hAnsi="Verdana"/>
          <w:sz w:val="20"/>
          <w:szCs w:val="20"/>
        </w:rPr>
        <w:lastRenderedPageBreak/>
        <w:t>(Regional) WIGOS Metadata management (to work with data providers to facilitate collecting, updating, and improving the quality of WIGOS metadata in OSCAR/Surface)</w:t>
      </w:r>
    </w:p>
    <w:p w14:paraId="430A8358" w14:textId="77777777" w:rsidR="004E2350" w:rsidRDefault="004E2350" w:rsidP="004E2350">
      <w:pPr>
        <w:pStyle w:val="ListParagraph"/>
        <w:numPr>
          <w:ilvl w:val="0"/>
          <w:numId w:val="48"/>
        </w:numPr>
        <w:spacing w:before="240" w:after="120" w:line="276" w:lineRule="auto"/>
        <w:ind w:left="567" w:hanging="567"/>
        <w:rPr>
          <w:rFonts w:ascii="Verdana" w:hAnsi="Verdana"/>
          <w:sz w:val="20"/>
          <w:szCs w:val="20"/>
        </w:rPr>
      </w:pPr>
      <w:r>
        <w:rPr>
          <w:rFonts w:ascii="Verdana" w:hAnsi="Verdana"/>
          <w:sz w:val="20"/>
          <w:szCs w:val="20"/>
        </w:rPr>
        <w:t>(Regional) WIGOS performance monitoring, evaluation, and incident management (WDQMS) and follow-up with data providers in case of data availability or data quality issues.</w:t>
      </w:r>
    </w:p>
    <w:p w14:paraId="055D955A" w14:textId="77777777" w:rsidR="004E2350" w:rsidRDefault="004E2350" w:rsidP="004E2350">
      <w:pPr>
        <w:pStyle w:val="Style1"/>
        <w:spacing w:before="240"/>
        <w:jc w:val="left"/>
        <w:rPr>
          <w:lang w:val="es-ES"/>
        </w:rPr>
      </w:pPr>
      <w:r>
        <w:rPr>
          <w:lang w:val="es-ES"/>
        </w:rPr>
        <w:t>Las funciones de seguimiento y evaluación serán realizadas por el RWC utilizando las herramientas WIGOS, es decir, OSCAR/Surface, WDQMS u otras herramientas disponibles. La función de gestión de incidentes debe realizarse exclusivamente con la Herramienta de Gestión de Incidentes (IMS) para RWC.</w:t>
      </w:r>
    </w:p>
    <w:p w14:paraId="723741A8" w14:textId="77777777" w:rsidR="004E2350" w:rsidRDefault="004E2350" w:rsidP="004E2350">
      <w:pPr>
        <w:pStyle w:val="Style1"/>
        <w:spacing w:before="240"/>
        <w:jc w:val="left"/>
        <w:rPr>
          <w:lang w:val="es-ES"/>
        </w:rPr>
      </w:pPr>
      <w:r>
        <w:rPr>
          <w:lang w:val="es-ES"/>
        </w:rPr>
        <w:t>Si se dispone de otras herramientas de seguimiento y evaluación, los CAB también pueden utilizarlas como herramientas complementarias para sus operaciones.</w:t>
      </w:r>
    </w:p>
    <w:p w14:paraId="4CDED16D" w14:textId="77777777" w:rsidR="004E2350" w:rsidRDefault="004E2350" w:rsidP="004E2350">
      <w:pPr>
        <w:pStyle w:val="WMOSubTitle2"/>
        <w:numPr>
          <w:ilvl w:val="2"/>
          <w:numId w:val="46"/>
        </w:numPr>
        <w:tabs>
          <w:tab w:val="num" w:pos="2160"/>
        </w:tabs>
        <w:ind w:left="0" w:firstLine="0"/>
        <w:rPr>
          <w:lang w:val="es-ES"/>
        </w:rPr>
      </w:pPr>
      <w:r>
        <w:rPr>
          <w:lang w:val="es-ES"/>
        </w:rPr>
        <w:t>Gestión de metadatos del WIGOS</w:t>
      </w:r>
    </w:p>
    <w:p w14:paraId="1B152522" w14:textId="6BE24CCB" w:rsidR="004E2350" w:rsidRDefault="004E2350" w:rsidP="004E2350">
      <w:pPr>
        <w:pStyle w:val="Style1"/>
        <w:spacing w:before="240"/>
        <w:jc w:val="left"/>
        <w:rPr>
          <w:b/>
          <w:bCs/>
          <w:lang w:val="es-ES"/>
        </w:rPr>
      </w:pPr>
      <w:r>
        <w:rPr>
          <w:lang w:val="es-ES"/>
        </w:rPr>
        <w:t xml:space="preserve">OSCAR/Surface es el repositorio oficial de metadatos de WIGOS. Los miembros deben registrar sus estaciones/plataformas con los metadatos requeridos en OSCAR/Surface de acuerdo con la </w:t>
      </w:r>
      <w:hyperlink r:id="rId15" w:history="1">
        <w:r w:rsidRPr="004E2350">
          <w:rPr>
            <w:rStyle w:val="Hyperlink"/>
            <w:lang w:val="es-ES"/>
          </w:rPr>
          <w:t>Norma de Metadatos de WIGOS</w:t>
        </w:r>
      </w:hyperlink>
      <w:r>
        <w:rPr>
          <w:lang w:val="es-ES"/>
        </w:rPr>
        <w:t xml:space="preserve"> (OMM-Nº 1192).</w:t>
      </w:r>
    </w:p>
    <w:p w14:paraId="153E375C" w14:textId="77777777" w:rsidR="004E2350" w:rsidRDefault="004E2350" w:rsidP="004E2350">
      <w:pPr>
        <w:pStyle w:val="Style1"/>
        <w:spacing w:before="240"/>
        <w:jc w:val="left"/>
        <w:rPr>
          <w:lang w:val="es-ES"/>
        </w:rPr>
      </w:pPr>
      <w:r>
        <w:rPr>
          <w:lang w:val="es-ES"/>
        </w:rPr>
        <w:t>La gestión de metadatos de WIGOS es responsabilidad de cada miembro, con la ayuda de los RWC, para evaluar y corregir sus registros de metadatos y mantenerlos actualizados en OSCAR/Surface.</w:t>
      </w:r>
    </w:p>
    <w:p w14:paraId="0EDE8C22" w14:textId="77777777" w:rsidR="004E2350" w:rsidRDefault="004E2350" w:rsidP="004E2350">
      <w:pPr>
        <w:pStyle w:val="Style1"/>
        <w:spacing w:before="240"/>
        <w:jc w:val="left"/>
        <w:rPr>
          <w:lang w:val="es-ES"/>
        </w:rPr>
      </w:pPr>
      <w:r>
        <w:rPr>
          <w:lang w:val="es-ES"/>
        </w:rPr>
        <w:t>Los metadatos en OSCAR/Surface deben ser mantenidos por los Puntos Focales Nacionales (PFN) de OSCAR/Surface, los editores de metadatos o los contactos de las estaciones, con la ayuda de los RWC cuando sea necesario. Aunque se espera que todas las estaciones estén registradas en OSCAR/Surface, aquellas estaciones que intercambian datos internacionalmente deben estar registradas en OSCAR/Surface.</w:t>
      </w:r>
    </w:p>
    <w:p w14:paraId="0AB2A150" w14:textId="77777777" w:rsidR="004E2350" w:rsidRDefault="004E2350" w:rsidP="004E2350">
      <w:pPr>
        <w:spacing w:before="240" w:after="120"/>
        <w:jc w:val="left"/>
        <w:rPr>
          <w:rFonts w:cs="Times New Roman"/>
          <w:lang w:val="es-ES"/>
        </w:rPr>
      </w:pPr>
      <w:r>
        <w:rPr>
          <w:lang w:val="es-ES"/>
        </w:rPr>
        <w:t>Los CAB ofrecerán orientación y apoyo a los diputados sobre cómo:</w:t>
      </w:r>
    </w:p>
    <w:p w14:paraId="01E32CF1" w14:textId="77777777" w:rsidR="004E2350" w:rsidRDefault="004E2350" w:rsidP="004E2350">
      <w:pPr>
        <w:pStyle w:val="ListParagraph"/>
        <w:numPr>
          <w:ilvl w:val="0"/>
          <w:numId w:val="49"/>
        </w:numPr>
        <w:tabs>
          <w:tab w:val="left" w:pos="851"/>
          <w:tab w:val="left" w:pos="1701"/>
        </w:tabs>
        <w:spacing w:before="240" w:after="120"/>
        <w:ind w:left="567" w:hanging="567"/>
        <w:rPr>
          <w:rFonts w:ascii="Verdana" w:hAnsi="Verdana" w:cs="Times New Roman"/>
          <w:sz w:val="20"/>
          <w:szCs w:val="20"/>
          <w:lang w:val="es-ES"/>
        </w:rPr>
      </w:pPr>
      <w:r>
        <w:rPr>
          <w:rFonts w:ascii="Verdana" w:hAnsi="Verdana"/>
          <w:sz w:val="20"/>
          <w:szCs w:val="20"/>
          <w:lang w:val="es-ES"/>
        </w:rPr>
        <w:t>Recopilar los metadatos de sus estaciones</w:t>
      </w:r>
    </w:p>
    <w:p w14:paraId="033FD9D8" w14:textId="77777777" w:rsidR="004E2350" w:rsidRDefault="004E2350" w:rsidP="004E2350">
      <w:pPr>
        <w:pStyle w:val="ListParagraph"/>
        <w:numPr>
          <w:ilvl w:val="0"/>
          <w:numId w:val="49"/>
        </w:numPr>
        <w:tabs>
          <w:tab w:val="left" w:pos="851"/>
          <w:tab w:val="left" w:pos="1701"/>
        </w:tabs>
        <w:spacing w:before="240" w:after="120"/>
        <w:ind w:left="567" w:hanging="567"/>
        <w:rPr>
          <w:rFonts w:ascii="Verdana" w:hAnsi="Verdana" w:cs="Times New Roman"/>
          <w:sz w:val="20"/>
          <w:szCs w:val="20"/>
          <w:lang w:val="es-ES"/>
        </w:rPr>
      </w:pPr>
      <w:r>
        <w:rPr>
          <w:rFonts w:ascii="Verdana" w:hAnsi="Verdana"/>
          <w:sz w:val="20"/>
          <w:szCs w:val="20"/>
          <w:lang w:val="es-ES"/>
        </w:rPr>
        <w:t>Registrar sus estaciones en OSCAR/Surface, por ejemplo, nuevas estaciones.</w:t>
      </w:r>
    </w:p>
    <w:p w14:paraId="4394E11A" w14:textId="77777777" w:rsidR="004E2350" w:rsidRDefault="004E2350" w:rsidP="004E2350">
      <w:pPr>
        <w:pStyle w:val="ListParagraph"/>
        <w:numPr>
          <w:ilvl w:val="0"/>
          <w:numId w:val="49"/>
        </w:numPr>
        <w:tabs>
          <w:tab w:val="left" w:pos="851"/>
          <w:tab w:val="left" w:pos="1701"/>
        </w:tabs>
        <w:spacing w:before="240" w:after="120"/>
        <w:ind w:left="567" w:hanging="567"/>
        <w:rPr>
          <w:rFonts w:ascii="Verdana" w:hAnsi="Verdana" w:cs="Times New Roman"/>
          <w:sz w:val="20"/>
          <w:szCs w:val="20"/>
        </w:rPr>
      </w:pPr>
      <w:r>
        <w:rPr>
          <w:rFonts w:ascii="Verdana" w:hAnsi="Verdana"/>
          <w:sz w:val="20"/>
          <w:szCs w:val="20"/>
          <w:lang w:val="es-ES"/>
        </w:rPr>
        <w:t>Comprobar y corregir sus metadatos</w:t>
      </w:r>
    </w:p>
    <w:p w14:paraId="418C84AC" w14:textId="77777777" w:rsidR="004E2350" w:rsidRDefault="004E2350" w:rsidP="004E2350">
      <w:pPr>
        <w:pStyle w:val="ListParagraph"/>
        <w:numPr>
          <w:ilvl w:val="0"/>
          <w:numId w:val="49"/>
        </w:numPr>
        <w:tabs>
          <w:tab w:val="left" w:pos="851"/>
          <w:tab w:val="left" w:pos="1701"/>
        </w:tabs>
        <w:spacing w:before="240" w:after="120"/>
        <w:ind w:left="567" w:hanging="567"/>
        <w:rPr>
          <w:rFonts w:ascii="Verdana" w:hAnsi="Verdana" w:cs="Times New Roman"/>
          <w:sz w:val="20"/>
          <w:szCs w:val="20"/>
          <w:lang w:val="es-ES"/>
        </w:rPr>
      </w:pPr>
      <w:r>
        <w:rPr>
          <w:rFonts w:ascii="Verdana" w:hAnsi="Verdana"/>
          <w:sz w:val="20"/>
          <w:szCs w:val="20"/>
          <w:lang w:val="es-ES"/>
        </w:rPr>
        <w:t>Utilizarla como base nacional de metadatos</w:t>
      </w:r>
    </w:p>
    <w:p w14:paraId="46CA91B3" w14:textId="77777777" w:rsidR="004E2350" w:rsidRDefault="004E2350" w:rsidP="004E2350">
      <w:pPr>
        <w:pStyle w:val="ListParagraph"/>
        <w:numPr>
          <w:ilvl w:val="0"/>
          <w:numId w:val="49"/>
        </w:numPr>
        <w:tabs>
          <w:tab w:val="left" w:pos="851"/>
          <w:tab w:val="left" w:pos="1701"/>
        </w:tabs>
        <w:spacing w:before="240" w:after="120"/>
        <w:ind w:left="567" w:hanging="567"/>
        <w:rPr>
          <w:rFonts w:ascii="Verdana" w:hAnsi="Verdana" w:cs="Times New Roman"/>
          <w:sz w:val="20"/>
          <w:szCs w:val="20"/>
          <w:lang w:val="es-ES"/>
        </w:rPr>
      </w:pPr>
      <w:r>
        <w:rPr>
          <w:rFonts w:ascii="Verdana" w:hAnsi="Verdana"/>
          <w:sz w:val="20"/>
          <w:szCs w:val="20"/>
          <w:lang w:val="es-ES"/>
        </w:rPr>
        <w:t>Resolver cualquier otro problema relacionado con la gestión de metadatos.</w:t>
      </w:r>
    </w:p>
    <w:p w14:paraId="64446A59" w14:textId="77777777" w:rsidR="004E2350" w:rsidRDefault="004E2350" w:rsidP="004E2350">
      <w:pPr>
        <w:pStyle w:val="Style1"/>
        <w:spacing w:before="240"/>
        <w:jc w:val="left"/>
        <w:rPr>
          <w:lang w:val="es-ES"/>
        </w:rPr>
      </w:pPr>
      <w:r>
        <w:rPr>
          <w:lang w:val="es-ES"/>
        </w:rPr>
        <w:t>Este proceso estará estrechamente vinculado al proceso de control de calidad a través de la herramienta web WDQMS para comprobar y actualizar los metadatos pertinentes, ya que muchos de los problemas de disponibilidad y calidad de los datos se deben a metadatos incorrectos o incompletos en OSCAR/Surface, por ejemplo, las coordenadas de las estaciones, el indicador de intercambio internacional de datos y el calendario de notificación, los identificadores de estaciones WIGOS (WSI).</w:t>
      </w:r>
    </w:p>
    <w:p w14:paraId="2FB0CEDF" w14:textId="77777777" w:rsidR="004E2350" w:rsidRDefault="004E2350" w:rsidP="004E2350">
      <w:pPr>
        <w:pStyle w:val="WMOSubTitle2"/>
        <w:numPr>
          <w:ilvl w:val="2"/>
          <w:numId w:val="46"/>
        </w:numPr>
        <w:tabs>
          <w:tab w:val="num" w:pos="2160"/>
        </w:tabs>
        <w:ind w:left="0" w:firstLine="0"/>
        <w:rPr>
          <w:rFonts w:cs="Times New Roman"/>
        </w:rPr>
      </w:pPr>
      <w:r>
        <w:rPr>
          <w:lang w:val="es-ES"/>
        </w:rPr>
        <w:t>WDQMS</w:t>
      </w:r>
    </w:p>
    <w:p w14:paraId="2CFD0220" w14:textId="77777777" w:rsidR="004E2350" w:rsidRDefault="004E2350" w:rsidP="004E2350">
      <w:pPr>
        <w:pStyle w:val="Style1"/>
        <w:spacing w:before="240"/>
        <w:jc w:val="left"/>
        <w:rPr>
          <w:b/>
          <w:bCs/>
          <w:lang w:val="es-ES"/>
        </w:rPr>
      </w:pPr>
      <w:r>
        <w:rPr>
          <w:lang w:val="es-ES"/>
        </w:rPr>
        <w:t>Como se muestra en la Figura 2, el proceso de control de calidad de los datos de WIGOS consta de tres componentes básicos:</w:t>
      </w:r>
    </w:p>
    <w:p w14:paraId="0147598D" w14:textId="77777777" w:rsidR="004E2350" w:rsidRDefault="004E2350" w:rsidP="004E2350">
      <w:pPr>
        <w:pStyle w:val="ListParagraph"/>
        <w:numPr>
          <w:ilvl w:val="0"/>
          <w:numId w:val="50"/>
        </w:numPr>
        <w:tabs>
          <w:tab w:val="left" w:pos="851"/>
        </w:tabs>
        <w:spacing w:before="240" w:after="120"/>
        <w:ind w:left="567" w:hanging="567"/>
        <w:rPr>
          <w:rFonts w:ascii="Verdana" w:hAnsi="Verdana" w:cs="Times New Roman"/>
          <w:sz w:val="20"/>
          <w:szCs w:val="20"/>
        </w:rPr>
      </w:pPr>
      <w:r>
        <w:rPr>
          <w:rFonts w:ascii="Verdana" w:hAnsi="Verdana" w:cs="Times New Roman"/>
          <w:sz w:val="20"/>
          <w:szCs w:val="20"/>
        </w:rPr>
        <w:t>Monitoring function</w:t>
      </w:r>
    </w:p>
    <w:p w14:paraId="2943141F" w14:textId="77777777" w:rsidR="004E2350" w:rsidRDefault="004E2350" w:rsidP="004E2350">
      <w:pPr>
        <w:pStyle w:val="ListParagraph"/>
        <w:numPr>
          <w:ilvl w:val="0"/>
          <w:numId w:val="50"/>
        </w:numPr>
        <w:tabs>
          <w:tab w:val="left" w:pos="851"/>
        </w:tabs>
        <w:spacing w:before="240" w:after="120"/>
        <w:ind w:left="567" w:hanging="567"/>
        <w:rPr>
          <w:rFonts w:ascii="Verdana" w:hAnsi="Verdana" w:cs="Times New Roman"/>
          <w:sz w:val="20"/>
          <w:szCs w:val="20"/>
        </w:rPr>
      </w:pPr>
      <w:r>
        <w:rPr>
          <w:rFonts w:ascii="Verdana" w:hAnsi="Verdana" w:cs="Times New Roman"/>
          <w:sz w:val="20"/>
          <w:szCs w:val="20"/>
        </w:rPr>
        <w:t>Evaluation function</w:t>
      </w:r>
    </w:p>
    <w:p w14:paraId="0D67AEF3" w14:textId="77777777" w:rsidR="004E2350" w:rsidRDefault="004E2350" w:rsidP="004E2350">
      <w:pPr>
        <w:pStyle w:val="ListParagraph"/>
        <w:numPr>
          <w:ilvl w:val="0"/>
          <w:numId w:val="50"/>
        </w:numPr>
        <w:tabs>
          <w:tab w:val="left" w:pos="851"/>
        </w:tabs>
        <w:spacing w:before="240" w:after="120"/>
        <w:ind w:left="567" w:hanging="567"/>
        <w:rPr>
          <w:rFonts w:ascii="Verdana" w:hAnsi="Verdana" w:cs="Times New Roman"/>
          <w:sz w:val="20"/>
          <w:szCs w:val="20"/>
        </w:rPr>
      </w:pPr>
      <w:r>
        <w:rPr>
          <w:rFonts w:ascii="Verdana" w:hAnsi="Verdana" w:cs="Times New Roman"/>
          <w:sz w:val="20"/>
          <w:szCs w:val="20"/>
        </w:rPr>
        <w:t>Incident management function.</w:t>
      </w:r>
    </w:p>
    <w:p w14:paraId="5DAF5C68" w14:textId="091A7600" w:rsidR="004E2350" w:rsidRDefault="004E2350" w:rsidP="004E2350">
      <w:pPr>
        <w:pStyle w:val="Style1"/>
        <w:spacing w:before="240"/>
        <w:jc w:val="left"/>
        <w:rPr>
          <w:lang w:val="es-ES"/>
        </w:rPr>
      </w:pPr>
      <w:r>
        <w:rPr>
          <w:lang w:val="es-ES"/>
        </w:rPr>
        <w:lastRenderedPageBreak/>
        <w:t xml:space="preserve">Estos tres componentes que definen el alcance del WDQMS se explican detalladamente en las </w:t>
      </w:r>
      <w:hyperlink r:id="rId16" w:history="1">
        <w:r w:rsidRPr="004E2350">
          <w:rPr>
            <w:rStyle w:val="Hyperlink"/>
            <w:i/>
            <w:iCs/>
            <w:lang w:val="es-ES"/>
          </w:rPr>
          <w:t>Directrices técnicas para los centros regionales del WIGOS sobre el sistema de vigilancia de la calidad de los datos del WIGOS</w:t>
        </w:r>
      </w:hyperlink>
      <w:r>
        <w:rPr>
          <w:lang w:val="es-ES"/>
        </w:rPr>
        <w:t xml:space="preserve"> para las estaciones terrestres de superficie (OMM-Nº 1224).</w:t>
      </w:r>
    </w:p>
    <w:p w14:paraId="2B78E5D9" w14:textId="77777777" w:rsidR="004E2350" w:rsidRDefault="004E2350" w:rsidP="004E2350">
      <w:pPr>
        <w:pStyle w:val="WMOSubTitle2"/>
        <w:numPr>
          <w:ilvl w:val="0"/>
          <w:numId w:val="51"/>
        </w:numPr>
        <w:tabs>
          <w:tab w:val="num" w:pos="770"/>
        </w:tabs>
        <w:ind w:left="0" w:firstLine="0"/>
      </w:pPr>
      <w:r>
        <w:t>Monitoring Function:</w:t>
      </w:r>
    </w:p>
    <w:p w14:paraId="581692BE" w14:textId="77777777" w:rsidR="004E2350" w:rsidRDefault="004E2350" w:rsidP="004E2350">
      <w:pPr>
        <w:pStyle w:val="Style1"/>
        <w:spacing w:before="240"/>
        <w:jc w:val="left"/>
        <w:rPr>
          <w:lang w:val="es-ES"/>
        </w:rPr>
      </w:pPr>
      <w:r>
        <w:rPr>
          <w:lang w:val="es-ES"/>
        </w:rPr>
        <w:t>La función de vigilancia será desempeñada por los centros designados de Predicción Meteorológica Numérica (NWP), denominados Centros de Vigilanci</w:t>
      </w:r>
      <w:r>
        <w:rPr>
          <w:rStyle w:val="FootnoteReference"/>
          <w:rFonts w:cs="Times New Roman"/>
          <w:lang w:val="es-ES"/>
        </w:rPr>
        <w:footnoteReference w:id="4"/>
      </w:r>
      <w:r>
        <w:rPr>
          <w:lang w:val="es-ES"/>
        </w:rPr>
        <w:t>a de la Calidad del WIGOS (WQMC).</w:t>
      </w:r>
    </w:p>
    <w:p w14:paraId="750865DA" w14:textId="77777777" w:rsidR="004E2350" w:rsidRDefault="004E2350" w:rsidP="004E2350">
      <w:pPr>
        <w:pStyle w:val="Style1"/>
        <w:spacing w:before="240"/>
        <w:jc w:val="left"/>
        <w:rPr>
          <w:lang w:val="es-ES"/>
        </w:rPr>
      </w:pPr>
      <w:r>
        <w:rPr>
          <w:lang w:val="es-ES"/>
        </w:rPr>
        <w:t>Los WQMC proporcionan informes de control de calidad (QM) cada 6 horas (archivos CSV en un formato comúnmente acordado que contiene información para cada estación de observación basada en los resultados de la asimilación de datos) que son recogidos y almacenados por la herramienta web WDQMS.</w:t>
      </w:r>
    </w:p>
    <w:p w14:paraId="5E384C70" w14:textId="77777777" w:rsidR="004E2350" w:rsidRDefault="004E2350" w:rsidP="004E2350">
      <w:pPr>
        <w:pStyle w:val="Style1"/>
        <w:spacing w:before="240"/>
        <w:jc w:val="left"/>
        <w:rPr>
          <w:lang w:val="es-ES"/>
        </w:rPr>
      </w:pPr>
      <w:r>
        <w:rPr>
          <w:lang w:val="es-ES"/>
        </w:rPr>
        <w:t>Los informes de gestión de la calidad se elaboran prácticamente en tiempo real a partir de los datos disponibles en el Sistema de Información de la OMM (SIO) como base de la función de seguimiento y entrada de datos para la función de evaluación.</w:t>
      </w:r>
    </w:p>
    <w:p w14:paraId="30D9426D" w14:textId="77777777" w:rsidR="004E2350" w:rsidRDefault="004E2350" w:rsidP="004E2350">
      <w:pPr>
        <w:pStyle w:val="Style1"/>
        <w:spacing w:before="240"/>
        <w:jc w:val="left"/>
        <w:rPr>
          <w:lang w:val="es-ES"/>
        </w:rPr>
      </w:pPr>
      <w:r>
        <w:rPr>
          <w:lang w:val="es-ES"/>
        </w:rPr>
        <w:t>El "módulo NWP" de la herramienta web WDQMS supervisa en tiempo casi real las observaciones de las estaciones terrestres de superficie y de aire superior del Sistema Mundial de Observación (GOS) que utilizarán los RWC para realizar sus funciones.</w:t>
      </w:r>
    </w:p>
    <w:p w14:paraId="19D60BFE" w14:textId="77777777" w:rsidR="004E2350" w:rsidRDefault="004E2350" w:rsidP="004E2350">
      <w:pPr>
        <w:pStyle w:val="WMOSubTitle2"/>
        <w:numPr>
          <w:ilvl w:val="0"/>
          <w:numId w:val="51"/>
        </w:numPr>
        <w:tabs>
          <w:tab w:val="num" w:pos="770"/>
        </w:tabs>
        <w:ind w:left="0" w:firstLine="0"/>
      </w:pPr>
      <w:bookmarkStart w:id="3" w:name="_Hlk113870105"/>
      <w:r>
        <w:t>Evaluation Function:</w:t>
      </w:r>
    </w:p>
    <w:p w14:paraId="4396D22F" w14:textId="77777777" w:rsidR="004E2350" w:rsidRDefault="004E2350" w:rsidP="004E2350">
      <w:pPr>
        <w:pStyle w:val="Style1"/>
        <w:spacing w:before="240"/>
        <w:jc w:val="left"/>
        <w:rPr>
          <w:lang w:val="es-ES"/>
        </w:rPr>
      </w:pPr>
      <w:r>
        <w:rPr>
          <w:lang w:val="es-ES"/>
        </w:rPr>
        <w:t>Los resultados de los WQMC serán evaluados por los RWC de acuerdo con la información de metadatos en OSCAR/Surface y la distribución de datos en WIS.</w:t>
      </w:r>
    </w:p>
    <w:bookmarkEnd w:id="3"/>
    <w:p w14:paraId="0C0A36C9" w14:textId="77777777" w:rsidR="004E2350" w:rsidRDefault="004E2350" w:rsidP="004E2350">
      <w:pPr>
        <w:pStyle w:val="Style1"/>
        <w:spacing w:before="240"/>
        <w:jc w:val="left"/>
        <w:rPr>
          <w:lang w:val="es-ES"/>
        </w:rPr>
      </w:pPr>
      <w:r>
        <w:rPr>
          <w:lang w:val="es-ES"/>
        </w:rPr>
        <w:t>Los metadatos registrados en OSCAR/Surface se utilizan como referencia en este proceso. Por lo tanto, será fundamental que los PFN de OSCAR/Surface introduzcan y mantengan los metadatos correctos en OSCAR/Surface.</w:t>
      </w:r>
    </w:p>
    <w:p w14:paraId="7EE46B19" w14:textId="77777777" w:rsidR="004E2350" w:rsidRDefault="004E2350" w:rsidP="004E2350">
      <w:pPr>
        <w:pStyle w:val="Style1"/>
        <w:spacing w:before="240"/>
        <w:jc w:val="left"/>
        <w:rPr>
          <w:lang w:val="es-ES"/>
        </w:rPr>
      </w:pPr>
      <w:r>
        <w:rPr>
          <w:lang w:val="es-ES"/>
        </w:rPr>
        <w:t>Las principales funciones de los RWC para este componente consistirán en revisar y analizar los resultados del seguimiento disponibles en la herramienta web WDQMS, a fin de determinar los problemas para los siguientes pasos del proceso, incluida la comprobación de los metadatos en OSCAR/Surface y la identificación de cualquier problema.</w:t>
      </w:r>
    </w:p>
    <w:p w14:paraId="1BED931F" w14:textId="7C107900" w:rsidR="004E2350" w:rsidRDefault="004E2350" w:rsidP="004E2350">
      <w:pPr>
        <w:pStyle w:val="ListParagraph"/>
        <w:tabs>
          <w:tab w:val="left" w:pos="851"/>
        </w:tabs>
        <w:spacing w:before="240" w:after="120"/>
        <w:ind w:left="709" w:hanging="425"/>
        <w:rPr>
          <w:rFonts w:ascii="Verdana" w:hAnsi="Verdana" w:cs="Times New Roman"/>
          <w:sz w:val="20"/>
          <w:szCs w:val="20"/>
        </w:rPr>
      </w:pPr>
      <w:r>
        <w:rPr>
          <w:rFonts w:ascii="Verdana" w:hAnsi="Verdana"/>
          <w:noProof/>
          <w:sz w:val="20"/>
          <w:szCs w:val="20"/>
        </w:rPr>
        <w:lastRenderedPageBreak/>
        <w:drawing>
          <wp:inline distT="0" distB="0" distL="0" distR="0" wp14:anchorId="2ED3CBA6" wp14:editId="252E4B6E">
            <wp:extent cx="5760720" cy="3046730"/>
            <wp:effectExtent l="0" t="0" r="0" b="1270"/>
            <wp:docPr id="19385726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046730"/>
                    </a:xfrm>
                    <a:prstGeom prst="rect">
                      <a:avLst/>
                    </a:prstGeom>
                    <a:noFill/>
                    <a:ln>
                      <a:noFill/>
                    </a:ln>
                  </pic:spPr>
                </pic:pic>
              </a:graphicData>
            </a:graphic>
          </wp:inline>
        </w:drawing>
      </w:r>
    </w:p>
    <w:p w14:paraId="0431DB9D" w14:textId="77777777" w:rsidR="004E2350" w:rsidRDefault="004E2350" w:rsidP="004E2350">
      <w:pPr>
        <w:spacing w:before="240" w:after="120"/>
        <w:jc w:val="center"/>
        <w:rPr>
          <w:b/>
          <w:bCs/>
        </w:rPr>
      </w:pPr>
      <w:r>
        <w:rPr>
          <w:lang w:val="es-ES"/>
        </w:rPr>
        <w:t xml:space="preserve">Figure 2. </w:t>
      </w:r>
      <w:r>
        <w:rPr>
          <w:b/>
          <w:bCs/>
          <w:lang w:val="es-ES"/>
        </w:rPr>
        <w:t>El proceso WDQMS</w:t>
      </w:r>
    </w:p>
    <w:p w14:paraId="07C2D73A" w14:textId="77777777" w:rsidR="004E2350" w:rsidRDefault="004E2350" w:rsidP="004E2350">
      <w:pPr>
        <w:pStyle w:val="WMOSubTitle2"/>
        <w:numPr>
          <w:ilvl w:val="0"/>
          <w:numId w:val="51"/>
        </w:numPr>
        <w:tabs>
          <w:tab w:val="num" w:pos="770"/>
        </w:tabs>
        <w:ind w:left="0" w:firstLine="0"/>
      </w:pPr>
      <w:r>
        <w:t>Incident Management Function:</w:t>
      </w:r>
    </w:p>
    <w:p w14:paraId="58C78098" w14:textId="77777777" w:rsidR="004E2350" w:rsidRDefault="004E2350" w:rsidP="004E2350">
      <w:pPr>
        <w:pStyle w:val="Style1"/>
        <w:spacing w:before="240"/>
        <w:jc w:val="left"/>
        <w:rPr>
          <w:lang w:val="es-ES"/>
        </w:rPr>
      </w:pPr>
      <w:r>
        <w:rPr>
          <w:lang w:val="es-ES"/>
        </w:rPr>
        <w:t xml:space="preserve">A partir de los resultados de la evaluación de los problemas, se aplicará la gestión de incidentes para resolverlos. </w:t>
      </w:r>
      <w:r>
        <w:rPr>
          <w:lang w:val="en-US"/>
        </w:rPr>
        <w:t xml:space="preserve">If the issues considered by the evaluation function merit being raised as incidents following the relevant technical guidance, then the incident management function will undertake this. </w:t>
      </w:r>
      <w:r>
        <w:rPr>
          <w:lang w:val="es-ES"/>
        </w:rPr>
        <w:t>Como se muestra en la Figura 3, hay diferentes etapas de este proceso con importantes funciones y responsabilidades para los CAB y los Miembros en cada etapa.</w:t>
      </w:r>
    </w:p>
    <w:p w14:paraId="789D2DB8" w14:textId="77777777" w:rsidR="004E2350" w:rsidRDefault="004E2350" w:rsidP="004E2350">
      <w:pPr>
        <w:pStyle w:val="Style1"/>
        <w:spacing w:before="240"/>
        <w:jc w:val="left"/>
        <w:rPr>
          <w:lang w:val="es-ES"/>
        </w:rPr>
      </w:pPr>
      <w:r>
        <w:rPr>
          <w:lang w:val="es-ES"/>
        </w:rPr>
        <w:t>La función principal de los RWC en este componente es iniciar el proceso de incidencias, emitir el ticket para la incidencia identificada, comunicarse con los Miembros a través del personal pertinente (PFN para WDQMS), seguir el proceso para resolver las incidencias por parte de los Miembros, actualizar el estado del ticket y cerrar el ticket (si la incidencia está resuelta) o escalar el ticket, si es necesario.</w:t>
      </w:r>
    </w:p>
    <w:p w14:paraId="40EFD844" w14:textId="77777777" w:rsidR="004E2350" w:rsidRDefault="004E2350" w:rsidP="004E2350">
      <w:pPr>
        <w:pStyle w:val="Style1"/>
        <w:spacing w:before="240"/>
        <w:jc w:val="left"/>
        <w:rPr>
          <w:lang w:val="es-ES"/>
        </w:rPr>
      </w:pPr>
      <w:r>
        <w:rPr>
          <w:lang w:val="es-ES"/>
        </w:rPr>
        <w:t>Debido al papel fundamental de los Miembros para participar en el proceso de gestión de incidentes, será esencial establecer y mantener una estrecha colaboración entre los CAB y los Miembros afiliados para desempeñar con éxito la función de gestión de incidentes con vistas a mejorar el rendimiento de las estaciones, en particular en lo que respecta a la disponibilidad y la calidad de los datos intercambiados a escala internacional.</w:t>
      </w:r>
    </w:p>
    <w:p w14:paraId="4C487C3F" w14:textId="7C2F746D" w:rsidR="004E2350" w:rsidRDefault="004E2350" w:rsidP="004E2350">
      <w:pPr>
        <w:spacing w:before="240" w:after="120"/>
        <w:jc w:val="left"/>
      </w:pPr>
      <w:r>
        <w:rPr>
          <w:noProof/>
        </w:rPr>
        <w:lastRenderedPageBreak/>
        <w:drawing>
          <wp:inline distT="0" distB="0" distL="0" distR="0" wp14:anchorId="0E3865D1" wp14:editId="319A0145">
            <wp:extent cx="5562600" cy="3371850"/>
            <wp:effectExtent l="0" t="0" r="0" b="0"/>
            <wp:docPr id="172680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2600" cy="3371850"/>
                    </a:xfrm>
                    <a:prstGeom prst="rect">
                      <a:avLst/>
                    </a:prstGeom>
                    <a:noFill/>
                    <a:ln>
                      <a:noFill/>
                    </a:ln>
                  </pic:spPr>
                </pic:pic>
              </a:graphicData>
            </a:graphic>
          </wp:inline>
        </w:drawing>
      </w:r>
    </w:p>
    <w:p w14:paraId="13D36B09" w14:textId="77777777" w:rsidR="004E2350" w:rsidRDefault="004E2350" w:rsidP="004E2350">
      <w:pPr>
        <w:pStyle w:val="ListParagraph"/>
        <w:tabs>
          <w:tab w:val="left" w:pos="851"/>
        </w:tabs>
        <w:spacing w:before="240" w:after="120"/>
        <w:ind w:left="709"/>
        <w:jc w:val="center"/>
        <w:rPr>
          <w:rFonts w:ascii="Verdana" w:hAnsi="Verdana"/>
          <w:b/>
          <w:bCs/>
          <w:sz w:val="20"/>
          <w:szCs w:val="20"/>
        </w:rPr>
      </w:pPr>
      <w:r>
        <w:rPr>
          <w:rFonts w:ascii="Verdana" w:hAnsi="Verdana"/>
          <w:b/>
          <w:bCs/>
          <w:sz w:val="20"/>
          <w:szCs w:val="20"/>
        </w:rPr>
        <w:t>Figure 3. WIGOS Incident Management Process</w:t>
      </w:r>
    </w:p>
    <w:p w14:paraId="30BDEC32" w14:textId="77777777" w:rsidR="004E2350" w:rsidRDefault="004E2350" w:rsidP="004E2350">
      <w:pPr>
        <w:pStyle w:val="WMOSubTitle1"/>
        <w:numPr>
          <w:ilvl w:val="1"/>
          <w:numId w:val="46"/>
        </w:numPr>
        <w:tabs>
          <w:tab w:val="num" w:pos="1440"/>
        </w:tabs>
        <w:ind w:left="0" w:firstLine="0"/>
      </w:pPr>
      <w:r>
        <w:t>Funciones opcionales</w:t>
      </w:r>
    </w:p>
    <w:p w14:paraId="011B0F49" w14:textId="77777777" w:rsidR="004E2350" w:rsidRDefault="004E2350" w:rsidP="004E2350">
      <w:pPr>
        <w:pStyle w:val="Style1"/>
        <w:spacing w:before="240"/>
        <w:jc w:val="left"/>
        <w:rPr>
          <w:lang w:val="es-ES"/>
        </w:rPr>
      </w:pPr>
      <w:r>
        <w:rPr>
          <w:lang w:val="es-ES"/>
        </w:rPr>
        <w:t>Se prevé que los RWC puedan proporcionar coordinación regional, orientación, supervisión y apoyo para la implementación de WIGOS en la RA VI.</w:t>
      </w:r>
    </w:p>
    <w:p w14:paraId="06262430" w14:textId="77777777" w:rsidR="004E2350" w:rsidRDefault="004E2350" w:rsidP="004E2350">
      <w:pPr>
        <w:pStyle w:val="Style1"/>
        <w:spacing w:before="240"/>
        <w:jc w:val="left"/>
        <w:rPr>
          <w:lang w:val="es-ES"/>
        </w:rPr>
      </w:pPr>
      <w:r>
        <w:rPr>
          <w:lang w:val="es-ES"/>
        </w:rPr>
        <w:t>En función de los recursos disponibles y de las necesidades regionales, los CRR podrán adoptar y desempeñar una o varias de las funciones opcionales que se definen a continuación, así como otras funciones opcionales pertinentes:</w:t>
      </w:r>
    </w:p>
    <w:p w14:paraId="0046EF8D" w14:textId="77777777" w:rsidR="004E2350" w:rsidRDefault="004E2350" w:rsidP="004E2350">
      <w:pPr>
        <w:pStyle w:val="ListParagraph"/>
        <w:numPr>
          <w:ilvl w:val="0"/>
          <w:numId w:val="52"/>
        </w:numPr>
        <w:tabs>
          <w:tab w:val="left" w:pos="851"/>
        </w:tabs>
        <w:spacing w:before="240" w:after="120"/>
        <w:ind w:left="567" w:hanging="567"/>
        <w:rPr>
          <w:rFonts w:ascii="Verdana" w:hAnsi="Verdana" w:cs="Times New Roman"/>
          <w:b/>
          <w:bCs/>
          <w:sz w:val="20"/>
          <w:szCs w:val="20"/>
        </w:rPr>
      </w:pPr>
      <w:r>
        <w:rPr>
          <w:rFonts w:ascii="Verdana" w:hAnsi="Verdana"/>
          <w:sz w:val="20"/>
          <w:szCs w:val="20"/>
        </w:rPr>
        <w:t>Assistance with the coordination of regional/subregional and national WIGOS projects</w:t>
      </w:r>
    </w:p>
    <w:p w14:paraId="3C60B658" w14:textId="77777777" w:rsidR="004E2350" w:rsidRDefault="004E2350" w:rsidP="004E2350">
      <w:pPr>
        <w:pStyle w:val="ListParagraph"/>
        <w:numPr>
          <w:ilvl w:val="0"/>
          <w:numId w:val="52"/>
        </w:numPr>
        <w:tabs>
          <w:tab w:val="left" w:pos="851"/>
        </w:tabs>
        <w:spacing w:before="240" w:after="120"/>
        <w:ind w:left="567" w:hanging="567"/>
        <w:rPr>
          <w:rFonts w:ascii="Verdana" w:hAnsi="Verdana" w:cs="Times New Roman"/>
          <w:b/>
          <w:bCs/>
          <w:sz w:val="20"/>
          <w:szCs w:val="20"/>
        </w:rPr>
      </w:pPr>
      <w:r>
        <w:rPr>
          <w:rFonts w:ascii="Verdana" w:hAnsi="Verdana"/>
          <w:sz w:val="20"/>
          <w:szCs w:val="20"/>
        </w:rPr>
        <w:t>Assistance with regional and national observing network management</w:t>
      </w:r>
    </w:p>
    <w:p w14:paraId="6540186C" w14:textId="77777777" w:rsidR="004E2350" w:rsidRDefault="004E2350" w:rsidP="004E2350">
      <w:pPr>
        <w:pStyle w:val="ListParagraph"/>
        <w:numPr>
          <w:ilvl w:val="0"/>
          <w:numId w:val="52"/>
        </w:numPr>
        <w:tabs>
          <w:tab w:val="left" w:pos="851"/>
        </w:tabs>
        <w:spacing w:before="240" w:after="120"/>
        <w:ind w:left="567" w:hanging="567"/>
        <w:rPr>
          <w:rFonts w:ascii="Verdana" w:hAnsi="Verdana" w:cs="Times New Roman"/>
          <w:b/>
          <w:bCs/>
          <w:sz w:val="20"/>
          <w:szCs w:val="20"/>
        </w:rPr>
      </w:pPr>
      <w:r>
        <w:rPr>
          <w:rFonts w:ascii="Verdana" w:hAnsi="Verdana"/>
          <w:sz w:val="20"/>
          <w:szCs w:val="20"/>
        </w:rPr>
        <w:t>Support for regional capacity development activities.</w:t>
      </w:r>
    </w:p>
    <w:p w14:paraId="66F5E4D0" w14:textId="77777777" w:rsidR="004E2350" w:rsidRDefault="004E2350" w:rsidP="004E2350">
      <w:pPr>
        <w:pStyle w:val="Heading3"/>
        <w:numPr>
          <w:ilvl w:val="0"/>
          <w:numId w:val="46"/>
        </w:numPr>
        <w:tabs>
          <w:tab w:val="num" w:pos="644"/>
        </w:tabs>
        <w:ind w:left="0" w:firstLine="0"/>
      </w:pPr>
      <w:r>
        <w:rPr>
          <w:lang w:val="es-ES"/>
        </w:rPr>
        <w:t>Arquitectura y principios operativos</w:t>
      </w:r>
    </w:p>
    <w:p w14:paraId="0257E9E4" w14:textId="77777777" w:rsidR="004E2350" w:rsidRDefault="004E2350" w:rsidP="004E2350">
      <w:pPr>
        <w:pStyle w:val="Style1"/>
        <w:spacing w:before="240"/>
        <w:jc w:val="left"/>
        <w:rPr>
          <w:lang w:val="es-ES"/>
        </w:rPr>
      </w:pPr>
      <w:r>
        <w:rPr>
          <w:lang w:val="es-ES"/>
        </w:rPr>
        <w:t>Se acordó que los candidatos a CMR de la AR VI desempeñarán ambas funciones obligatorias para sus Miembros afiliados. En el Anexo I se presenta un proyecto de estructura para las funciones y los miembros afiliados por nodos propuestos por el CMR teniendo en cuenta los siguientes criterios:</w:t>
      </w:r>
    </w:p>
    <w:p w14:paraId="01B479A4" w14:textId="77777777" w:rsidR="004E2350" w:rsidRDefault="004E2350" w:rsidP="004E2350">
      <w:pPr>
        <w:pStyle w:val="ListParagraph"/>
        <w:numPr>
          <w:ilvl w:val="0"/>
          <w:numId w:val="53"/>
        </w:numPr>
        <w:spacing w:before="240" w:after="120"/>
        <w:ind w:left="567" w:hanging="567"/>
        <w:rPr>
          <w:rFonts w:ascii="Verdana" w:hAnsi="Verdana" w:cs="Times New Roman"/>
          <w:sz w:val="20"/>
          <w:szCs w:val="20"/>
          <w:lang w:val="es-ES"/>
        </w:rPr>
      </w:pPr>
      <w:r>
        <w:rPr>
          <w:rFonts w:ascii="Verdana" w:hAnsi="Verdana"/>
          <w:sz w:val="20"/>
          <w:szCs w:val="20"/>
          <w:lang w:val="es-ES"/>
        </w:rPr>
        <w:t>Distribución equilibrada del número de miembros afiliados a cada CAB</w:t>
      </w:r>
    </w:p>
    <w:p w14:paraId="03AB49B2" w14:textId="77777777" w:rsidR="004E2350" w:rsidRDefault="004E2350" w:rsidP="004E2350">
      <w:pPr>
        <w:pStyle w:val="ListParagraph"/>
        <w:numPr>
          <w:ilvl w:val="0"/>
          <w:numId w:val="53"/>
        </w:numPr>
        <w:spacing w:before="240" w:after="120"/>
        <w:ind w:left="567" w:hanging="567"/>
        <w:rPr>
          <w:rFonts w:ascii="Verdana" w:hAnsi="Verdana" w:cs="Times New Roman"/>
          <w:sz w:val="20"/>
          <w:szCs w:val="20"/>
          <w:lang w:val="es-ES"/>
        </w:rPr>
      </w:pPr>
      <w:r>
        <w:rPr>
          <w:rFonts w:ascii="Verdana" w:hAnsi="Verdana"/>
          <w:sz w:val="20"/>
          <w:szCs w:val="20"/>
          <w:lang w:val="es-ES"/>
        </w:rPr>
        <w:t>Proximidad geográfica de los diputados a los CRR</w:t>
      </w:r>
    </w:p>
    <w:p w14:paraId="5D36F638" w14:textId="77777777" w:rsidR="004E2350" w:rsidRDefault="004E2350" w:rsidP="004E2350">
      <w:pPr>
        <w:pStyle w:val="ListParagraph"/>
        <w:numPr>
          <w:ilvl w:val="0"/>
          <w:numId w:val="53"/>
        </w:numPr>
        <w:spacing w:before="240" w:after="120"/>
        <w:ind w:left="567" w:hanging="567"/>
        <w:rPr>
          <w:rFonts w:ascii="Verdana" w:hAnsi="Verdana" w:cs="Times New Roman"/>
          <w:sz w:val="20"/>
          <w:szCs w:val="20"/>
          <w:lang w:val="es-ES"/>
        </w:rPr>
      </w:pPr>
      <w:r>
        <w:rPr>
          <w:rFonts w:ascii="Verdana" w:hAnsi="Verdana"/>
          <w:sz w:val="20"/>
          <w:szCs w:val="20"/>
          <w:lang w:val="es-ES"/>
        </w:rPr>
        <w:t>Acuerdos de cooperación existentes entre los CRR y los Estados miembros</w:t>
      </w:r>
    </w:p>
    <w:p w14:paraId="20909C46" w14:textId="77777777" w:rsidR="004E2350" w:rsidRDefault="004E2350" w:rsidP="004E2350">
      <w:pPr>
        <w:pStyle w:val="ListParagraph"/>
        <w:numPr>
          <w:ilvl w:val="0"/>
          <w:numId w:val="53"/>
        </w:numPr>
        <w:spacing w:before="240" w:after="120"/>
        <w:ind w:left="567" w:hanging="567"/>
        <w:rPr>
          <w:rFonts w:ascii="Verdana" w:hAnsi="Verdana" w:cs="Times New Roman"/>
          <w:sz w:val="20"/>
          <w:szCs w:val="20"/>
          <w:lang w:val="es-ES"/>
        </w:rPr>
      </w:pPr>
      <w:r>
        <w:rPr>
          <w:rFonts w:ascii="Verdana" w:hAnsi="Verdana"/>
          <w:sz w:val="20"/>
          <w:szCs w:val="20"/>
          <w:lang w:val="es-ES"/>
        </w:rPr>
        <w:t>Familiaridad lingüística y cultural entre los CRM y los diputados.</w:t>
      </w:r>
    </w:p>
    <w:p w14:paraId="66C7F28F" w14:textId="77777777" w:rsidR="004E2350" w:rsidRDefault="004E2350" w:rsidP="004E2350">
      <w:pPr>
        <w:pStyle w:val="Style1"/>
        <w:spacing w:before="240"/>
        <w:jc w:val="left"/>
        <w:rPr>
          <w:lang w:val="es-ES"/>
        </w:rPr>
      </w:pPr>
      <w:r>
        <w:rPr>
          <w:lang w:val="es-ES"/>
        </w:rPr>
        <w:t>Las funciones de los RWC, los Miembros y la Secretaría de la OMM en el establecimiento y las operaciones de la red de RWC en la AR VI se enumeran más adelante en esta sección de este documento.</w:t>
      </w:r>
    </w:p>
    <w:p w14:paraId="1FB13C95" w14:textId="77777777" w:rsidR="004E2350" w:rsidRDefault="004E2350" w:rsidP="004E2350">
      <w:pPr>
        <w:pStyle w:val="Style1"/>
        <w:spacing w:before="240"/>
        <w:jc w:val="left"/>
        <w:rPr>
          <w:lang w:val="es-ES"/>
        </w:rPr>
      </w:pPr>
      <w:r>
        <w:rPr>
          <w:lang w:val="es-ES"/>
        </w:rPr>
        <w:lastRenderedPageBreak/>
        <w:t>El establecimiento de los RWC en la AR VI en modo piloto seguirá el enfoque propuesto para presentar este concepto al WG-INF de la AR VI, a través del Equipo de Trabajo sobre WIGOS en coordinación con la Secretaría de la OMM, para su retroalimentación y posterior presentación al Grupo de Gestión de la AR VI. Tras la aprobación por el MG, cada uno de los Miembros candidatos presentará su candidatura de acuerdo con la versión final del concepto.</w:t>
      </w:r>
    </w:p>
    <w:p w14:paraId="6D6DD16E" w14:textId="77777777" w:rsidR="004E2350" w:rsidRDefault="004E2350" w:rsidP="004E2350">
      <w:pPr>
        <w:pStyle w:val="Style1"/>
        <w:spacing w:before="240"/>
        <w:jc w:val="left"/>
        <w:rPr>
          <w:lang w:val="es-ES"/>
        </w:rPr>
      </w:pPr>
      <w:r>
        <w:rPr>
          <w:lang w:val="es-ES"/>
        </w:rPr>
        <w:t>En la fase actual, EUMETNET ha estado realizando determinadas funciones de evaluación de seguimiento y gestión de incidentes para los miembros de EUMETNET en la AR VI. EUMETNET ha estado operando el Portal de Monitorización de Calidad (QMP) de EUCOS bajo el Programa de Gestión del Área de Capacidad de Observación de EUMETNET (OBS CA MP) con la responsabilidad de operar un QMP automatizado basado en la web para mostrar las estadísticas de monitorización de la calidad de los datos para los Miembros de EUMETNET, accesible a todos los Miembros de RA VI. Sin embargo, EUMETNET no cubre la función de gestión de metadatos para sus miembros.</w:t>
      </w:r>
    </w:p>
    <w:p w14:paraId="290856BC" w14:textId="77777777" w:rsidR="004E2350" w:rsidRDefault="004E2350" w:rsidP="004E2350">
      <w:pPr>
        <w:pStyle w:val="Style1"/>
        <w:spacing w:before="240"/>
        <w:jc w:val="left"/>
        <w:rPr>
          <w:lang w:val="es-ES"/>
        </w:rPr>
      </w:pPr>
      <w:r>
        <w:rPr>
          <w:lang w:val="es-ES"/>
        </w:rPr>
        <w:t>La estructura y los principios de funcionamiento se preparan teniendo en cuenta el RWC existente (EUMETNET), y los Miembros candidatos para acoger RWCs en RA VI como sigue:</w:t>
      </w:r>
    </w:p>
    <w:p w14:paraId="3FF421D2" w14:textId="77777777" w:rsidR="004E2350" w:rsidRDefault="004E2350" w:rsidP="004E2350">
      <w:pPr>
        <w:pStyle w:val="WMOSubTitle1"/>
        <w:numPr>
          <w:ilvl w:val="1"/>
          <w:numId w:val="46"/>
        </w:numPr>
        <w:tabs>
          <w:tab w:val="num" w:pos="1440"/>
        </w:tabs>
        <w:ind w:left="0" w:firstLine="0"/>
      </w:pPr>
      <w:r>
        <w:t>RWC EUMETNET</w:t>
      </w:r>
      <w:bookmarkStart w:id="4" w:name="_Hlk113633433"/>
    </w:p>
    <w:p w14:paraId="13C23F9F" w14:textId="77777777" w:rsidR="004E2350" w:rsidRDefault="004E2350" w:rsidP="004E2350">
      <w:pPr>
        <w:pStyle w:val="Style1"/>
        <w:spacing w:before="240"/>
        <w:jc w:val="left"/>
        <w:rPr>
          <w:b/>
          <w:bCs/>
          <w:lang w:val="es-ES"/>
        </w:rPr>
      </w:pPr>
      <w:r>
        <w:rPr>
          <w:lang w:val="es-ES"/>
        </w:rPr>
        <w:t>EUMETNET opera una herramienta de seguimiento automático (QMP) para los Miembros de EUMETNET así como para el resto de Miembros de RA VI para radiosondas y estaciones meteorológicas automáticas. También publica un informe trimestral de seguimiento para los miembros de EUMETNET sobre todas las redes EUCOS (es decir, también las redes marinas y las redes terrestres de teledetección).</w:t>
      </w:r>
    </w:p>
    <w:p w14:paraId="1E0F716F" w14:textId="77777777" w:rsidR="004E2350" w:rsidRDefault="004E2350" w:rsidP="004E2350">
      <w:pPr>
        <w:pStyle w:val="Style1"/>
        <w:spacing w:before="240"/>
        <w:jc w:val="left"/>
        <w:rPr>
          <w:lang w:val="es-ES"/>
        </w:rPr>
      </w:pPr>
      <w:r>
        <w:rPr>
          <w:lang w:val="es-ES"/>
        </w:rPr>
        <w:t>EUMETNET utiliza el QMP para realizar las funciones de seguimiento y evaluación, junto con el WDQMS cuando es necesario.</w:t>
      </w:r>
    </w:p>
    <w:p w14:paraId="517F6B6A" w14:textId="77777777" w:rsidR="004E2350" w:rsidRDefault="004E2350" w:rsidP="004E2350">
      <w:pPr>
        <w:pStyle w:val="Style1"/>
        <w:spacing w:before="240"/>
        <w:jc w:val="left"/>
        <w:rPr>
          <w:lang w:val="es-ES"/>
        </w:rPr>
      </w:pPr>
      <w:r>
        <w:rPr>
          <w:lang w:val="es-ES"/>
        </w:rPr>
        <w:t>La función de gestión de metadatos no la realiza actualmente EUMETNET para sus Miembros. EUMETNET sólo presta asistencia en caso necesario, en particular para resolver problemas de incumplimiento planteados por los usuarios. A partir de 2024, EUMETNET empezará a desempeñar progresivamente esta función para sus miembros.</w:t>
      </w:r>
    </w:p>
    <w:bookmarkEnd w:id="4"/>
    <w:p w14:paraId="2048B546" w14:textId="77777777" w:rsidR="004E2350" w:rsidRDefault="004E2350" w:rsidP="004E2350">
      <w:pPr>
        <w:pStyle w:val="WMOSubTitle1"/>
        <w:numPr>
          <w:ilvl w:val="1"/>
          <w:numId w:val="46"/>
        </w:numPr>
        <w:tabs>
          <w:tab w:val="num" w:pos="1440"/>
        </w:tabs>
        <w:ind w:left="0" w:firstLine="0"/>
      </w:pPr>
      <w:r>
        <w:t>RWC Bosnia y Herzegovina</w:t>
      </w:r>
      <w:bookmarkStart w:id="5" w:name="_Hlk129794681"/>
      <w:bookmarkStart w:id="6" w:name="_Hlk113872480"/>
    </w:p>
    <w:p w14:paraId="205F0A42" w14:textId="77777777" w:rsidR="004E2350" w:rsidRDefault="004E2350" w:rsidP="004E2350">
      <w:pPr>
        <w:pStyle w:val="Style1"/>
        <w:spacing w:before="240"/>
        <w:jc w:val="left"/>
        <w:rPr>
          <w:lang w:val="es-ES"/>
        </w:rPr>
      </w:pPr>
      <w:r>
        <w:rPr>
          <w:lang w:val="es-ES"/>
        </w:rPr>
        <w:t>Bosnia y Herzegovina desempeñará ambas funciones obligatorias para los Miembros afiliados. Los Miembros Afiliados se definirán en base al acuerdo con otros CRR de la AR VI, así como teniendo en cuenta la conformidad de los Miembros para la afiliación. En el Anexo I se presenta una lista preliminar de los Miembros que recibirán ayuda de Bosnia y Herzegovina.</w:t>
      </w:r>
    </w:p>
    <w:bookmarkEnd w:id="5"/>
    <w:bookmarkEnd w:id="6"/>
    <w:p w14:paraId="791958EB" w14:textId="77777777" w:rsidR="004E2350" w:rsidRDefault="004E2350" w:rsidP="004E2350">
      <w:pPr>
        <w:pStyle w:val="WMOSubTitle1"/>
        <w:numPr>
          <w:ilvl w:val="1"/>
          <w:numId w:val="46"/>
        </w:numPr>
        <w:tabs>
          <w:tab w:val="num" w:pos="1440"/>
        </w:tabs>
        <w:ind w:left="0" w:firstLine="0"/>
        <w:rPr>
          <w:lang w:val="es-ES"/>
        </w:rPr>
      </w:pPr>
      <w:r>
        <w:rPr>
          <w:bCs/>
          <w:iCs/>
          <w:lang w:val="es-ES"/>
        </w:rPr>
        <w:t>RWC conjunta Kazajstán, Federación Rusa y Bielorrusia</w:t>
      </w:r>
      <w:bookmarkStart w:id="7" w:name="_Hlk173308649"/>
      <w:bookmarkStart w:id="8" w:name="_Hlk113872740"/>
      <w:bookmarkEnd w:id="7"/>
    </w:p>
    <w:p w14:paraId="5C75327F" w14:textId="77777777" w:rsidR="004E2350" w:rsidRDefault="004E2350" w:rsidP="004E2350">
      <w:pPr>
        <w:pStyle w:val="ListParagraph"/>
        <w:spacing w:before="240" w:after="120"/>
        <w:ind w:left="0"/>
        <w:rPr>
          <w:rFonts w:ascii="Verdana" w:hAnsi="Verdana" w:cs="Times New Roman"/>
          <w:b/>
          <w:bCs/>
          <w:sz w:val="20"/>
          <w:szCs w:val="20"/>
          <w:lang w:val="es-ES"/>
        </w:rPr>
      </w:pPr>
      <w:r>
        <w:rPr>
          <w:rFonts w:ascii="Verdana" w:hAnsi="Verdana"/>
          <w:sz w:val="20"/>
          <w:szCs w:val="20"/>
          <w:lang w:val="es-ES"/>
        </w:rPr>
        <w:t>Kazajstán, la Federación Rusa y Bielorrusia desempeñarán ambas funciones obligatorias para los Miembros afiliados. Los Miembros Afiliados se definirán en base al acuerdo con otros CRR de la AR VI, así como teniendo en cuenta la conformidad de los Miembros para la afiliación. Se determinará una lista preliminar de Miembros que recibirán el apoyo de Kazajstán, la Federación Rusa y Bielorrusia, incluidos los Miembros de la AR II y la AR VI, teniendo en cuenta los Centros disponibles en la AR II y la AR VI y el hecho de que Kazajstán, la Federación Rusa y Bielorrusia tienen previsto actuar como un RWC interregional para ambas Regiones.</w:t>
      </w:r>
    </w:p>
    <w:bookmarkEnd w:id="8"/>
    <w:p w14:paraId="171F072F" w14:textId="77777777" w:rsidR="004E2350" w:rsidRDefault="004E2350" w:rsidP="004E2350">
      <w:pPr>
        <w:pStyle w:val="WMOSubTitle1"/>
        <w:numPr>
          <w:ilvl w:val="1"/>
          <w:numId w:val="46"/>
        </w:numPr>
        <w:tabs>
          <w:tab w:val="num" w:pos="1440"/>
        </w:tabs>
        <w:ind w:left="0" w:firstLine="0"/>
      </w:pPr>
      <w:r>
        <w:rPr>
          <w:bCs/>
          <w:iCs/>
          <w:lang w:val="es-ES"/>
        </w:rPr>
        <w:lastRenderedPageBreak/>
        <w:t>RWC Rumanía</w:t>
      </w:r>
      <w:bookmarkStart w:id="9" w:name="_Hlk113881172"/>
    </w:p>
    <w:p w14:paraId="1C634FC6" w14:textId="77777777" w:rsidR="004E2350" w:rsidRDefault="004E2350" w:rsidP="004E2350">
      <w:pPr>
        <w:pStyle w:val="Style1"/>
        <w:spacing w:before="240"/>
        <w:jc w:val="left"/>
        <w:rPr>
          <w:b/>
          <w:bCs/>
          <w:lang w:val="es-ES"/>
        </w:rPr>
      </w:pPr>
      <w:r>
        <w:rPr>
          <w:lang w:val="es-ES"/>
        </w:rPr>
        <w:t>Rumanía desempeñará ambas funciones obligatorias para los Miembros afiliados. Los Miembros Afiliados se definirán en base al acuerdo con otros CRR de la AR VI, así como teniendo en cuenta la conformidad de los Miembros para la afiliación. En el Anexo I se presenta una lista preliminar de los diputados que recibirán ayuda de Rumanía.</w:t>
      </w:r>
    </w:p>
    <w:p w14:paraId="28F80D2A" w14:textId="77777777" w:rsidR="004E2350" w:rsidRDefault="004E2350" w:rsidP="004E2350">
      <w:pPr>
        <w:pStyle w:val="WMOSubTitle1"/>
        <w:numPr>
          <w:ilvl w:val="1"/>
          <w:numId w:val="46"/>
        </w:numPr>
        <w:tabs>
          <w:tab w:val="num" w:pos="1440"/>
        </w:tabs>
        <w:ind w:left="0" w:firstLine="0"/>
      </w:pPr>
      <w:bookmarkStart w:id="10" w:name="_Hlk113882703"/>
      <w:bookmarkEnd w:id="9"/>
      <w:r>
        <w:rPr>
          <w:bCs/>
          <w:iCs/>
          <w:lang w:val="es-ES"/>
        </w:rPr>
        <w:t>RWC Türkiye</w:t>
      </w:r>
      <w:bookmarkEnd w:id="10"/>
    </w:p>
    <w:p w14:paraId="4F1DBA81" w14:textId="77777777" w:rsidR="004E2350" w:rsidRDefault="004E2350" w:rsidP="004E2350">
      <w:pPr>
        <w:pStyle w:val="Style1"/>
        <w:spacing w:before="240"/>
        <w:jc w:val="left"/>
        <w:rPr>
          <w:b/>
          <w:bCs/>
          <w:lang w:val="es-ES"/>
        </w:rPr>
      </w:pPr>
      <w:r>
        <w:rPr>
          <w:lang w:val="es-ES"/>
        </w:rPr>
        <w:t>Türkiye desempeñará ambas funciones obligatorias para los Miembros afiliados. Los Miembros Afiliados se definirán en base al acuerdo con otros CRR de la AR VI, así como teniendo en cuenta la conformidad de los Miembros para la afiliación. En el Anexo I se presenta una lista preliminar de los Miembros que recibirán apoyo de Türkiye.</w:t>
      </w:r>
    </w:p>
    <w:p w14:paraId="4288D42F" w14:textId="77777777" w:rsidR="004E2350" w:rsidRDefault="004E2350" w:rsidP="004E2350">
      <w:pPr>
        <w:pStyle w:val="WMOSubTitle1"/>
        <w:numPr>
          <w:ilvl w:val="1"/>
          <w:numId w:val="46"/>
        </w:numPr>
        <w:tabs>
          <w:tab w:val="num" w:pos="1440"/>
        </w:tabs>
        <w:ind w:left="0" w:firstLine="0"/>
      </w:pPr>
      <w:r>
        <w:t>Miembros</w:t>
      </w:r>
    </w:p>
    <w:p w14:paraId="1640E971" w14:textId="77777777" w:rsidR="004E2350" w:rsidRDefault="004E2350" w:rsidP="004E2350">
      <w:pPr>
        <w:pStyle w:val="Style1"/>
        <w:spacing w:before="240"/>
        <w:jc w:val="left"/>
        <w:rPr>
          <w:b/>
          <w:bCs/>
          <w:lang w:val="es-ES"/>
        </w:rPr>
      </w:pPr>
      <w:r>
        <w:rPr>
          <w:lang w:val="es-ES"/>
        </w:rPr>
        <w:t>Los miembros desempeñarán un papel fundamental en el funcionamiento de los CRR, con una estrecha cooperación y comunicación con los CRR a los que estén afiliados, y también con otros miembros.</w:t>
      </w:r>
    </w:p>
    <w:p w14:paraId="534849C6" w14:textId="77777777" w:rsidR="004E2350" w:rsidRDefault="004E2350" w:rsidP="004E2350">
      <w:pPr>
        <w:pStyle w:val="Style1"/>
        <w:spacing w:before="240"/>
        <w:jc w:val="left"/>
        <w:rPr>
          <w:rFonts w:cs="Times New Roman"/>
          <w:lang w:val="es-ES"/>
        </w:rPr>
      </w:pPr>
      <w:r>
        <w:rPr>
          <w:lang w:val="es-ES"/>
        </w:rPr>
        <w:t>Considerando que los miembros tienen un papel primordial en el desempeño de las dos funciones obligatorias de los CEEI, se espera que los miembros participen activamente y contribuyan a las operaciones de los CEEI desarrollando las siguientes actividades principales:</w:t>
      </w:r>
    </w:p>
    <w:p w14:paraId="174313D6" w14:textId="77777777" w:rsidR="004E2350" w:rsidRDefault="004E2350" w:rsidP="004E2350">
      <w:pPr>
        <w:pStyle w:val="ListParagraph"/>
        <w:numPr>
          <w:ilvl w:val="0"/>
          <w:numId w:val="54"/>
        </w:numPr>
        <w:spacing w:before="240" w:after="120"/>
        <w:ind w:left="567" w:hanging="567"/>
        <w:rPr>
          <w:rFonts w:ascii="Verdana" w:eastAsia="SimSun" w:hAnsi="Verdana"/>
          <w:sz w:val="20"/>
          <w:szCs w:val="20"/>
          <w:lang w:val="es-ES"/>
        </w:rPr>
      </w:pPr>
      <w:r>
        <w:rPr>
          <w:rFonts w:ascii="Verdana" w:hAnsi="Verdana"/>
          <w:sz w:val="20"/>
          <w:szCs w:val="20"/>
          <w:lang w:val="es-ES"/>
        </w:rPr>
        <w:t>Designar/actualizar sus PFN en OSCAR/Surface, WDQMS y WIGOS</w:t>
      </w:r>
    </w:p>
    <w:p w14:paraId="035CC998" w14:textId="77777777" w:rsidR="004E2350" w:rsidRDefault="004E2350" w:rsidP="004E2350">
      <w:pPr>
        <w:pStyle w:val="ListParagraph"/>
        <w:numPr>
          <w:ilvl w:val="0"/>
          <w:numId w:val="54"/>
        </w:numPr>
        <w:spacing w:before="240" w:after="120"/>
        <w:ind w:left="567" w:hanging="567"/>
        <w:rPr>
          <w:rFonts w:ascii="Verdana" w:eastAsia="SimSun" w:hAnsi="Verdana"/>
          <w:sz w:val="20"/>
          <w:szCs w:val="20"/>
          <w:lang w:val="es-ES"/>
        </w:rPr>
      </w:pPr>
      <w:r>
        <w:rPr>
          <w:rFonts w:ascii="Verdana" w:hAnsi="Verdana"/>
          <w:sz w:val="20"/>
          <w:szCs w:val="20"/>
          <w:lang w:val="es-ES"/>
        </w:rPr>
        <w:t>Responder y actualizar a tiempo en el Sistema de Gestión de Incidentes (SGI) el ticket o tickets que les hayan sido asignados.</w:t>
      </w:r>
    </w:p>
    <w:p w14:paraId="19AE7F53" w14:textId="77777777" w:rsidR="004E2350" w:rsidRDefault="004E2350" w:rsidP="004E2350">
      <w:pPr>
        <w:pStyle w:val="ListParagraph"/>
        <w:numPr>
          <w:ilvl w:val="0"/>
          <w:numId w:val="54"/>
        </w:numPr>
        <w:spacing w:before="240" w:after="120"/>
        <w:ind w:left="567" w:hanging="567"/>
        <w:rPr>
          <w:rFonts w:ascii="Verdana" w:eastAsia="SimSun" w:hAnsi="Verdana"/>
          <w:sz w:val="20"/>
          <w:szCs w:val="20"/>
          <w:lang w:val="es-ES"/>
        </w:rPr>
      </w:pPr>
      <w:r>
        <w:rPr>
          <w:rFonts w:ascii="Verdana" w:hAnsi="Verdana"/>
          <w:sz w:val="20"/>
          <w:szCs w:val="20"/>
          <w:lang w:val="es-ES"/>
        </w:rPr>
        <w:t>Comprobación periódica de la disponibilidad de metadatos correctos en OSCAR/Surface</w:t>
      </w:r>
    </w:p>
    <w:p w14:paraId="565741FB" w14:textId="77777777" w:rsidR="004E2350" w:rsidRDefault="004E2350" w:rsidP="004E2350">
      <w:pPr>
        <w:pStyle w:val="ListParagraph"/>
        <w:numPr>
          <w:ilvl w:val="0"/>
          <w:numId w:val="54"/>
        </w:numPr>
        <w:spacing w:before="240" w:after="120"/>
        <w:ind w:left="567" w:hanging="567"/>
        <w:rPr>
          <w:rFonts w:ascii="Verdana" w:eastAsia="SimSun" w:hAnsi="Verdana"/>
          <w:sz w:val="20"/>
          <w:szCs w:val="20"/>
          <w:lang w:val="es-ES"/>
        </w:rPr>
      </w:pPr>
      <w:r>
        <w:rPr>
          <w:rFonts w:ascii="Verdana" w:hAnsi="Verdana"/>
          <w:sz w:val="20"/>
          <w:szCs w:val="20"/>
          <w:lang w:val="es-ES"/>
        </w:rPr>
        <w:t>Promover actividades para mejorar la calidad de los datos y metadatos de sus estaciones</w:t>
      </w:r>
    </w:p>
    <w:p w14:paraId="6C8B282D" w14:textId="77777777" w:rsidR="004E2350" w:rsidRDefault="004E2350" w:rsidP="004E2350">
      <w:pPr>
        <w:pStyle w:val="ListParagraph"/>
        <w:numPr>
          <w:ilvl w:val="0"/>
          <w:numId w:val="54"/>
        </w:numPr>
        <w:spacing w:before="240" w:after="120"/>
        <w:ind w:left="567" w:hanging="567"/>
        <w:rPr>
          <w:rFonts w:ascii="Verdana" w:hAnsi="Verdana" w:cs="Times New Roman"/>
          <w:sz w:val="20"/>
          <w:szCs w:val="20"/>
          <w:lang w:val="es-ES"/>
        </w:rPr>
      </w:pPr>
      <w:r>
        <w:rPr>
          <w:rFonts w:ascii="Verdana" w:hAnsi="Verdana"/>
          <w:sz w:val="20"/>
          <w:szCs w:val="20"/>
          <w:lang w:val="es-ES"/>
        </w:rPr>
        <w:t>participar en las actividades de desarrollo de capacidades organizadas por la Secretaría de la OMM, por los CRM y por otras entidades regionales</w:t>
      </w:r>
    </w:p>
    <w:p w14:paraId="31913910" w14:textId="6CC84B27" w:rsidR="004E2350" w:rsidRDefault="004E2350" w:rsidP="004E2350">
      <w:pPr>
        <w:pStyle w:val="ListParagraph"/>
        <w:numPr>
          <w:ilvl w:val="0"/>
          <w:numId w:val="54"/>
        </w:numPr>
        <w:spacing w:before="240" w:after="120"/>
        <w:ind w:left="567" w:hanging="567"/>
        <w:rPr>
          <w:rFonts w:ascii="Verdana" w:hAnsi="Verdana" w:cs="Times New Roman"/>
          <w:sz w:val="20"/>
          <w:szCs w:val="20"/>
          <w:lang w:val="es-ES"/>
        </w:rPr>
      </w:pPr>
      <w:r>
        <w:rPr>
          <w:rFonts w:ascii="Verdana" w:hAnsi="Verdana"/>
          <w:sz w:val="20"/>
          <w:szCs w:val="20"/>
          <w:lang w:val="es-ES"/>
        </w:rPr>
        <w:t xml:space="preserve">Utilizar activamente el material de formación adicional proporcionado por la OMM en el </w:t>
      </w:r>
      <w:hyperlink r:id="rId19" w:history="1">
        <w:r w:rsidRPr="004E2350">
          <w:rPr>
            <w:rStyle w:val="Hyperlink"/>
            <w:rFonts w:ascii="Verdana" w:hAnsi="Verdana"/>
            <w:sz w:val="20"/>
            <w:szCs w:val="20"/>
            <w:lang w:val="es-ES"/>
          </w:rPr>
          <w:t>portal de aprendizaje de WIGOS</w:t>
        </w:r>
      </w:hyperlink>
      <w:r>
        <w:rPr>
          <w:rFonts w:ascii="Verdana" w:hAnsi="Verdana"/>
          <w:sz w:val="20"/>
          <w:szCs w:val="20"/>
          <w:lang w:val="es-ES"/>
        </w:rPr>
        <w:t xml:space="preserve"> para mejorar las competencias del personal con vistas a un mejor uso de las herramientas de WIGOS.</w:t>
      </w:r>
    </w:p>
    <w:p w14:paraId="2B46F840" w14:textId="77777777" w:rsidR="004E2350" w:rsidRDefault="004E2350" w:rsidP="004E2350">
      <w:pPr>
        <w:pStyle w:val="WMOSubTitle1"/>
        <w:numPr>
          <w:ilvl w:val="1"/>
          <w:numId w:val="46"/>
        </w:numPr>
        <w:tabs>
          <w:tab w:val="num" w:pos="1440"/>
        </w:tabs>
        <w:ind w:left="0" w:firstLine="0"/>
      </w:pPr>
      <w:r>
        <w:t>Secretaría de la OMM</w:t>
      </w:r>
    </w:p>
    <w:p w14:paraId="5CAE7621" w14:textId="77777777" w:rsidR="004E2350" w:rsidRDefault="004E2350" w:rsidP="004E2350">
      <w:pPr>
        <w:pStyle w:val="Style1"/>
        <w:spacing w:before="240"/>
        <w:jc w:val="left"/>
        <w:rPr>
          <w:b/>
          <w:bCs/>
          <w:lang w:val="es-ES"/>
        </w:rPr>
      </w:pPr>
      <w:r>
        <w:rPr>
          <w:lang w:val="es-ES"/>
        </w:rPr>
        <w:t>La Secretaría de la OMM contribuirá a este proceso desarrollando las siguientes actividades principales:</w:t>
      </w:r>
    </w:p>
    <w:p w14:paraId="2BF6C9C0" w14:textId="77777777" w:rsidR="004E2350" w:rsidRDefault="004E2350" w:rsidP="004E2350">
      <w:pPr>
        <w:pStyle w:val="ListParagraph"/>
        <w:numPr>
          <w:ilvl w:val="0"/>
          <w:numId w:val="55"/>
        </w:numPr>
        <w:spacing w:before="240" w:after="120"/>
        <w:ind w:left="567" w:hanging="567"/>
        <w:rPr>
          <w:rFonts w:ascii="Verdana" w:hAnsi="Verdana" w:cs="Times New Roman"/>
          <w:bCs/>
          <w:sz w:val="20"/>
          <w:szCs w:val="20"/>
          <w:lang w:val="es-ES"/>
        </w:rPr>
      </w:pPr>
      <w:r>
        <w:rPr>
          <w:rFonts w:ascii="Verdana" w:hAnsi="Verdana"/>
          <w:sz w:val="20"/>
          <w:szCs w:val="20"/>
          <w:lang w:val="es-ES"/>
        </w:rPr>
        <w:t>Proporcionar directrices técnicas actualizadas y ayudar en la aplicación de las funciones de los CRR en consulta con la Comisión de Infraestructuras.</w:t>
      </w:r>
    </w:p>
    <w:p w14:paraId="35A68498" w14:textId="77777777" w:rsidR="004E2350" w:rsidRDefault="004E2350" w:rsidP="004E2350">
      <w:pPr>
        <w:pStyle w:val="ListParagraph"/>
        <w:numPr>
          <w:ilvl w:val="0"/>
          <w:numId w:val="55"/>
        </w:numPr>
        <w:spacing w:before="240" w:after="120"/>
        <w:ind w:left="567" w:hanging="567"/>
        <w:rPr>
          <w:rFonts w:ascii="Verdana" w:hAnsi="Verdana" w:cs="Times New Roman"/>
          <w:bCs/>
          <w:sz w:val="20"/>
          <w:szCs w:val="20"/>
          <w:lang w:val="es-ES"/>
        </w:rPr>
      </w:pPr>
      <w:r>
        <w:rPr>
          <w:rFonts w:ascii="Verdana" w:hAnsi="Verdana"/>
          <w:sz w:val="20"/>
          <w:szCs w:val="20"/>
          <w:lang w:val="es-ES"/>
        </w:rPr>
        <w:t>Organizar talleres de formación y seminarios web sobre las herramientas WIGOS y el funcionamiento de los RWC.</w:t>
      </w:r>
    </w:p>
    <w:p w14:paraId="50399DC0" w14:textId="77777777" w:rsidR="004E2350" w:rsidRDefault="004E2350" w:rsidP="004E2350">
      <w:pPr>
        <w:pStyle w:val="ListParagraph"/>
        <w:numPr>
          <w:ilvl w:val="0"/>
          <w:numId w:val="55"/>
        </w:numPr>
        <w:spacing w:before="240" w:after="120"/>
        <w:ind w:left="567" w:hanging="567"/>
        <w:rPr>
          <w:rFonts w:ascii="Verdana" w:hAnsi="Verdana" w:cs="Times New Roman"/>
          <w:bCs/>
          <w:sz w:val="20"/>
          <w:szCs w:val="20"/>
          <w:lang w:val="es-ES"/>
        </w:rPr>
      </w:pPr>
      <w:r>
        <w:rPr>
          <w:rFonts w:ascii="Verdana" w:hAnsi="Verdana"/>
          <w:sz w:val="20"/>
          <w:szCs w:val="20"/>
          <w:lang w:val="es-ES"/>
        </w:rPr>
        <w:t>Apoyar la coordinación de las actividades de los CRR, dentro de la AR VI.</w:t>
      </w:r>
    </w:p>
    <w:p w14:paraId="4D65A31E" w14:textId="77777777" w:rsidR="004E2350" w:rsidRDefault="004E2350" w:rsidP="004E2350">
      <w:pPr>
        <w:pStyle w:val="ListParagraph"/>
        <w:numPr>
          <w:ilvl w:val="0"/>
          <w:numId w:val="55"/>
        </w:numPr>
        <w:spacing w:before="240" w:after="120"/>
        <w:ind w:left="567" w:hanging="567"/>
        <w:rPr>
          <w:rFonts w:ascii="Verdana" w:hAnsi="Verdana" w:cs="Times New Roman"/>
          <w:bCs/>
          <w:sz w:val="20"/>
          <w:szCs w:val="20"/>
          <w:lang w:val="es-ES"/>
        </w:rPr>
      </w:pPr>
      <w:r>
        <w:rPr>
          <w:rFonts w:ascii="Verdana" w:hAnsi="Verdana"/>
          <w:sz w:val="20"/>
          <w:szCs w:val="20"/>
          <w:lang w:val="es-ES"/>
        </w:rPr>
        <w:t>Apoyar el proceso de creación y puesta en marcha de los CER</w:t>
      </w:r>
    </w:p>
    <w:p w14:paraId="4F2FA3F8" w14:textId="77777777" w:rsidR="004E2350" w:rsidRDefault="004E2350" w:rsidP="004E2350">
      <w:pPr>
        <w:pStyle w:val="ListParagraph"/>
        <w:numPr>
          <w:ilvl w:val="0"/>
          <w:numId w:val="55"/>
        </w:numPr>
        <w:spacing w:before="240" w:after="120"/>
        <w:ind w:left="567" w:hanging="567"/>
        <w:rPr>
          <w:rFonts w:ascii="Verdana" w:hAnsi="Verdana" w:cs="Times New Roman"/>
          <w:bCs/>
          <w:sz w:val="20"/>
          <w:szCs w:val="20"/>
          <w:lang w:val="es-ES"/>
        </w:rPr>
      </w:pPr>
      <w:r>
        <w:rPr>
          <w:rFonts w:ascii="Verdana" w:hAnsi="Verdana"/>
          <w:sz w:val="20"/>
          <w:szCs w:val="20"/>
          <w:lang w:val="es-ES"/>
        </w:rPr>
        <w:t>Facilitar el intercambio de experiencias entre los CRR y los miembros.</w:t>
      </w:r>
    </w:p>
    <w:p w14:paraId="71B23469" w14:textId="77777777" w:rsidR="004E2350" w:rsidRDefault="004E2350" w:rsidP="004E2350">
      <w:pPr>
        <w:pStyle w:val="ListParagraph"/>
        <w:numPr>
          <w:ilvl w:val="0"/>
          <w:numId w:val="55"/>
        </w:numPr>
        <w:spacing w:before="240" w:after="120"/>
        <w:ind w:left="567" w:hanging="567"/>
        <w:rPr>
          <w:rFonts w:ascii="Verdana" w:hAnsi="Verdana" w:cs="Times New Roman"/>
          <w:bCs/>
          <w:sz w:val="20"/>
          <w:szCs w:val="20"/>
          <w:lang w:val="es-ES"/>
        </w:rPr>
      </w:pPr>
      <w:r>
        <w:rPr>
          <w:rFonts w:ascii="Verdana" w:hAnsi="Verdana"/>
          <w:sz w:val="20"/>
          <w:szCs w:val="20"/>
          <w:lang w:val="es-ES"/>
        </w:rPr>
        <w:t>Facilitar la cooperación entre los CRR de las distintas regiones.</w:t>
      </w:r>
    </w:p>
    <w:p w14:paraId="5C919FBF" w14:textId="77777777" w:rsidR="004E2350" w:rsidRDefault="004E2350" w:rsidP="004E2350">
      <w:pPr>
        <w:pStyle w:val="ListParagraph"/>
        <w:numPr>
          <w:ilvl w:val="0"/>
          <w:numId w:val="55"/>
        </w:numPr>
        <w:spacing w:before="240" w:after="120"/>
        <w:ind w:left="567" w:hanging="567"/>
        <w:rPr>
          <w:rFonts w:ascii="Verdana" w:hAnsi="Verdana" w:cs="Times New Roman"/>
          <w:bCs/>
          <w:sz w:val="20"/>
          <w:szCs w:val="20"/>
          <w:lang w:val="es-ES"/>
        </w:rPr>
      </w:pPr>
      <w:r>
        <w:rPr>
          <w:rFonts w:ascii="Verdana" w:hAnsi="Verdana"/>
          <w:sz w:val="20"/>
          <w:szCs w:val="20"/>
          <w:lang w:val="es-ES"/>
        </w:rPr>
        <w:t>Proporcionar ejemplos de buenas prácticas para mejorar el funcionamiento de los CRR.</w:t>
      </w:r>
    </w:p>
    <w:p w14:paraId="59AA491D" w14:textId="77777777" w:rsidR="004E2350" w:rsidRDefault="004E2350" w:rsidP="004E2350">
      <w:pPr>
        <w:pStyle w:val="ListParagraph"/>
        <w:numPr>
          <w:ilvl w:val="0"/>
          <w:numId w:val="55"/>
        </w:numPr>
        <w:spacing w:before="240" w:after="120"/>
        <w:ind w:left="567" w:hanging="567"/>
        <w:rPr>
          <w:rFonts w:ascii="Verdana" w:hAnsi="Verdana" w:cs="Times New Roman"/>
          <w:bCs/>
          <w:sz w:val="20"/>
          <w:szCs w:val="20"/>
          <w:lang w:val="es-ES"/>
        </w:rPr>
      </w:pPr>
      <w:r>
        <w:rPr>
          <w:rFonts w:ascii="Verdana" w:hAnsi="Verdana"/>
          <w:sz w:val="20"/>
          <w:szCs w:val="20"/>
          <w:lang w:val="es-ES"/>
        </w:rPr>
        <w:t>Coordinar el proceso de auditoría de los CER en modo piloto en consulta con los CER y siguiendo las orientaciones del INFCOM.</w:t>
      </w:r>
    </w:p>
    <w:p w14:paraId="74C3B87F" w14:textId="77777777" w:rsidR="004E2350" w:rsidRDefault="004E2350" w:rsidP="004E2350">
      <w:pPr>
        <w:pStyle w:val="Heading3"/>
        <w:numPr>
          <w:ilvl w:val="0"/>
          <w:numId w:val="46"/>
        </w:numPr>
        <w:tabs>
          <w:tab w:val="num" w:pos="644"/>
        </w:tabs>
        <w:ind w:left="0" w:firstLine="0"/>
        <w:rPr>
          <w:lang w:val="es-ES"/>
        </w:rPr>
      </w:pPr>
      <w:r>
        <w:rPr>
          <w:lang w:val="es-ES"/>
        </w:rPr>
        <w:lastRenderedPageBreak/>
        <w:t>Necesidades de recursos para los comités de empresa regionales</w:t>
      </w:r>
    </w:p>
    <w:p w14:paraId="1389CD9C" w14:textId="77777777" w:rsidR="004E2350" w:rsidRDefault="004E2350" w:rsidP="004E2350">
      <w:pPr>
        <w:pStyle w:val="Style1"/>
        <w:spacing w:before="240"/>
        <w:jc w:val="left"/>
        <w:rPr>
          <w:lang w:val="es-ES"/>
        </w:rPr>
      </w:pPr>
      <w:r>
        <w:rPr>
          <w:lang w:val="es-ES"/>
        </w:rPr>
        <w:t>La responsabilidad de dotar de recursos la creación y el funcionamiento de los Centros de Trabajo Regionales recae en el Miembro o los Miembros que acojan el Centro de Trabajo Regional, que deberán garantizar la infraestructura adecuada, los recursos técnicos, humanos y de otro tipo para la creación y el funcionamiento continuado del Centro.</w:t>
      </w:r>
    </w:p>
    <w:p w14:paraId="28A19BAF" w14:textId="77777777" w:rsidR="004E2350" w:rsidRDefault="004E2350" w:rsidP="004E2350">
      <w:pPr>
        <w:pStyle w:val="Style1"/>
        <w:spacing w:before="240"/>
        <w:jc w:val="left"/>
        <w:rPr>
          <w:lang w:val="es-ES"/>
        </w:rPr>
      </w:pPr>
      <w:r>
        <w:rPr>
          <w:lang w:val="es-ES"/>
        </w:rPr>
        <w:t>La estrategia de dotación de recursos, que abarcará los recursos técnicos, humanos y financieros, será desarrollada por cada RWC teniendo en cuenta todo el proceso de establecimiento y funcionamiento de los RWC para la fase de puesta en marcha, los modos piloto y operativo, así como el proceso de auditoría para la transición del modo piloto al modo operativo, y las auditorías de vigilancia y recertificación. Dicha estrategia de dotación de recursos será un documento vivo que deberá actualizarse en función de los recursos necesarios, basándose en los resultados del proceso de auditoría y en la experiencia adquirida por el RWC en el desempeño de sus funciones y teniendo en cuenta los conocimientos compartidos por otros RWC dentro y fuera de la región.</w:t>
      </w:r>
    </w:p>
    <w:p w14:paraId="5ADE6363" w14:textId="77777777" w:rsidR="004E2350" w:rsidRDefault="004E2350" w:rsidP="004E2350">
      <w:pPr>
        <w:pStyle w:val="Style1"/>
        <w:spacing w:before="240"/>
        <w:jc w:val="left"/>
        <w:rPr>
          <w:lang w:val="es-ES"/>
        </w:rPr>
      </w:pPr>
      <w:r>
        <w:rPr>
          <w:lang w:val="es-ES"/>
        </w:rPr>
        <w:t>Teniendo en cuenta las funciones y el número de Miembros afiliados, cada CAB asignará los recursos necesarios de fondos, personal e infraestructura técnica para desempeñar las funciones para los Miembros afiliados, según corresponda.</w:t>
      </w:r>
    </w:p>
    <w:p w14:paraId="2097AC80" w14:textId="77777777" w:rsidR="004E2350" w:rsidRDefault="004E2350" w:rsidP="004E2350">
      <w:pPr>
        <w:pStyle w:val="WMOSubTitle1"/>
        <w:numPr>
          <w:ilvl w:val="1"/>
          <w:numId w:val="46"/>
        </w:numPr>
        <w:tabs>
          <w:tab w:val="num" w:pos="1440"/>
        </w:tabs>
        <w:ind w:left="0" w:firstLine="0"/>
      </w:pPr>
      <w:r>
        <w:rPr>
          <w:lang w:val="es-ES"/>
        </w:rPr>
        <w:t>Infraestructura básica</w:t>
      </w:r>
    </w:p>
    <w:p w14:paraId="75C174AD" w14:textId="77777777" w:rsidR="004E2350" w:rsidRDefault="004E2350" w:rsidP="004E2350">
      <w:pPr>
        <w:pStyle w:val="Style1"/>
        <w:spacing w:before="240"/>
        <w:jc w:val="left"/>
        <w:rPr>
          <w:lang w:val="es-ES"/>
        </w:rPr>
      </w:pPr>
      <w:r>
        <w:rPr>
          <w:lang w:val="es-ES"/>
        </w:rPr>
        <w:t xml:space="preserve">Cada país anfitrión pondrá a disposición de la RWC locales adecuados, seguros, totalmente equipados y fácilmente accesibles de forma permanente. </w:t>
      </w:r>
      <w:r>
        <w:rPr>
          <w:lang w:val="en-US"/>
        </w:rPr>
        <w:t xml:space="preserve">These premises will be supplied with water and electricity and will be equipped with a reliable telecommunications system. </w:t>
      </w:r>
      <w:r>
        <w:rPr>
          <w:lang w:val="es-ES"/>
        </w:rPr>
        <w:t>Si los empleados, además de sus tareas principales, combinan el trabajo según el RWC, pueden utilizar sus propias oficinas de trabajo existentes.</w:t>
      </w:r>
    </w:p>
    <w:p w14:paraId="19A60A4F" w14:textId="77777777" w:rsidR="004E2350" w:rsidRDefault="004E2350" w:rsidP="004E2350">
      <w:pPr>
        <w:pStyle w:val="WMOSubTitle1"/>
        <w:numPr>
          <w:ilvl w:val="1"/>
          <w:numId w:val="46"/>
        </w:numPr>
        <w:tabs>
          <w:tab w:val="num" w:pos="1440"/>
        </w:tabs>
        <w:ind w:left="0" w:firstLine="0"/>
      </w:pPr>
      <w:r>
        <w:t>Infraestructura técnica</w:t>
      </w:r>
    </w:p>
    <w:p w14:paraId="11E63D1D" w14:textId="77777777" w:rsidR="004E2350" w:rsidRDefault="004E2350" w:rsidP="004E2350">
      <w:pPr>
        <w:pStyle w:val="Style1"/>
        <w:spacing w:before="240"/>
        <w:jc w:val="left"/>
      </w:pPr>
      <w:r>
        <w:t>Each RWC will have adequate information technology facilities and infrastructure (workstations, high speed internet access, data processing and storage capabilities) needed for RWC functions.</w:t>
      </w:r>
    </w:p>
    <w:p w14:paraId="48C32ECB" w14:textId="77777777" w:rsidR="004E2350" w:rsidRDefault="004E2350" w:rsidP="004E2350">
      <w:pPr>
        <w:pStyle w:val="Style1"/>
        <w:spacing w:before="240"/>
        <w:jc w:val="left"/>
        <w:rPr>
          <w:lang w:val="es-ES"/>
        </w:rPr>
      </w:pPr>
      <w:r>
        <w:rPr>
          <w:lang w:val="es-ES"/>
        </w:rPr>
        <w:t>Los recursos técnicos mínimos para los RWC deben ser una estación de trabajo con acceso a Internet de banda ancha y estable para realizar las tareas requeridas.</w:t>
      </w:r>
    </w:p>
    <w:p w14:paraId="02E6F080" w14:textId="77777777" w:rsidR="004E2350" w:rsidRDefault="004E2350" w:rsidP="004E2350">
      <w:pPr>
        <w:pStyle w:val="Style1"/>
        <w:spacing w:before="240"/>
        <w:jc w:val="left"/>
        <w:rPr>
          <w:lang w:val="es-ES"/>
        </w:rPr>
      </w:pPr>
      <w:r>
        <w:rPr>
          <w:lang w:val="es-ES"/>
        </w:rPr>
        <w:t>Los CRM dispondrán de infraestructura técnica, incluidos equipos y programas informáticos, que permitirán al personal del CRM:</w:t>
      </w:r>
    </w:p>
    <w:p w14:paraId="70A50E4D" w14:textId="5D80E4DC" w:rsidR="004E2350" w:rsidRDefault="004E2350" w:rsidP="004E2350">
      <w:pPr>
        <w:numPr>
          <w:ilvl w:val="0"/>
          <w:numId w:val="56"/>
        </w:numPr>
        <w:spacing w:before="240" w:after="120" w:line="276" w:lineRule="auto"/>
        <w:ind w:left="567" w:hanging="567"/>
        <w:jc w:val="left"/>
        <w:rPr>
          <w:rFonts w:cs="Times New Roman"/>
          <w:lang w:val="es-ES"/>
        </w:rPr>
      </w:pPr>
      <w:r>
        <w:rPr>
          <w:lang w:val="es-ES"/>
        </w:rPr>
        <w:t>Para acceder a OSCAR/Surface (</w:t>
      </w:r>
      <w:hyperlink r:id="rId20" w:history="1">
        <w:r w:rsidRPr="004E2350">
          <w:rPr>
            <w:rStyle w:val="Hyperlink"/>
            <w:lang w:val="es-ES"/>
          </w:rPr>
          <w:t>https://oscar.wmo.int/surface</w:t>
        </w:r>
      </w:hyperlink>
      <w:r>
        <w:rPr>
          <w:lang w:val="es-ES"/>
        </w:rPr>
        <w:t>) para la gestión de metadatos</w:t>
      </w:r>
    </w:p>
    <w:p w14:paraId="07229BD6" w14:textId="652D4FB3" w:rsidR="004E2350" w:rsidRDefault="004E2350" w:rsidP="004E2350">
      <w:pPr>
        <w:numPr>
          <w:ilvl w:val="0"/>
          <w:numId w:val="56"/>
        </w:numPr>
        <w:spacing w:before="240" w:after="120" w:line="276" w:lineRule="auto"/>
        <w:ind w:left="567" w:hanging="567"/>
        <w:jc w:val="left"/>
        <w:rPr>
          <w:lang w:val="es-ES"/>
        </w:rPr>
      </w:pPr>
      <w:r>
        <w:rPr>
          <w:lang w:val="es-ES"/>
        </w:rPr>
        <w:t>Acceder a la herramienta web WDQMS (</w:t>
      </w:r>
      <w:hyperlink r:id="rId21" w:history="1">
        <w:r w:rsidRPr="004E2350">
          <w:rPr>
            <w:rStyle w:val="Hyperlink"/>
            <w:lang w:val="es-ES"/>
          </w:rPr>
          <w:t>https://wdqms.wmo.int</w:t>
        </w:r>
      </w:hyperlink>
      <w:r>
        <w:rPr>
          <w:lang w:val="es-ES"/>
        </w:rPr>
        <w:t>) para realizar funciones de gestión y evaluación de la calidad.</w:t>
      </w:r>
    </w:p>
    <w:p w14:paraId="55C10E86" w14:textId="5C486850" w:rsidR="004E2350" w:rsidRDefault="004E2350" w:rsidP="004E2350">
      <w:pPr>
        <w:numPr>
          <w:ilvl w:val="0"/>
          <w:numId w:val="56"/>
        </w:numPr>
        <w:spacing w:before="240" w:after="120" w:line="276" w:lineRule="auto"/>
        <w:ind w:left="567" w:hanging="567"/>
        <w:jc w:val="left"/>
        <w:rPr>
          <w:lang w:val="es-ES"/>
        </w:rPr>
      </w:pPr>
      <w:r>
        <w:rPr>
          <w:lang w:val="es-ES"/>
        </w:rPr>
        <w:t>Para acceder al SGI basado en la web (</w:t>
      </w:r>
      <w:hyperlink r:id="rId22" w:history="1">
        <w:r w:rsidRPr="004E2350">
          <w:rPr>
            <w:rStyle w:val="Hyperlink"/>
            <w:lang w:val="es-ES"/>
          </w:rPr>
          <w:t>https://jira.ecmwf.int/projects/RWC/</w:t>
        </w:r>
      </w:hyperlink>
      <w:r>
        <w:rPr>
          <w:lang w:val="es-ES"/>
        </w:rPr>
        <w:t>) para realizar la función de gestión de incidentes</w:t>
      </w:r>
    </w:p>
    <w:p w14:paraId="6A5703D8" w14:textId="2934250D" w:rsidR="004E2350" w:rsidRDefault="004E2350" w:rsidP="004E2350">
      <w:pPr>
        <w:numPr>
          <w:ilvl w:val="0"/>
          <w:numId w:val="56"/>
        </w:numPr>
        <w:spacing w:before="240" w:after="120" w:line="276" w:lineRule="auto"/>
        <w:ind w:left="567" w:hanging="567"/>
        <w:jc w:val="left"/>
        <w:rPr>
          <w:lang w:val="es-ES"/>
        </w:rPr>
      </w:pPr>
      <w:r>
        <w:rPr>
          <w:lang w:val="es-ES"/>
        </w:rPr>
        <w:t>Para acceder al Portal EUCOS de EUMETNET (</w:t>
      </w:r>
      <w:hyperlink r:id="rId23" w:history="1">
        <w:r w:rsidRPr="004E2350">
          <w:rPr>
            <w:rStyle w:val="Hyperlink"/>
            <w:lang w:val="es-ES"/>
          </w:rPr>
          <w:t>https://eucos.dwd.de/ravi/#SurfaceStationsSelectionPlace:%7B%7D</w:t>
        </w:r>
      </w:hyperlink>
      <w:r>
        <w:rPr>
          <w:lang w:val="es-ES"/>
        </w:rPr>
        <w:t>)</w:t>
      </w:r>
    </w:p>
    <w:p w14:paraId="273B5527" w14:textId="77777777" w:rsidR="004E2350" w:rsidRDefault="004E2350" w:rsidP="004E2350">
      <w:pPr>
        <w:numPr>
          <w:ilvl w:val="0"/>
          <w:numId w:val="56"/>
        </w:numPr>
        <w:spacing w:before="240" w:after="120" w:line="276" w:lineRule="auto"/>
        <w:ind w:left="567" w:hanging="567"/>
        <w:jc w:val="left"/>
        <w:rPr>
          <w:lang w:val="es-ES"/>
        </w:rPr>
      </w:pPr>
      <w:r>
        <w:rPr>
          <w:lang w:val="es-ES"/>
        </w:rPr>
        <w:t>Acceder a los datos, metadatos e informes pertinentes, supervisarlos y analizarlos.</w:t>
      </w:r>
    </w:p>
    <w:p w14:paraId="2A3E9149" w14:textId="77777777" w:rsidR="004E2350" w:rsidRDefault="004E2350" w:rsidP="004E2350">
      <w:pPr>
        <w:numPr>
          <w:ilvl w:val="0"/>
          <w:numId w:val="56"/>
        </w:numPr>
        <w:spacing w:before="240" w:after="120" w:line="276" w:lineRule="auto"/>
        <w:ind w:left="567" w:hanging="567"/>
        <w:jc w:val="left"/>
        <w:rPr>
          <w:lang w:val="es-ES"/>
        </w:rPr>
      </w:pPr>
      <w:r>
        <w:rPr>
          <w:lang w:val="es-ES"/>
        </w:rPr>
        <w:lastRenderedPageBreak/>
        <w:t>Comunicarse con otros RWC y Miembros, otros Centros Regionales de la OMM y la Secretaría de la OMM.</w:t>
      </w:r>
    </w:p>
    <w:p w14:paraId="3D586860" w14:textId="77777777" w:rsidR="004E2350" w:rsidRDefault="004E2350" w:rsidP="004E2350">
      <w:pPr>
        <w:pStyle w:val="WMOSubTitle1"/>
        <w:numPr>
          <w:ilvl w:val="1"/>
          <w:numId w:val="46"/>
        </w:numPr>
        <w:tabs>
          <w:tab w:val="num" w:pos="1440"/>
        </w:tabs>
        <w:ind w:left="0" w:firstLine="0"/>
      </w:pPr>
      <w:r>
        <w:rPr>
          <w:lang w:val="es-ES"/>
        </w:rPr>
        <w:t>Recursos Humanos</w:t>
      </w:r>
    </w:p>
    <w:p w14:paraId="03A8EFF7" w14:textId="77777777" w:rsidR="004E2350" w:rsidRDefault="004E2350" w:rsidP="004E2350">
      <w:pPr>
        <w:pStyle w:val="Style1"/>
        <w:spacing w:before="240"/>
        <w:jc w:val="left"/>
        <w:rPr>
          <w:lang w:val="es-ES"/>
        </w:rPr>
      </w:pPr>
      <w:r>
        <w:rPr>
          <w:lang w:val="en-US"/>
        </w:rPr>
        <w:t xml:space="preserve">The necessary human resources (managers and scientific, technical and administrative personnel) with required competencies and number of staff will be allocated by the host country to RWC establishment and operations. </w:t>
      </w:r>
      <w:r>
        <w:rPr>
          <w:lang w:val="es-ES"/>
        </w:rPr>
        <w:t>Este personal puede asignarse con dedicación total o parcial a las operaciones de los RWC, en la organización de los Miembros que acogen el RWC, dependiendo de las condiciones operativas locales de los Miembros que acogen el RWC.</w:t>
      </w:r>
    </w:p>
    <w:p w14:paraId="030A75FB" w14:textId="77777777" w:rsidR="004E2350" w:rsidRDefault="004E2350" w:rsidP="004E2350">
      <w:pPr>
        <w:pStyle w:val="Style1"/>
        <w:spacing w:before="240"/>
        <w:jc w:val="left"/>
        <w:rPr>
          <w:lang w:val="es-ES"/>
        </w:rPr>
      </w:pPr>
      <w:r>
        <w:rPr>
          <w:lang w:val="es-ES"/>
        </w:rPr>
        <w:t>Los países anfitriones seguirán un planteamiento sostenible para asignar personal a los CRM.</w:t>
      </w:r>
    </w:p>
    <w:p w14:paraId="435CC7D8" w14:textId="77777777" w:rsidR="004E2350" w:rsidRDefault="004E2350" w:rsidP="004E2350">
      <w:pPr>
        <w:pStyle w:val="Style1"/>
        <w:spacing w:before="240"/>
        <w:jc w:val="left"/>
        <w:rPr>
          <w:lang w:val="es-ES"/>
        </w:rPr>
      </w:pPr>
      <w:r>
        <w:rPr>
          <w:lang w:val="es-ES"/>
        </w:rPr>
        <w:t>El personal del RWC responsable de desempeñar las funciones del RWC debería tener como mínimo:</w:t>
      </w:r>
    </w:p>
    <w:p w14:paraId="596B8302" w14:textId="77777777" w:rsidR="004E2350" w:rsidRDefault="004E2350" w:rsidP="004E2350">
      <w:pPr>
        <w:pStyle w:val="ListParagraph"/>
        <w:numPr>
          <w:ilvl w:val="0"/>
          <w:numId w:val="57"/>
        </w:numPr>
        <w:spacing w:before="240" w:after="120"/>
        <w:ind w:left="567" w:hanging="567"/>
        <w:rPr>
          <w:rFonts w:ascii="Verdana" w:hAnsi="Verdana" w:cs="Times New Roman"/>
          <w:sz w:val="20"/>
          <w:szCs w:val="20"/>
          <w:lang w:val="es-ES"/>
        </w:rPr>
      </w:pPr>
      <w:r>
        <w:rPr>
          <w:rFonts w:ascii="Verdana" w:hAnsi="Verdana"/>
          <w:sz w:val="20"/>
          <w:szCs w:val="20"/>
          <w:lang w:val="es-ES"/>
        </w:rPr>
        <w:t>Conocimientos avanzados sobre estaciones de observación, mediciones y control y aseguramiento de la calidad, así como recogida y transmisión de datos.</w:t>
      </w:r>
    </w:p>
    <w:p w14:paraId="0C8DD6E5" w14:textId="77777777" w:rsidR="004E2350" w:rsidRDefault="004E2350" w:rsidP="004E2350">
      <w:pPr>
        <w:pStyle w:val="ListParagraph"/>
        <w:numPr>
          <w:ilvl w:val="0"/>
          <w:numId w:val="57"/>
        </w:numPr>
        <w:spacing w:before="240" w:after="120"/>
        <w:ind w:left="567" w:hanging="567"/>
        <w:rPr>
          <w:rFonts w:ascii="Verdana" w:hAnsi="Verdana" w:cs="Times New Roman"/>
          <w:sz w:val="20"/>
          <w:szCs w:val="20"/>
          <w:lang w:val="es-ES"/>
        </w:rPr>
      </w:pPr>
      <w:r>
        <w:rPr>
          <w:rFonts w:ascii="Verdana" w:hAnsi="Verdana"/>
          <w:sz w:val="20"/>
          <w:szCs w:val="20"/>
          <w:lang w:val="es-ES"/>
        </w:rPr>
        <w:t>Conocimientos y experiencia en el uso de herramientas WIGOS</w:t>
      </w:r>
    </w:p>
    <w:p w14:paraId="3879C9A3" w14:textId="77777777" w:rsidR="004E2350" w:rsidRDefault="004E2350" w:rsidP="004E2350">
      <w:pPr>
        <w:pStyle w:val="ListParagraph"/>
        <w:numPr>
          <w:ilvl w:val="0"/>
          <w:numId w:val="57"/>
        </w:numPr>
        <w:spacing w:before="240" w:after="120"/>
        <w:ind w:left="567" w:hanging="567"/>
        <w:rPr>
          <w:rFonts w:ascii="Verdana" w:hAnsi="Verdana" w:cs="Times New Roman"/>
          <w:sz w:val="20"/>
          <w:szCs w:val="20"/>
          <w:lang w:val="es-ES"/>
        </w:rPr>
      </w:pPr>
      <w:r>
        <w:rPr>
          <w:rFonts w:ascii="Verdana" w:hAnsi="Verdana"/>
          <w:sz w:val="20"/>
          <w:szCs w:val="20"/>
          <w:lang w:val="es-ES"/>
        </w:rPr>
        <w:t>Familiaridad con los sistemas y operaciones WIGOS y WIS</w:t>
      </w:r>
    </w:p>
    <w:p w14:paraId="33393FC4" w14:textId="77777777" w:rsidR="004E2350" w:rsidRDefault="004E2350" w:rsidP="004E2350">
      <w:pPr>
        <w:pStyle w:val="ListParagraph"/>
        <w:numPr>
          <w:ilvl w:val="0"/>
          <w:numId w:val="57"/>
        </w:numPr>
        <w:spacing w:before="240" w:after="120"/>
        <w:ind w:left="567" w:hanging="567"/>
        <w:rPr>
          <w:rFonts w:ascii="Verdana" w:hAnsi="Verdana" w:cs="Times New Roman"/>
          <w:sz w:val="20"/>
          <w:szCs w:val="20"/>
          <w:lang w:val="es-ES"/>
        </w:rPr>
      </w:pPr>
      <w:r>
        <w:rPr>
          <w:rFonts w:ascii="Verdana" w:hAnsi="Verdana"/>
          <w:sz w:val="20"/>
          <w:szCs w:val="20"/>
          <w:lang w:val="es-ES"/>
        </w:rPr>
        <w:t>Conocimientos sobre el uso de equipos informáticos.</w:t>
      </w:r>
    </w:p>
    <w:p w14:paraId="36501BF8" w14:textId="77777777" w:rsidR="004E2350" w:rsidRDefault="004E2350" w:rsidP="004E2350">
      <w:pPr>
        <w:pStyle w:val="Style1"/>
        <w:spacing w:before="240"/>
        <w:jc w:val="left"/>
        <w:rPr>
          <w:lang w:val="es-ES"/>
        </w:rPr>
      </w:pPr>
      <w:r>
        <w:rPr>
          <w:lang w:val="es-ES"/>
        </w:rPr>
        <w:t>El personal asignado a las operaciones de los RWC debe estar familiarizado con el proceso al que debe someterse cada RWC como parte de un programa de auditoría que incluya la auditoría de los RWC para convertirse en RWC en modo operativo, así como auditorías de vigilancia y auditorías de recertificación.</w:t>
      </w:r>
    </w:p>
    <w:p w14:paraId="3A4DC3CC" w14:textId="77777777" w:rsidR="004E2350" w:rsidRDefault="004E2350" w:rsidP="004E2350">
      <w:pPr>
        <w:pStyle w:val="Style1"/>
        <w:spacing w:before="240"/>
        <w:jc w:val="left"/>
        <w:rPr>
          <w:lang w:val="es-ES"/>
        </w:rPr>
      </w:pPr>
      <w:r>
        <w:rPr>
          <w:lang w:val="es-ES"/>
        </w:rPr>
        <w:t>En principio, se espera que el personal del RWC realice sus tareas relacionadas con el RWC durante las horas normales de trabajo en días laborables oficiales. La ampliación de los días y las horas de trabajo será objeto de examen y decisión de cada CAB en función de sus recursos y estrategia operativa.</w:t>
      </w:r>
    </w:p>
    <w:p w14:paraId="545D469E" w14:textId="77777777" w:rsidR="004E2350" w:rsidRDefault="004E2350" w:rsidP="004E2350">
      <w:pPr>
        <w:pStyle w:val="WMOSubTitle1"/>
        <w:numPr>
          <w:ilvl w:val="1"/>
          <w:numId w:val="46"/>
        </w:numPr>
        <w:tabs>
          <w:tab w:val="num" w:pos="1440"/>
        </w:tabs>
        <w:ind w:left="0" w:firstLine="0"/>
      </w:pPr>
      <w:r>
        <w:rPr>
          <w:lang w:val="es-ES"/>
        </w:rPr>
        <w:t>Recursos financieros</w:t>
      </w:r>
    </w:p>
    <w:p w14:paraId="196B0F9D" w14:textId="77777777" w:rsidR="004E2350" w:rsidRDefault="004E2350" w:rsidP="004E2350">
      <w:pPr>
        <w:pStyle w:val="Style1"/>
        <w:spacing w:before="240"/>
        <w:jc w:val="left"/>
      </w:pPr>
      <w:r>
        <w:t>It is agreed that the responsibility for funding RWC operations rests with the Members hosting RWCs. Considering it may be needed to get support for allocating resources, it is recommended that any RWC in need of additional support will identify partners and develop effective resource mobilization strategies with a view to deriving maximum benefit from the various multilateral funding mechanisms and regional development institutions. The WMO Secretariat is prepared to support all stages of such resource mobilization efforts.</w:t>
      </w:r>
    </w:p>
    <w:p w14:paraId="3B42C94F" w14:textId="77777777" w:rsidR="004E2350" w:rsidRDefault="004E2350" w:rsidP="004E2350">
      <w:pPr>
        <w:pStyle w:val="Heading3"/>
        <w:numPr>
          <w:ilvl w:val="0"/>
          <w:numId w:val="46"/>
        </w:numPr>
        <w:tabs>
          <w:tab w:val="num" w:pos="644"/>
        </w:tabs>
        <w:ind w:left="0" w:firstLine="0"/>
      </w:pPr>
      <w:r>
        <w:t>Referencias</w:t>
      </w:r>
    </w:p>
    <w:p w14:paraId="0C31BC49" w14:textId="0A832873" w:rsidR="004E2350" w:rsidRDefault="004E2350" w:rsidP="004E2350">
      <w:pPr>
        <w:pStyle w:val="ListParagraph"/>
        <w:numPr>
          <w:ilvl w:val="0"/>
          <w:numId w:val="58"/>
        </w:numPr>
        <w:tabs>
          <w:tab w:val="left" w:pos="1134"/>
        </w:tabs>
        <w:spacing w:before="240" w:after="120"/>
        <w:ind w:left="567" w:hanging="567"/>
        <w:rPr>
          <w:rFonts w:ascii="Verdana" w:eastAsia="Arial" w:hAnsi="Verdana" w:cs="Arial"/>
          <w:sz w:val="20"/>
          <w:szCs w:val="20"/>
        </w:rPr>
      </w:pPr>
      <w:hyperlink r:id="rId24" w:history="1">
        <w:r w:rsidRPr="004E2350">
          <w:rPr>
            <w:rStyle w:val="Hyperlink"/>
            <w:rFonts w:ascii="Verdana" w:eastAsia="Arial" w:hAnsi="Verdana" w:cs="Arial"/>
            <w:i/>
            <w:iCs/>
            <w:sz w:val="20"/>
            <w:szCs w:val="20"/>
          </w:rPr>
          <w:t>Manual on the WMO Integrated Global Observing System</w:t>
        </w:r>
      </w:hyperlink>
      <w:r>
        <w:rPr>
          <w:rFonts w:ascii="Verdana" w:eastAsia="Arial" w:hAnsi="Verdana" w:cs="Arial"/>
          <w:sz w:val="20"/>
          <w:szCs w:val="20"/>
        </w:rPr>
        <w:t xml:space="preserve"> (WMO-No. 1160)</w:t>
      </w:r>
    </w:p>
    <w:p w14:paraId="6B10F52A" w14:textId="2C737A0D" w:rsidR="004E2350" w:rsidRDefault="004E2350" w:rsidP="004E2350">
      <w:pPr>
        <w:pStyle w:val="ListParagraph"/>
        <w:numPr>
          <w:ilvl w:val="0"/>
          <w:numId w:val="58"/>
        </w:numPr>
        <w:tabs>
          <w:tab w:val="left" w:pos="1134"/>
        </w:tabs>
        <w:spacing w:before="240" w:after="120"/>
        <w:ind w:left="567" w:hanging="567"/>
        <w:rPr>
          <w:rFonts w:ascii="Verdana" w:eastAsia="Arial" w:hAnsi="Verdana" w:cs="Arial"/>
          <w:sz w:val="20"/>
          <w:szCs w:val="20"/>
          <w:lang w:val="es-ES"/>
        </w:rPr>
      </w:pPr>
      <w:hyperlink r:id="rId25" w:history="1">
        <w:r w:rsidRPr="004E2350">
          <w:rPr>
            <w:rStyle w:val="Hyperlink"/>
            <w:rFonts w:ascii="Verdana" w:hAnsi="Verdana"/>
            <w:sz w:val="20"/>
            <w:szCs w:val="20"/>
            <w:lang w:val="es-ES"/>
          </w:rPr>
          <w:t>Guía del Sistema Mundial Integrado de Observación de la OMM (OMM-Nº 1165), Establecimiento de los RWC en modo piloto (Capítulo 8)</w:t>
        </w:r>
      </w:hyperlink>
    </w:p>
    <w:p w14:paraId="049A3264" w14:textId="7085E330" w:rsidR="004E2350" w:rsidRDefault="004E2350" w:rsidP="004E2350">
      <w:pPr>
        <w:pStyle w:val="ListParagraph"/>
        <w:numPr>
          <w:ilvl w:val="0"/>
          <w:numId w:val="58"/>
        </w:numPr>
        <w:tabs>
          <w:tab w:val="left" w:pos="1134"/>
        </w:tabs>
        <w:spacing w:before="240" w:after="120"/>
        <w:ind w:left="567" w:hanging="567"/>
        <w:rPr>
          <w:rFonts w:ascii="Verdana" w:eastAsia="Arial" w:hAnsi="Verdana" w:cs="Arial"/>
          <w:sz w:val="20"/>
          <w:szCs w:val="20"/>
        </w:rPr>
      </w:pPr>
      <w:hyperlink r:id="rId26" w:history="1">
        <w:r w:rsidRPr="004E2350">
          <w:rPr>
            <w:rStyle w:val="Hyperlink"/>
            <w:rFonts w:ascii="Verdana" w:eastAsia="Arial" w:hAnsi="Verdana" w:cs="Arial"/>
            <w:i/>
            <w:iCs/>
            <w:sz w:val="20"/>
            <w:szCs w:val="20"/>
          </w:rPr>
          <w:t>Technical Guidelines for Regional WIGOS Centres on the WIGOS Data Quality Monitoring System</w:t>
        </w:r>
      </w:hyperlink>
      <w:r>
        <w:rPr>
          <w:rFonts w:ascii="Verdana" w:eastAsia="Arial" w:hAnsi="Verdana" w:cs="Arial"/>
          <w:sz w:val="20"/>
          <w:szCs w:val="20"/>
        </w:rPr>
        <w:t xml:space="preserve"> (WMO-No. 1224)</w:t>
      </w:r>
    </w:p>
    <w:p w14:paraId="2A8BC99F" w14:textId="563148B1" w:rsidR="004E2350" w:rsidRDefault="004E2350" w:rsidP="004E2350">
      <w:pPr>
        <w:pStyle w:val="ListParagraph"/>
        <w:numPr>
          <w:ilvl w:val="0"/>
          <w:numId w:val="58"/>
        </w:numPr>
        <w:tabs>
          <w:tab w:val="left" w:pos="1134"/>
        </w:tabs>
        <w:spacing w:before="240" w:after="120"/>
        <w:ind w:left="567" w:hanging="567"/>
        <w:rPr>
          <w:rFonts w:ascii="Verdana" w:hAnsi="Verdana"/>
          <w:color w:val="0000FF"/>
          <w:sz w:val="20"/>
          <w:szCs w:val="20"/>
          <w:u w:val="single"/>
          <w:lang w:val="es-ES"/>
        </w:rPr>
      </w:pPr>
      <w:hyperlink r:id="rId27" w:history="1">
        <w:r w:rsidRPr="004E2350">
          <w:rPr>
            <w:rStyle w:val="Hyperlink"/>
            <w:rFonts w:ascii="Verdana" w:hAnsi="Verdana"/>
            <w:i/>
            <w:iCs/>
            <w:sz w:val="20"/>
            <w:szCs w:val="20"/>
            <w:lang w:val="es-ES"/>
          </w:rPr>
          <w:t>WIGOS Metadata Standard</w:t>
        </w:r>
      </w:hyperlink>
      <w:r>
        <w:rPr>
          <w:rFonts w:ascii="Verdana" w:hAnsi="Verdana"/>
          <w:sz w:val="20"/>
          <w:szCs w:val="20"/>
          <w:lang w:val="es-ES"/>
        </w:rPr>
        <w:t xml:space="preserve"> (WMO-No.1192)</w:t>
      </w:r>
    </w:p>
    <w:p w14:paraId="4FC2A171" w14:textId="77777777" w:rsidR="004E2350" w:rsidRDefault="004E2350" w:rsidP="004E2350">
      <w:pPr>
        <w:pStyle w:val="ListParagraph"/>
        <w:numPr>
          <w:ilvl w:val="0"/>
          <w:numId w:val="58"/>
        </w:numPr>
        <w:tabs>
          <w:tab w:val="left" w:pos="1134"/>
        </w:tabs>
        <w:spacing w:before="240" w:after="120"/>
        <w:ind w:left="567" w:hanging="567"/>
        <w:rPr>
          <w:rFonts w:ascii="Verdana" w:hAnsi="Verdana"/>
          <w:i/>
          <w:iCs/>
          <w:sz w:val="20"/>
          <w:szCs w:val="20"/>
        </w:rPr>
      </w:pPr>
      <w:hyperlink r:id="rId28" w:history="1">
        <w:r>
          <w:rPr>
            <w:rStyle w:val="Hyperlink"/>
            <w:rFonts w:ascii="Verdana" w:hAnsi="Verdana"/>
            <w:i/>
            <w:iCs/>
            <w:sz w:val="20"/>
            <w:szCs w:val="20"/>
          </w:rPr>
          <w:t>Regional Association VI (Europe) – Seventeenth session</w:t>
        </w:r>
      </w:hyperlink>
      <w:r>
        <w:rPr>
          <w:rFonts w:ascii="Verdana" w:hAnsi="Verdana"/>
          <w:i/>
          <w:iCs/>
          <w:sz w:val="20"/>
          <w:szCs w:val="20"/>
        </w:rPr>
        <w:t xml:space="preserve"> </w:t>
      </w:r>
      <w:r>
        <w:rPr>
          <w:rFonts w:ascii="Verdana" w:hAnsi="Verdana"/>
          <w:sz w:val="20"/>
          <w:szCs w:val="20"/>
        </w:rPr>
        <w:t>(WMO-No. 1210)</w:t>
      </w:r>
    </w:p>
    <w:p w14:paraId="78B84D3B" w14:textId="77777777" w:rsidR="004E2350" w:rsidRDefault="004E2350" w:rsidP="004E2350">
      <w:pPr>
        <w:pStyle w:val="ListParagraph"/>
        <w:numPr>
          <w:ilvl w:val="0"/>
          <w:numId w:val="58"/>
        </w:numPr>
        <w:tabs>
          <w:tab w:val="left" w:pos="1134"/>
        </w:tabs>
        <w:spacing w:before="240" w:after="120"/>
        <w:ind w:left="567" w:hanging="567"/>
        <w:rPr>
          <w:rStyle w:val="Hyperlink"/>
        </w:rPr>
      </w:pPr>
      <w:r>
        <w:rPr>
          <w:rFonts w:ascii="Verdana" w:hAnsi="Verdana"/>
          <w:sz w:val="20"/>
          <w:szCs w:val="20"/>
        </w:rPr>
        <w:t xml:space="preserve">WIGOS website: </w:t>
      </w:r>
      <w:hyperlink r:id="rId29" w:history="1">
        <w:r>
          <w:rPr>
            <w:rStyle w:val="Hyperlink"/>
            <w:rFonts w:ascii="Verdana" w:hAnsi="Verdana"/>
            <w:sz w:val="20"/>
            <w:szCs w:val="20"/>
          </w:rPr>
          <w:t>https://community.wmo.int/activity-areas/WIGOS</w:t>
        </w:r>
      </w:hyperlink>
    </w:p>
    <w:p w14:paraId="5177C0D3" w14:textId="132EDAE6" w:rsidR="004E2350" w:rsidRDefault="004E2350" w:rsidP="004E2350">
      <w:pPr>
        <w:pStyle w:val="ListParagraph"/>
        <w:numPr>
          <w:ilvl w:val="0"/>
          <w:numId w:val="58"/>
        </w:numPr>
        <w:tabs>
          <w:tab w:val="left" w:pos="1134"/>
        </w:tabs>
        <w:spacing w:before="240" w:after="120"/>
        <w:ind w:left="567" w:hanging="567"/>
        <w:rPr>
          <w:u w:val="single"/>
          <w:lang w:val="es-ES"/>
        </w:rPr>
      </w:pPr>
      <w:r>
        <w:rPr>
          <w:rFonts w:ascii="Verdana" w:hAnsi="Verdana"/>
          <w:sz w:val="20"/>
          <w:szCs w:val="20"/>
          <w:lang w:val="es-ES"/>
        </w:rPr>
        <w:t xml:space="preserve">Página web de los RWC de la OMM: </w:t>
      </w:r>
      <w:hyperlink r:id="rId30" w:history="1">
        <w:r w:rsidRPr="004E2350">
          <w:rPr>
            <w:rStyle w:val="Hyperlink"/>
            <w:rFonts w:ascii="Verdana" w:hAnsi="Verdana"/>
            <w:sz w:val="20"/>
            <w:szCs w:val="20"/>
            <w:lang w:val="es-ES"/>
          </w:rPr>
          <w:t>https://community.wmo.int/rwc</w:t>
        </w:r>
      </w:hyperlink>
    </w:p>
    <w:p w14:paraId="7A2D4A2C" w14:textId="77777777" w:rsidR="004E2350" w:rsidRDefault="004E2350" w:rsidP="004E2350">
      <w:pPr>
        <w:pStyle w:val="ListParagraph"/>
        <w:numPr>
          <w:ilvl w:val="0"/>
          <w:numId w:val="58"/>
        </w:numPr>
        <w:tabs>
          <w:tab w:val="left" w:pos="1134"/>
        </w:tabs>
        <w:spacing w:before="240" w:after="120"/>
        <w:ind w:left="567" w:hanging="567"/>
        <w:rPr>
          <w:rStyle w:val="Hyperlink"/>
        </w:rPr>
      </w:pPr>
      <w:hyperlink r:id="rId31" w:history="1">
        <w:r>
          <w:rPr>
            <w:rStyle w:val="Hyperlink"/>
            <w:rFonts w:ascii="Verdana" w:hAnsi="Verdana"/>
            <w:sz w:val="20"/>
            <w:szCs w:val="20"/>
          </w:rPr>
          <w:t>Portal de aprendizaje WIGOS</w:t>
        </w:r>
      </w:hyperlink>
      <w:bookmarkStart w:id="11" w:name="_Hlk132717659"/>
    </w:p>
    <w:p w14:paraId="36836CED" w14:textId="424EF85C" w:rsidR="004E2350" w:rsidRDefault="004E2350" w:rsidP="004E2350">
      <w:pPr>
        <w:pStyle w:val="ListParagraph"/>
        <w:numPr>
          <w:ilvl w:val="0"/>
          <w:numId w:val="58"/>
        </w:numPr>
        <w:tabs>
          <w:tab w:val="left" w:pos="1134"/>
        </w:tabs>
        <w:spacing w:before="240" w:after="120"/>
        <w:ind w:left="567" w:hanging="567"/>
        <w:rPr>
          <w:u w:val="single"/>
          <w:lang w:val="es-ES"/>
        </w:rPr>
      </w:pPr>
      <w:r>
        <w:rPr>
          <w:rFonts w:ascii="Verdana" w:hAnsi="Verdana"/>
          <w:sz w:val="20"/>
          <w:szCs w:val="20"/>
          <w:lang w:val="es-ES"/>
        </w:rPr>
        <w:t xml:space="preserve">Portal EUCOS: </w:t>
      </w:r>
      <w:hyperlink r:id="rId32" w:history="1">
        <w:r w:rsidRPr="004E2350">
          <w:rPr>
            <w:rStyle w:val="Hyperlink"/>
            <w:rFonts w:ascii="Verdana" w:hAnsi="Verdana"/>
            <w:sz w:val="20"/>
            <w:szCs w:val="20"/>
            <w:lang w:val="es-ES"/>
          </w:rPr>
          <w:t>https://eucos.dwd.de/ravi/#SurfaceStationsSelectionPlace:%7B%7D</w:t>
        </w:r>
      </w:hyperlink>
    </w:p>
    <w:bookmarkEnd w:id="11"/>
    <w:p w14:paraId="6AF68C26" w14:textId="77777777" w:rsidR="004E2350" w:rsidRDefault="004E2350" w:rsidP="004E2350">
      <w:pPr>
        <w:pStyle w:val="ListParagraph"/>
        <w:rPr>
          <w:rFonts w:ascii="Verdana" w:hAnsi="Verdana" w:cs="Times New Roman"/>
          <w:b/>
          <w:bCs/>
          <w:sz w:val="20"/>
          <w:szCs w:val="20"/>
          <w:lang w:val="es-ES"/>
        </w:rPr>
      </w:pPr>
    </w:p>
    <w:p w14:paraId="0F6B75A9" w14:textId="77777777" w:rsidR="004E2350" w:rsidRDefault="004E2350" w:rsidP="004E2350">
      <w:pPr>
        <w:pStyle w:val="ListParagraph"/>
        <w:rPr>
          <w:rFonts w:ascii="Verdana" w:hAnsi="Verdana" w:cs="Times New Roman"/>
          <w:b/>
          <w:bCs/>
          <w:sz w:val="20"/>
          <w:szCs w:val="20"/>
          <w:lang w:val="es-ES"/>
        </w:rPr>
      </w:pPr>
    </w:p>
    <w:p w14:paraId="288D7E95" w14:textId="77777777" w:rsidR="004E2350" w:rsidRDefault="004E2350" w:rsidP="004E2350">
      <w:pPr>
        <w:tabs>
          <w:tab w:val="clear" w:pos="1134"/>
        </w:tabs>
        <w:spacing w:line="256" w:lineRule="auto"/>
        <w:jc w:val="left"/>
        <w:rPr>
          <w:rFonts w:eastAsiaTheme="minorHAnsi" w:cs="Times New Roman"/>
          <w:b/>
          <w:bCs/>
          <w:lang w:val="es-ES"/>
        </w:rPr>
        <w:sectPr w:rsidR="004E2350" w:rsidSect="004E2350">
          <w:pgSz w:w="11906" w:h="16838"/>
          <w:pgMar w:top="1417" w:right="1417" w:bottom="1417" w:left="1417" w:header="1418" w:footer="708" w:gutter="0"/>
          <w:cols w:space="720"/>
        </w:sectPr>
      </w:pPr>
    </w:p>
    <w:p w14:paraId="573DD7B8" w14:textId="77777777" w:rsidR="004E2350" w:rsidRDefault="004E2350" w:rsidP="004E2350">
      <w:pPr>
        <w:pStyle w:val="Heading2"/>
        <w:pageBreakBefore/>
        <w:rPr>
          <w:sz w:val="20"/>
          <w:szCs w:val="20"/>
          <w:lang w:val="es-ES"/>
        </w:rPr>
      </w:pPr>
      <w:r>
        <w:rPr>
          <w:sz w:val="20"/>
          <w:szCs w:val="20"/>
          <w:lang w:val="es-ES"/>
        </w:rPr>
        <w:lastRenderedPageBreak/>
        <w:t>Anexo I</w:t>
      </w:r>
    </w:p>
    <w:p w14:paraId="7A899385" w14:textId="77777777" w:rsidR="004E2350" w:rsidRDefault="004E2350" w:rsidP="004E2350">
      <w:pPr>
        <w:pStyle w:val="Heading3"/>
        <w:rPr>
          <w:lang w:val="es-ES"/>
        </w:rPr>
      </w:pPr>
      <w:r>
        <w:rPr>
          <w:lang w:val="es-ES"/>
        </w:rPr>
        <w:t>Distribución de funciones y afiliaciones de los diputados (mayo de 2024, actualizado en julio de 2024)</w:t>
      </w:r>
    </w:p>
    <w:tbl>
      <w:tblPr>
        <w:tblW w:w="1395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305"/>
        <w:gridCol w:w="2520"/>
        <w:gridCol w:w="2535"/>
        <w:gridCol w:w="2535"/>
        <w:gridCol w:w="2535"/>
        <w:gridCol w:w="2520"/>
      </w:tblGrid>
      <w:tr w:rsidR="004E2350" w14:paraId="0A44099D" w14:textId="77777777" w:rsidTr="004E2350">
        <w:trPr>
          <w:trHeight w:val="300"/>
        </w:trPr>
        <w:tc>
          <w:tcPr>
            <w:tcW w:w="1305" w:type="dxa"/>
            <w:tcBorders>
              <w:top w:val="single" w:sz="6" w:space="0" w:color="auto"/>
              <w:left w:val="single" w:sz="6" w:space="0" w:color="auto"/>
              <w:bottom w:val="single" w:sz="6" w:space="0" w:color="auto"/>
              <w:right w:val="single" w:sz="6" w:space="0" w:color="auto"/>
            </w:tcBorders>
            <w:hideMark/>
          </w:tcPr>
          <w:p w14:paraId="0AED41D1" w14:textId="77777777" w:rsidR="004E2350" w:rsidRDefault="004E2350">
            <w:pPr>
              <w:jc w:val="center"/>
              <w:textAlignment w:val="baseline"/>
              <w:rPr>
                <w:rFonts w:eastAsia="Times New Roman" w:cs="Times New Roman"/>
              </w:rPr>
            </w:pPr>
            <w:r>
              <w:rPr>
                <w:rFonts w:eastAsia="Times New Roman" w:cs="Times New Roman"/>
                <w:b/>
              </w:rPr>
              <w:t>RWC</w:t>
            </w:r>
          </w:p>
        </w:tc>
        <w:tc>
          <w:tcPr>
            <w:tcW w:w="2520" w:type="dxa"/>
            <w:tcBorders>
              <w:top w:val="single" w:sz="6" w:space="0" w:color="auto"/>
              <w:left w:val="single" w:sz="6" w:space="0" w:color="auto"/>
              <w:bottom w:val="single" w:sz="6" w:space="0" w:color="auto"/>
              <w:right w:val="single" w:sz="6" w:space="0" w:color="auto"/>
            </w:tcBorders>
            <w:hideMark/>
          </w:tcPr>
          <w:p w14:paraId="4B02A300" w14:textId="77777777" w:rsidR="004E2350" w:rsidRDefault="004E2350">
            <w:pPr>
              <w:jc w:val="center"/>
              <w:textAlignment w:val="baseline"/>
              <w:rPr>
                <w:rFonts w:eastAsia="Times New Roman" w:cs="Times New Roman"/>
              </w:rPr>
            </w:pPr>
            <w:r>
              <w:rPr>
                <w:lang w:val="es-ES"/>
              </w:rPr>
              <w:t>Bosnia y Herzegovina</w:t>
            </w:r>
          </w:p>
        </w:tc>
        <w:tc>
          <w:tcPr>
            <w:tcW w:w="2535" w:type="dxa"/>
            <w:tcBorders>
              <w:top w:val="single" w:sz="6" w:space="0" w:color="auto"/>
              <w:left w:val="single" w:sz="6" w:space="0" w:color="auto"/>
              <w:bottom w:val="single" w:sz="6" w:space="0" w:color="auto"/>
              <w:right w:val="single" w:sz="6" w:space="0" w:color="auto"/>
            </w:tcBorders>
            <w:hideMark/>
          </w:tcPr>
          <w:p w14:paraId="3F341A0E" w14:textId="77777777" w:rsidR="004E2350" w:rsidRDefault="004E2350">
            <w:pPr>
              <w:jc w:val="center"/>
              <w:textAlignment w:val="baseline"/>
              <w:rPr>
                <w:rFonts w:eastAsia="Times New Roman" w:cs="Times New Roman"/>
                <w:lang w:val="es-ES"/>
              </w:rPr>
            </w:pPr>
            <w:r>
              <w:rPr>
                <w:b/>
                <w:bCs/>
                <w:lang w:val="es-ES"/>
              </w:rPr>
              <w:t>Kazajstán, Federación Rusa y Bielorrusia</w:t>
            </w:r>
          </w:p>
        </w:tc>
        <w:tc>
          <w:tcPr>
            <w:tcW w:w="2535" w:type="dxa"/>
            <w:tcBorders>
              <w:top w:val="single" w:sz="6" w:space="0" w:color="auto"/>
              <w:left w:val="single" w:sz="6" w:space="0" w:color="auto"/>
              <w:bottom w:val="single" w:sz="6" w:space="0" w:color="auto"/>
              <w:right w:val="single" w:sz="6" w:space="0" w:color="auto"/>
            </w:tcBorders>
            <w:hideMark/>
          </w:tcPr>
          <w:p w14:paraId="4CD869DF" w14:textId="77777777" w:rsidR="004E2350" w:rsidRDefault="004E2350">
            <w:pPr>
              <w:jc w:val="center"/>
              <w:textAlignment w:val="baseline"/>
              <w:rPr>
                <w:rFonts w:eastAsia="Times New Roman" w:cs="Times New Roman"/>
              </w:rPr>
            </w:pPr>
            <w:r>
              <w:rPr>
                <w:lang w:val="es-ES"/>
              </w:rPr>
              <w:t>Rumanía</w:t>
            </w:r>
          </w:p>
        </w:tc>
        <w:tc>
          <w:tcPr>
            <w:tcW w:w="2535" w:type="dxa"/>
            <w:tcBorders>
              <w:top w:val="single" w:sz="6" w:space="0" w:color="auto"/>
              <w:left w:val="single" w:sz="6" w:space="0" w:color="auto"/>
              <w:bottom w:val="single" w:sz="6" w:space="0" w:color="auto"/>
              <w:right w:val="single" w:sz="6" w:space="0" w:color="auto"/>
            </w:tcBorders>
            <w:hideMark/>
          </w:tcPr>
          <w:p w14:paraId="2562613C" w14:textId="77777777" w:rsidR="004E2350" w:rsidRDefault="004E2350">
            <w:pPr>
              <w:jc w:val="center"/>
              <w:textAlignment w:val="baseline"/>
              <w:rPr>
                <w:rFonts w:eastAsia="Times New Roman" w:cs="Times New Roman"/>
              </w:rPr>
            </w:pPr>
            <w:r>
              <w:rPr>
                <w:lang w:val="es-ES"/>
              </w:rPr>
              <w:t>Türkiye</w:t>
            </w:r>
          </w:p>
        </w:tc>
        <w:tc>
          <w:tcPr>
            <w:tcW w:w="2520" w:type="dxa"/>
            <w:tcBorders>
              <w:top w:val="single" w:sz="6" w:space="0" w:color="auto"/>
              <w:left w:val="single" w:sz="6" w:space="0" w:color="auto"/>
              <w:bottom w:val="single" w:sz="6" w:space="0" w:color="auto"/>
              <w:right w:val="single" w:sz="6" w:space="0" w:color="auto"/>
            </w:tcBorders>
            <w:hideMark/>
          </w:tcPr>
          <w:p w14:paraId="4A3910BD" w14:textId="77777777" w:rsidR="004E2350" w:rsidRDefault="004E2350">
            <w:pPr>
              <w:jc w:val="center"/>
              <w:textAlignment w:val="baseline"/>
              <w:rPr>
                <w:rFonts w:eastAsia="Times New Roman" w:cs="Times New Roman"/>
              </w:rPr>
            </w:pPr>
            <w:r>
              <w:rPr>
                <w:lang w:val="es-ES"/>
              </w:rPr>
              <w:t>EUMETNET</w:t>
            </w:r>
          </w:p>
        </w:tc>
      </w:tr>
      <w:tr w:rsidR="004E2350" w14:paraId="3C269973" w14:textId="77777777" w:rsidTr="004E2350">
        <w:trPr>
          <w:trHeight w:val="420"/>
        </w:trPr>
        <w:tc>
          <w:tcPr>
            <w:tcW w:w="1305" w:type="dxa"/>
            <w:tcBorders>
              <w:top w:val="single" w:sz="6" w:space="0" w:color="auto"/>
              <w:left w:val="single" w:sz="6" w:space="0" w:color="auto"/>
              <w:bottom w:val="single" w:sz="6" w:space="0" w:color="auto"/>
              <w:right w:val="single" w:sz="6" w:space="0" w:color="auto"/>
            </w:tcBorders>
            <w:hideMark/>
          </w:tcPr>
          <w:p w14:paraId="6F31958A" w14:textId="77777777" w:rsidR="004E2350" w:rsidRDefault="004E2350">
            <w:pPr>
              <w:textAlignment w:val="baseline"/>
              <w:rPr>
                <w:rFonts w:eastAsia="Times New Roman" w:cs="Times New Roman"/>
              </w:rPr>
            </w:pPr>
            <w:r>
              <w:rPr>
                <w:rFonts w:eastAsia="Times New Roman" w:cs="Times New Roman"/>
                <w:b/>
              </w:rPr>
              <w:t>Functions</w:t>
            </w:r>
          </w:p>
        </w:tc>
        <w:tc>
          <w:tcPr>
            <w:tcW w:w="2520" w:type="dxa"/>
            <w:tcBorders>
              <w:top w:val="single" w:sz="6" w:space="0" w:color="auto"/>
              <w:left w:val="single" w:sz="6" w:space="0" w:color="auto"/>
              <w:bottom w:val="single" w:sz="6" w:space="0" w:color="auto"/>
              <w:right w:val="single" w:sz="6" w:space="0" w:color="auto"/>
            </w:tcBorders>
            <w:hideMark/>
          </w:tcPr>
          <w:p w14:paraId="5C42B03D" w14:textId="77777777" w:rsidR="004E2350" w:rsidRDefault="004E2350">
            <w:pPr>
              <w:textAlignment w:val="baseline"/>
              <w:rPr>
                <w:rFonts w:eastAsia="Times New Roman" w:cs="Times New Roman"/>
              </w:rPr>
            </w:pPr>
            <w:r>
              <w:rPr>
                <w:lang w:val="es-ES"/>
              </w:rPr>
              <w:t>Metadatos&amp;WDQMS</w:t>
            </w:r>
          </w:p>
        </w:tc>
        <w:tc>
          <w:tcPr>
            <w:tcW w:w="2535" w:type="dxa"/>
            <w:tcBorders>
              <w:top w:val="single" w:sz="6" w:space="0" w:color="auto"/>
              <w:left w:val="single" w:sz="6" w:space="0" w:color="auto"/>
              <w:bottom w:val="single" w:sz="6" w:space="0" w:color="auto"/>
              <w:right w:val="single" w:sz="6" w:space="0" w:color="auto"/>
            </w:tcBorders>
            <w:hideMark/>
          </w:tcPr>
          <w:p w14:paraId="056FFD97" w14:textId="77777777" w:rsidR="004E2350" w:rsidRDefault="004E2350">
            <w:pPr>
              <w:textAlignment w:val="baseline"/>
              <w:rPr>
                <w:rFonts w:eastAsia="Times New Roman" w:cs="Times New Roman"/>
              </w:rPr>
            </w:pPr>
            <w:r>
              <w:rPr>
                <w:lang w:val="es-ES"/>
              </w:rPr>
              <w:t>Metadatos&amp;WDQMS</w:t>
            </w:r>
          </w:p>
        </w:tc>
        <w:tc>
          <w:tcPr>
            <w:tcW w:w="2535" w:type="dxa"/>
            <w:tcBorders>
              <w:top w:val="single" w:sz="6" w:space="0" w:color="auto"/>
              <w:left w:val="single" w:sz="6" w:space="0" w:color="auto"/>
              <w:bottom w:val="single" w:sz="6" w:space="0" w:color="auto"/>
              <w:right w:val="single" w:sz="6" w:space="0" w:color="auto"/>
            </w:tcBorders>
            <w:hideMark/>
          </w:tcPr>
          <w:p w14:paraId="34602CC6" w14:textId="77777777" w:rsidR="004E2350" w:rsidRDefault="004E2350">
            <w:pPr>
              <w:textAlignment w:val="baseline"/>
              <w:rPr>
                <w:rFonts w:eastAsia="Times New Roman" w:cs="Times New Roman"/>
              </w:rPr>
            </w:pPr>
            <w:r>
              <w:rPr>
                <w:lang w:val="es-ES"/>
              </w:rPr>
              <w:t>Metadatos&amp;WDQMS</w:t>
            </w:r>
          </w:p>
        </w:tc>
        <w:tc>
          <w:tcPr>
            <w:tcW w:w="2535" w:type="dxa"/>
            <w:tcBorders>
              <w:top w:val="single" w:sz="6" w:space="0" w:color="auto"/>
              <w:left w:val="single" w:sz="6" w:space="0" w:color="auto"/>
              <w:bottom w:val="single" w:sz="6" w:space="0" w:color="auto"/>
              <w:right w:val="single" w:sz="6" w:space="0" w:color="auto"/>
            </w:tcBorders>
            <w:hideMark/>
          </w:tcPr>
          <w:p w14:paraId="68A27421" w14:textId="77777777" w:rsidR="004E2350" w:rsidRDefault="004E2350">
            <w:pPr>
              <w:textAlignment w:val="baseline"/>
              <w:rPr>
                <w:rFonts w:eastAsia="Times New Roman" w:cs="Times New Roman"/>
              </w:rPr>
            </w:pPr>
            <w:r>
              <w:rPr>
                <w:lang w:val="es-ES"/>
              </w:rPr>
              <w:t>Metadatos&amp;WDQMS</w:t>
            </w:r>
          </w:p>
        </w:tc>
        <w:tc>
          <w:tcPr>
            <w:tcW w:w="2520" w:type="dxa"/>
            <w:tcBorders>
              <w:top w:val="single" w:sz="6" w:space="0" w:color="auto"/>
              <w:left w:val="single" w:sz="6" w:space="0" w:color="auto"/>
              <w:bottom w:val="single" w:sz="6" w:space="0" w:color="auto"/>
              <w:right w:val="single" w:sz="6" w:space="0" w:color="auto"/>
            </w:tcBorders>
            <w:hideMark/>
          </w:tcPr>
          <w:p w14:paraId="3B4E0BC7" w14:textId="77777777" w:rsidR="004E2350" w:rsidRDefault="004E2350">
            <w:pPr>
              <w:textAlignment w:val="baseline"/>
              <w:rPr>
                <w:rFonts w:eastAsia="Times New Roman" w:cs="Times New Roman"/>
              </w:rPr>
            </w:pPr>
            <w:r>
              <w:rPr>
                <w:lang w:val="es-ES"/>
              </w:rPr>
              <w:t>Metadatos&amp;WDQMS</w:t>
            </w:r>
          </w:p>
        </w:tc>
      </w:tr>
      <w:tr w:rsidR="004E2350" w14:paraId="52BD8591" w14:textId="77777777" w:rsidTr="004E2350">
        <w:trPr>
          <w:trHeight w:val="300"/>
        </w:trPr>
        <w:tc>
          <w:tcPr>
            <w:tcW w:w="1305" w:type="dxa"/>
            <w:tcBorders>
              <w:top w:val="single" w:sz="6" w:space="0" w:color="auto"/>
              <w:left w:val="single" w:sz="6" w:space="0" w:color="auto"/>
              <w:bottom w:val="single" w:sz="6" w:space="0" w:color="auto"/>
              <w:right w:val="single" w:sz="6" w:space="0" w:color="auto"/>
            </w:tcBorders>
            <w:hideMark/>
          </w:tcPr>
          <w:p w14:paraId="2FD9A78C" w14:textId="77777777" w:rsidR="004E2350" w:rsidRDefault="004E2350">
            <w:pPr>
              <w:textAlignment w:val="baseline"/>
              <w:rPr>
                <w:rFonts w:eastAsia="Times New Roman" w:cs="Times New Roman"/>
              </w:rPr>
            </w:pPr>
            <w:r>
              <w:rPr>
                <w:b/>
                <w:bCs/>
                <w:lang w:val="es-ES"/>
              </w:rPr>
              <w:t>Miembros afiliados propuestos</w:t>
            </w:r>
          </w:p>
        </w:tc>
        <w:tc>
          <w:tcPr>
            <w:tcW w:w="2520" w:type="dxa"/>
            <w:tcBorders>
              <w:top w:val="single" w:sz="6" w:space="0" w:color="auto"/>
              <w:left w:val="single" w:sz="6" w:space="0" w:color="auto"/>
              <w:bottom w:val="single" w:sz="6" w:space="0" w:color="auto"/>
              <w:right w:val="single" w:sz="6" w:space="0" w:color="auto"/>
            </w:tcBorders>
            <w:hideMark/>
          </w:tcPr>
          <w:p w14:paraId="4BFD665F" w14:textId="77777777" w:rsidR="004E2350" w:rsidRDefault="004E2350">
            <w:pPr>
              <w:shd w:val="clear" w:color="auto" w:fill="FFFFFF"/>
              <w:textAlignment w:val="baseline"/>
              <w:rPr>
                <w:rFonts w:eastAsia="Times New Roman" w:cs="Times New Roman"/>
              </w:rPr>
            </w:pPr>
            <w:r>
              <w:rPr>
                <w:lang w:val="es-ES"/>
              </w:rPr>
              <w:t>1. Albania</w:t>
            </w:r>
          </w:p>
          <w:p w14:paraId="534D3369" w14:textId="77777777" w:rsidR="004E2350" w:rsidRDefault="004E2350">
            <w:pPr>
              <w:shd w:val="clear" w:color="auto" w:fill="FFFFFF"/>
              <w:textAlignment w:val="baseline"/>
              <w:rPr>
                <w:rFonts w:eastAsia="Times New Roman" w:cs="Times New Roman"/>
              </w:rPr>
            </w:pPr>
            <w:r>
              <w:rPr>
                <w:lang w:val="es-ES"/>
              </w:rPr>
              <w:t>2. Bulgaria</w:t>
            </w:r>
          </w:p>
          <w:p w14:paraId="53BA285F" w14:textId="77777777" w:rsidR="004E2350" w:rsidRDefault="004E2350">
            <w:pPr>
              <w:textAlignment w:val="baseline"/>
              <w:rPr>
                <w:rFonts w:eastAsia="Times New Roman" w:cs="Times New Roman"/>
              </w:rPr>
            </w:pPr>
            <w:r>
              <w:rPr>
                <w:lang w:val="es-ES"/>
              </w:rPr>
              <w:t>3. Türkiye</w:t>
            </w:r>
          </w:p>
        </w:tc>
        <w:tc>
          <w:tcPr>
            <w:tcW w:w="2535" w:type="dxa"/>
            <w:tcBorders>
              <w:top w:val="single" w:sz="6" w:space="0" w:color="auto"/>
              <w:left w:val="single" w:sz="6" w:space="0" w:color="auto"/>
              <w:bottom w:val="single" w:sz="6" w:space="0" w:color="auto"/>
              <w:right w:val="single" w:sz="6" w:space="0" w:color="auto"/>
            </w:tcBorders>
            <w:hideMark/>
          </w:tcPr>
          <w:p w14:paraId="27ABAD90" w14:textId="77777777" w:rsidR="004E2350" w:rsidRDefault="004E2350">
            <w:pPr>
              <w:shd w:val="clear" w:color="auto" w:fill="FFFFFF"/>
              <w:textAlignment w:val="baseline"/>
              <w:rPr>
                <w:rFonts w:eastAsia="Times New Roman" w:cs="Times New Roman"/>
                <w:lang w:val="es-ES"/>
              </w:rPr>
            </w:pPr>
            <w:r>
              <w:rPr>
                <w:lang w:val="es-ES"/>
              </w:rPr>
              <w:t>1. Armenia</w:t>
            </w:r>
          </w:p>
          <w:p w14:paraId="002E3A1E" w14:textId="77777777" w:rsidR="004E2350" w:rsidRDefault="004E2350">
            <w:pPr>
              <w:shd w:val="clear" w:color="auto" w:fill="FFFFFF"/>
              <w:textAlignment w:val="baseline"/>
              <w:rPr>
                <w:rFonts w:eastAsia="Times New Roman" w:cs="Times New Roman"/>
                <w:lang w:val="es-ES"/>
              </w:rPr>
            </w:pPr>
            <w:r>
              <w:rPr>
                <w:lang w:val="es-ES"/>
              </w:rPr>
              <w:t>2. Belarús</w:t>
            </w:r>
          </w:p>
          <w:p w14:paraId="08784B59" w14:textId="77777777" w:rsidR="004E2350" w:rsidRDefault="004E2350">
            <w:pPr>
              <w:shd w:val="clear" w:color="auto" w:fill="FFFFFF" w:themeFill="background1"/>
              <w:textAlignment w:val="baseline"/>
              <w:rPr>
                <w:rFonts w:eastAsia="Times New Roman" w:cs="Times New Roman"/>
                <w:lang w:val="es-ES"/>
              </w:rPr>
            </w:pPr>
            <w:r>
              <w:rPr>
                <w:lang w:val="es-ES"/>
              </w:rPr>
              <w:t>3. Federación de Rusia</w:t>
            </w:r>
          </w:p>
          <w:p w14:paraId="09EF3C86" w14:textId="77777777" w:rsidR="004E2350" w:rsidRDefault="004E2350">
            <w:pPr>
              <w:shd w:val="clear" w:color="auto" w:fill="FFFFFF"/>
              <w:textAlignment w:val="baseline"/>
              <w:rPr>
                <w:rFonts w:eastAsia="Times New Roman" w:cs="Times New Roman"/>
                <w:lang w:val="es-ES"/>
              </w:rPr>
            </w:pPr>
            <w:r>
              <w:rPr>
                <w:lang w:val="es-ES"/>
              </w:rPr>
              <w:t>4. Kazajstán*</w:t>
            </w:r>
          </w:p>
          <w:p w14:paraId="39F1A275" w14:textId="77777777" w:rsidR="004E2350" w:rsidRDefault="004E2350">
            <w:pPr>
              <w:textAlignment w:val="baseline"/>
              <w:rPr>
                <w:rFonts w:eastAsia="Times New Roman" w:cs="Times New Roman"/>
              </w:rPr>
            </w:pPr>
            <w:r>
              <w:rPr>
                <w:lang w:val="es-ES"/>
              </w:rPr>
              <w:t>5. Kirguistán*</w:t>
            </w:r>
          </w:p>
          <w:p w14:paraId="05F23F86" w14:textId="77777777" w:rsidR="004E2350" w:rsidRDefault="004E2350">
            <w:pPr>
              <w:textAlignment w:val="baseline"/>
              <w:rPr>
                <w:rFonts w:eastAsia="Times New Roman" w:cs="Times New Roman"/>
              </w:rPr>
            </w:pPr>
            <w:r>
              <w:rPr>
                <w:lang w:val="es-ES"/>
              </w:rPr>
              <w:t>6. Turkmenistán*</w:t>
            </w:r>
          </w:p>
          <w:p w14:paraId="397B9C2C" w14:textId="77777777" w:rsidR="004E2350" w:rsidRDefault="004E2350">
            <w:pPr>
              <w:textAlignment w:val="baseline"/>
              <w:rPr>
                <w:rFonts w:eastAsia="Times New Roman" w:cs="Times New Roman"/>
              </w:rPr>
            </w:pPr>
            <w:r>
              <w:rPr>
                <w:lang w:val="es-ES"/>
              </w:rPr>
              <w:t>7. Tayikistán*</w:t>
            </w:r>
          </w:p>
          <w:p w14:paraId="56230911" w14:textId="77777777" w:rsidR="004E2350" w:rsidRDefault="004E2350">
            <w:pPr>
              <w:textAlignment w:val="baseline"/>
              <w:rPr>
                <w:rFonts w:eastAsia="Times New Roman" w:cs="Times New Roman"/>
              </w:rPr>
            </w:pPr>
            <w:r>
              <w:rPr>
                <w:lang w:val="es-ES"/>
              </w:rPr>
              <w:t>8. Uzbekistán*</w:t>
            </w:r>
          </w:p>
        </w:tc>
        <w:tc>
          <w:tcPr>
            <w:tcW w:w="2535" w:type="dxa"/>
            <w:tcBorders>
              <w:top w:val="single" w:sz="6" w:space="0" w:color="auto"/>
              <w:left w:val="single" w:sz="6" w:space="0" w:color="auto"/>
              <w:bottom w:val="single" w:sz="6" w:space="0" w:color="auto"/>
              <w:right w:val="single" w:sz="6" w:space="0" w:color="auto"/>
            </w:tcBorders>
            <w:hideMark/>
          </w:tcPr>
          <w:p w14:paraId="191FBD26" w14:textId="77777777" w:rsidR="004E2350" w:rsidRDefault="004E2350">
            <w:pPr>
              <w:textAlignment w:val="baseline"/>
              <w:rPr>
                <w:rFonts w:eastAsia="Times New Roman" w:cs="Times New Roman"/>
                <w:lang w:val="es-ES"/>
              </w:rPr>
            </w:pPr>
            <w:r>
              <w:rPr>
                <w:lang w:val="es-ES"/>
              </w:rPr>
              <w:t>1. República de Moldova</w:t>
            </w:r>
          </w:p>
          <w:p w14:paraId="71A82AD3" w14:textId="77777777" w:rsidR="004E2350" w:rsidRDefault="004E2350">
            <w:pPr>
              <w:textAlignment w:val="baseline"/>
              <w:rPr>
                <w:rFonts w:eastAsia="Times New Roman" w:cs="Times New Roman"/>
                <w:lang w:val="es-ES"/>
              </w:rPr>
            </w:pPr>
            <w:r>
              <w:rPr>
                <w:lang w:val="es-ES"/>
              </w:rPr>
              <w:t>2. Ucrania</w:t>
            </w:r>
          </w:p>
          <w:p w14:paraId="5B7FE08E" w14:textId="77777777" w:rsidR="004E2350" w:rsidRDefault="004E2350">
            <w:pPr>
              <w:textAlignment w:val="baseline"/>
              <w:rPr>
                <w:rFonts w:eastAsia="Times New Roman" w:cs="Times New Roman"/>
                <w:lang w:val="es-ES"/>
              </w:rPr>
            </w:pPr>
            <w:r>
              <w:rPr>
                <w:lang w:val="es-ES"/>
              </w:rPr>
              <w:t>3. Mónaco</w:t>
            </w:r>
          </w:p>
          <w:p w14:paraId="53D683D2" w14:textId="77777777" w:rsidR="004E2350" w:rsidRDefault="004E2350">
            <w:pPr>
              <w:textAlignment w:val="baseline"/>
              <w:rPr>
                <w:rFonts w:eastAsia="Times New Roman" w:cs="Times New Roman"/>
                <w:lang w:val="es-ES"/>
              </w:rPr>
            </w:pPr>
            <w:r>
              <w:rPr>
                <w:lang w:val="es-ES"/>
              </w:rPr>
              <w:t>4. Andorra</w:t>
            </w:r>
          </w:p>
          <w:p w14:paraId="678C0021" w14:textId="77777777" w:rsidR="004E2350" w:rsidRDefault="004E2350">
            <w:pPr>
              <w:textAlignment w:val="baseline"/>
              <w:rPr>
                <w:rFonts w:eastAsia="Times New Roman" w:cs="Times New Roman"/>
              </w:rPr>
            </w:pPr>
            <w:r>
              <w:rPr>
                <w:lang w:val="es-ES"/>
              </w:rPr>
              <w:t>5. República Árabe Siria</w:t>
            </w:r>
          </w:p>
          <w:p w14:paraId="00EDE0F6" w14:textId="77777777" w:rsidR="004E2350" w:rsidRDefault="004E2350">
            <w:pPr>
              <w:textAlignment w:val="baseline"/>
              <w:rPr>
                <w:rFonts w:eastAsia="Times New Roman" w:cs="Times New Roman"/>
              </w:rPr>
            </w:pPr>
            <w:r>
              <w:rPr>
                <w:lang w:val="es-ES"/>
              </w:rPr>
              <w:t>6. Israel</w:t>
            </w:r>
          </w:p>
        </w:tc>
        <w:tc>
          <w:tcPr>
            <w:tcW w:w="2535" w:type="dxa"/>
            <w:tcBorders>
              <w:top w:val="single" w:sz="6" w:space="0" w:color="auto"/>
              <w:left w:val="single" w:sz="6" w:space="0" w:color="auto"/>
              <w:bottom w:val="single" w:sz="6" w:space="0" w:color="auto"/>
              <w:right w:val="single" w:sz="6" w:space="0" w:color="auto"/>
            </w:tcBorders>
            <w:hideMark/>
          </w:tcPr>
          <w:p w14:paraId="40DBF138" w14:textId="77777777" w:rsidR="004E2350" w:rsidRDefault="004E2350">
            <w:pPr>
              <w:shd w:val="clear" w:color="auto" w:fill="FFFFFF"/>
              <w:jc w:val="left"/>
              <w:textAlignment w:val="baseline"/>
              <w:rPr>
                <w:rFonts w:eastAsia="Times New Roman" w:cs="Times New Roman"/>
                <w:lang w:val="es-ES"/>
              </w:rPr>
            </w:pPr>
            <w:r>
              <w:rPr>
                <w:lang w:val="es-ES"/>
              </w:rPr>
              <w:t>1.Azerbaiyán</w:t>
            </w:r>
          </w:p>
          <w:p w14:paraId="50C1BF7F" w14:textId="77777777" w:rsidR="004E2350" w:rsidRDefault="004E2350">
            <w:pPr>
              <w:shd w:val="clear" w:color="auto" w:fill="FFFFFF"/>
              <w:jc w:val="left"/>
              <w:textAlignment w:val="baseline"/>
              <w:rPr>
                <w:rFonts w:eastAsia="Times New Roman" w:cs="Times New Roman"/>
                <w:lang w:val="es-ES"/>
              </w:rPr>
            </w:pPr>
            <w:r>
              <w:rPr>
                <w:lang w:val="es-ES"/>
              </w:rPr>
              <w:t>2. Georgia</w:t>
            </w:r>
          </w:p>
          <w:p w14:paraId="33DC3B63" w14:textId="77777777" w:rsidR="004E2350" w:rsidRDefault="004E2350">
            <w:pPr>
              <w:shd w:val="clear" w:color="auto" w:fill="FFFFFF"/>
              <w:jc w:val="left"/>
              <w:textAlignment w:val="baseline"/>
              <w:rPr>
                <w:rFonts w:eastAsia="Times New Roman" w:cs="Times New Roman"/>
                <w:lang w:val="es-ES"/>
              </w:rPr>
            </w:pPr>
            <w:r>
              <w:rPr>
                <w:lang w:val="es-ES"/>
              </w:rPr>
              <w:t>3. Jordania</w:t>
            </w:r>
          </w:p>
          <w:p w14:paraId="22DF0D0C" w14:textId="77777777" w:rsidR="004E2350" w:rsidRDefault="004E2350">
            <w:pPr>
              <w:shd w:val="clear" w:color="auto" w:fill="FFFFFF"/>
              <w:jc w:val="left"/>
              <w:textAlignment w:val="baseline"/>
              <w:rPr>
                <w:rFonts w:eastAsia="Times New Roman" w:cs="Times New Roman"/>
                <w:lang w:val="es-ES"/>
              </w:rPr>
            </w:pPr>
            <w:r>
              <w:rPr>
                <w:lang w:val="es-ES"/>
              </w:rPr>
              <w:t>4. Líbano</w:t>
            </w:r>
          </w:p>
          <w:p w14:paraId="62045528" w14:textId="77777777" w:rsidR="004E2350" w:rsidRDefault="004E2350">
            <w:pPr>
              <w:shd w:val="clear" w:color="auto" w:fill="FFFFFF"/>
              <w:jc w:val="left"/>
              <w:textAlignment w:val="baseline"/>
              <w:rPr>
                <w:rFonts w:eastAsia="Times New Roman" w:cs="Times New Roman"/>
                <w:lang w:val="es-ES"/>
              </w:rPr>
            </w:pPr>
            <w:r>
              <w:rPr>
                <w:lang w:val="es-ES"/>
              </w:rPr>
              <w:t>5. Bosnia y Herzegovina</w:t>
            </w:r>
          </w:p>
        </w:tc>
        <w:tc>
          <w:tcPr>
            <w:tcW w:w="2520" w:type="dxa"/>
            <w:tcBorders>
              <w:top w:val="single" w:sz="6" w:space="0" w:color="auto"/>
              <w:left w:val="single" w:sz="6" w:space="0" w:color="auto"/>
              <w:bottom w:val="single" w:sz="6" w:space="0" w:color="auto"/>
              <w:right w:val="single" w:sz="6" w:space="0" w:color="auto"/>
            </w:tcBorders>
            <w:hideMark/>
          </w:tcPr>
          <w:p w14:paraId="5B43CA87" w14:textId="77777777" w:rsidR="004E2350" w:rsidRDefault="004E2350">
            <w:pPr>
              <w:shd w:val="clear" w:color="auto" w:fill="FFFFFF"/>
              <w:textAlignment w:val="baseline"/>
              <w:rPr>
                <w:rFonts w:eastAsia="Times New Roman" w:cs="Times New Roman"/>
              </w:rPr>
            </w:pPr>
            <w:r>
              <w:rPr>
                <w:lang w:val="es-ES"/>
              </w:rPr>
              <w:t>Miembros de EUMETNET</w:t>
            </w:r>
          </w:p>
        </w:tc>
      </w:tr>
    </w:tbl>
    <w:p w14:paraId="4BB9F46D" w14:textId="77777777" w:rsidR="004E2350" w:rsidRDefault="004E2350" w:rsidP="004E2350">
      <w:pPr>
        <w:textAlignment w:val="baseline"/>
        <w:rPr>
          <w:rFonts w:eastAsia="Times New Roman" w:cs="Segoe UI"/>
        </w:rPr>
      </w:pPr>
    </w:p>
    <w:p w14:paraId="37E2D0E4" w14:textId="77777777" w:rsidR="004E2350" w:rsidRDefault="004E2350" w:rsidP="004E2350">
      <w:pPr>
        <w:textAlignment w:val="baseline"/>
        <w:rPr>
          <w:rFonts w:eastAsia="Times New Roman" w:cs="Segoe UI"/>
          <w:lang w:val="es-ES"/>
        </w:rPr>
      </w:pPr>
      <w:r>
        <w:rPr>
          <w:lang w:val="es-ES"/>
        </w:rPr>
        <w:t>* Actualmente cubiertos por los CER de AR II</w:t>
      </w:r>
    </w:p>
    <w:p w14:paraId="137485C2" w14:textId="77777777" w:rsidR="004E2350" w:rsidRDefault="004E2350" w:rsidP="004E2350">
      <w:pPr>
        <w:tabs>
          <w:tab w:val="clear" w:pos="1134"/>
        </w:tabs>
        <w:jc w:val="left"/>
        <w:rPr>
          <w:rFonts w:cs="Times New Roman"/>
          <w:b/>
          <w:bCs/>
          <w:lang w:val="es-ES"/>
        </w:rPr>
        <w:sectPr w:rsidR="004E2350" w:rsidSect="004E2350">
          <w:pgSz w:w="16838" w:h="11906" w:orient="landscape"/>
          <w:pgMar w:top="1418" w:right="1418" w:bottom="1418" w:left="1418" w:header="1415" w:footer="709" w:gutter="0"/>
          <w:cols w:space="720"/>
        </w:sectPr>
      </w:pPr>
    </w:p>
    <w:p w14:paraId="783C2F87" w14:textId="77777777" w:rsidR="004E2350" w:rsidRDefault="004E2350" w:rsidP="004E2350">
      <w:pPr>
        <w:pStyle w:val="Heading2"/>
        <w:rPr>
          <w:sz w:val="20"/>
          <w:szCs w:val="20"/>
          <w:lang w:val="es-ES"/>
        </w:rPr>
      </w:pPr>
      <w:r>
        <w:rPr>
          <w:sz w:val="20"/>
          <w:szCs w:val="20"/>
          <w:lang w:val="es-ES"/>
        </w:rPr>
        <w:lastRenderedPageBreak/>
        <w:t>PLAN DE IMPLANTACIÓN de los CRR en la AR VI</w:t>
      </w:r>
    </w:p>
    <w:p w14:paraId="37F835E5" w14:textId="77777777" w:rsidR="004E2350" w:rsidRDefault="004E2350" w:rsidP="004E2350">
      <w:pPr>
        <w:pStyle w:val="Heading3"/>
        <w:numPr>
          <w:ilvl w:val="0"/>
          <w:numId w:val="59"/>
        </w:numPr>
        <w:tabs>
          <w:tab w:val="num" w:pos="720"/>
        </w:tabs>
        <w:ind w:left="0" w:firstLine="0"/>
      </w:pPr>
      <w:r>
        <w:t>INTRODUCTION</w:t>
      </w:r>
    </w:p>
    <w:p w14:paraId="483862BD" w14:textId="77777777" w:rsidR="004E2350" w:rsidRDefault="004E2350" w:rsidP="004E2350">
      <w:pPr>
        <w:pStyle w:val="Style1"/>
        <w:spacing w:before="240"/>
        <w:jc w:val="left"/>
        <w:rPr>
          <w:lang w:val="es-ES"/>
        </w:rPr>
      </w:pPr>
      <w:r>
        <w:rPr>
          <w:lang w:val="es-ES"/>
        </w:rPr>
        <w:t>Teniendo en cuenta la gran importancia y las funciones críticas de los Centros Regionales WIGOS (RWC) para la implementación de WIGOS en la región y en los países miembros, la Decimoséptima Sesión de la RA VI celebrada en 2018 decidió establecer RWC en la región.</w:t>
      </w:r>
    </w:p>
    <w:p w14:paraId="3630D09E" w14:textId="77777777" w:rsidR="004E2350" w:rsidRDefault="004E2350" w:rsidP="004E2350">
      <w:pPr>
        <w:pStyle w:val="Style1"/>
        <w:spacing w:before="240"/>
        <w:jc w:val="left"/>
        <w:rPr>
          <w:lang w:val="es-ES"/>
        </w:rPr>
      </w:pPr>
      <w:bookmarkStart w:id="12" w:name="_Hlk126679918"/>
      <w:r>
        <w:rPr>
          <w:lang w:val="es-ES"/>
        </w:rPr>
        <w:t>Además, el despliegue operativo de los RWC se define como una de las seis principales áreas prioritarias de actividades del Plan Operativo Inicial de WIGOS para 2020-2023.</w:t>
      </w:r>
      <w:bookmarkEnd w:id="12"/>
    </w:p>
    <w:p w14:paraId="09BFFCB7" w14:textId="77777777" w:rsidR="004E2350" w:rsidRDefault="004E2350" w:rsidP="004E2350">
      <w:pPr>
        <w:pStyle w:val="Style1"/>
        <w:spacing w:before="240"/>
        <w:jc w:val="left"/>
      </w:pPr>
      <w:r>
        <w:t>The RWCs play a critical role in advancing the implementation of WIGOS at national as well as at regional level, providing regional or subregional coordination and technical support to Members.</w:t>
      </w:r>
    </w:p>
    <w:p w14:paraId="254EBE9E" w14:textId="77777777" w:rsidR="004E2350" w:rsidRDefault="004E2350" w:rsidP="004E2350">
      <w:pPr>
        <w:pStyle w:val="Style1"/>
        <w:spacing w:before="240"/>
        <w:jc w:val="left"/>
        <w:rPr>
          <w:lang w:val="es-ES"/>
        </w:rPr>
      </w:pPr>
      <w:r>
        <w:rPr>
          <w:lang w:val="es-ES"/>
        </w:rPr>
        <w:t>Las funciones obligatorias de los RWC se definen como la gestión de metadatos en OSCAR/Surface y la supervisión de la calidad de los datos con el sistema de supervisión de la calidad de los datos de WIGOS (WDQMS). Los RWC llevarán a cabo funciones de evaluación y gestión de incidentes dentro de la función de calidad de datos utilizando la herramienta web WDQMS y el Sistema de Gestión de Incidentes (IMS), u otras herramientas complementarias. El RWC puede asumir funciones opcionales adicionales, como actividades de desarrollo de capacidades, apoyo a la coordinación de proyectos regionales/subregionales y otras relacionadas con WIGOS.</w:t>
      </w:r>
    </w:p>
    <w:p w14:paraId="58F36779" w14:textId="77777777" w:rsidR="004E2350" w:rsidRDefault="004E2350" w:rsidP="004E2350">
      <w:pPr>
        <w:pStyle w:val="Style1"/>
        <w:spacing w:before="240"/>
        <w:jc w:val="left"/>
        <w:rPr>
          <w:lang w:val="es-ES"/>
        </w:rPr>
      </w:pPr>
      <w:r>
        <w:rPr>
          <w:lang w:val="es-ES"/>
        </w:rPr>
        <w:t>Los días 14 y 15 de marzo de 2023, la Secretaría de la OMM organizó en Ginebra (Suiza) un taller híbrido sobre los RWC en la AR VI para examinar, debatir y seguir desarrollando un documento conceptual y un plan de aplicación como actividad de la fase inicial para el establecimiento y funcionamiento de los RWC en la AR VI con los representantes de los Miembros dispuestos a acoger RWC, es decir, los candidatos a RWC.</w:t>
      </w:r>
    </w:p>
    <w:p w14:paraId="0CD57004" w14:textId="705732E5" w:rsidR="004E2350" w:rsidRDefault="004E2350" w:rsidP="004E2350">
      <w:pPr>
        <w:pStyle w:val="Style1"/>
        <w:spacing w:before="240"/>
        <w:jc w:val="left"/>
        <w:rPr>
          <w:lang w:val="es-ES"/>
        </w:rPr>
      </w:pPr>
      <w:r>
        <w:rPr>
          <w:lang w:val="es-ES"/>
        </w:rPr>
        <w:t xml:space="preserve">Las herramientas WIGOS, las funciones de los RWC y los recursos necesarios se presentaron en el taller a los participantes de los RWC candidatos. Los CRM candidatos prepararon un proyecto de concepto de CRM para el establecimiento y las operaciones de los CRM en la AR VI en consonancia con la </w:t>
      </w:r>
      <w:hyperlink r:id="rId33" w:history="1">
        <w:r w:rsidRPr="004E2350">
          <w:rPr>
            <w:rStyle w:val="Hyperlink"/>
            <w:lang w:val="es-ES"/>
          </w:rPr>
          <w:t>Guía del Sistema Mundial Integrado de Observación de la OMM</w:t>
        </w:r>
      </w:hyperlink>
      <w:r>
        <w:rPr>
          <w:lang w:val="es-ES"/>
        </w:rPr>
        <w:t xml:space="preserve"> (Guía del WIGOS) (OMM-Nº 1165). El borrador del documento conceptual de los RWC describe la estructura de una red de RWC en la AR VI para realizar funciones distribuidas de gestión de metadatos y control de calidad como funciones obligatorias para cubrir a todos los miembros de la AR VI.</w:t>
      </w:r>
    </w:p>
    <w:p w14:paraId="733701DF" w14:textId="77777777" w:rsidR="004E2350" w:rsidRDefault="004E2350" w:rsidP="004E2350">
      <w:pPr>
        <w:pStyle w:val="Style1"/>
        <w:spacing w:before="240"/>
        <w:jc w:val="left"/>
        <w:rPr>
          <w:lang w:val="es-ES"/>
        </w:rPr>
      </w:pPr>
      <w:r>
        <w:rPr>
          <w:lang w:val="es-ES"/>
        </w:rPr>
        <w:t>En el documento conceptual se han identificado las capacidades y los requisitos generales de los Centros Regionales de Trabajo, teniendo en cuenta la infraestructura técnica y los recursos humanos y financieros de los miembros que establecen los Centros Regionales de Trabajo: Bosnia y Herzegovina, Kazajstán, Federación Rusa, Bielorrusia, Rumanía y Turquía. EUMETNET también actuará como CER para los miembros de EUMETNET, tal y como se define en el documento conceptual.</w:t>
      </w:r>
    </w:p>
    <w:p w14:paraId="204FBF99" w14:textId="77777777" w:rsidR="004E2350" w:rsidRDefault="004E2350" w:rsidP="004E2350">
      <w:pPr>
        <w:pStyle w:val="Style1"/>
        <w:spacing w:before="240"/>
        <w:jc w:val="left"/>
        <w:rPr>
          <w:lang w:val="es-ES"/>
        </w:rPr>
      </w:pPr>
      <w:r>
        <w:rPr>
          <w:lang w:val="es-ES"/>
        </w:rPr>
        <w:t>El documento conceptual y el plan de implementación se presentarán al Grupo de Trabajo de Sistemas de Observación, Infraestructura e Información (WG-INF) de la AR VI para su revisión y aprobación. A continuación, el WG-INF presentará el documento conceptual y el plan de ejecución al Grupo de Gestión (MG) de la AR VI para su aprobación. Tras la aprobación del documento conceptual y el plan de ejecución por parte de la AR VI MG, se pondrá en marcha el proceso de solicitud y designación de los RWC, tal y como se define en las secciones siguientes.</w:t>
      </w:r>
    </w:p>
    <w:p w14:paraId="2E762687" w14:textId="77777777" w:rsidR="004E2350" w:rsidRDefault="004E2350" w:rsidP="004E2350">
      <w:pPr>
        <w:pStyle w:val="Heading3"/>
        <w:numPr>
          <w:ilvl w:val="0"/>
          <w:numId w:val="59"/>
        </w:numPr>
        <w:tabs>
          <w:tab w:val="num" w:pos="720"/>
        </w:tabs>
        <w:ind w:left="0" w:firstLine="0"/>
        <w:rPr>
          <w:lang w:val="es-ES"/>
        </w:rPr>
      </w:pPr>
      <w:r>
        <w:rPr>
          <w:lang w:val="es-ES"/>
        </w:rPr>
        <w:lastRenderedPageBreak/>
        <w:t>COMPROMISO DE TODOS LOS MIEMBROS DEL RA VI</w:t>
      </w:r>
    </w:p>
    <w:p w14:paraId="05B0C9A3" w14:textId="77777777" w:rsidR="004E2350" w:rsidRDefault="004E2350" w:rsidP="004E2350">
      <w:pPr>
        <w:pStyle w:val="Style1"/>
        <w:spacing w:before="240"/>
        <w:jc w:val="left"/>
        <w:rPr>
          <w:lang w:val="es-ES"/>
        </w:rPr>
      </w:pPr>
      <w:r>
        <w:rPr>
          <w:lang w:val="es-ES"/>
        </w:rPr>
        <w:t>El compromiso de todos los miembros de la AR VI será crucial para el funcionamiento de los CRR. Por lo tanto, se llevarán a cabo las siguientes acciones para lograr este compromiso:</w:t>
      </w:r>
    </w:p>
    <w:p w14:paraId="6A34155B" w14:textId="77777777" w:rsidR="004E2350" w:rsidRDefault="004E2350" w:rsidP="004E2350">
      <w:pPr>
        <w:pStyle w:val="ListParagraph"/>
        <w:numPr>
          <w:ilvl w:val="0"/>
          <w:numId w:val="60"/>
        </w:numPr>
        <w:spacing w:before="240" w:after="120"/>
        <w:ind w:left="567" w:hanging="567"/>
        <w:rPr>
          <w:rFonts w:ascii="Verdana" w:hAnsi="Verdana"/>
          <w:sz w:val="20"/>
          <w:szCs w:val="20"/>
          <w:lang w:val="es-ES"/>
        </w:rPr>
      </w:pPr>
      <w:r>
        <w:rPr>
          <w:rFonts w:ascii="Verdana" w:hAnsi="Verdana"/>
          <w:sz w:val="20"/>
          <w:szCs w:val="20"/>
          <w:lang w:val="es-ES"/>
        </w:rPr>
        <w:t>Todos los miembros de la AR VI deberán designar o actualizar sus PFN para WIGOS, OSCAR/Surface y WDQMS.</w:t>
      </w:r>
    </w:p>
    <w:p w14:paraId="6B24252A" w14:textId="77777777" w:rsidR="004E2350" w:rsidRDefault="004E2350" w:rsidP="004E2350">
      <w:pPr>
        <w:pStyle w:val="ListParagraph"/>
        <w:numPr>
          <w:ilvl w:val="0"/>
          <w:numId w:val="60"/>
        </w:numPr>
        <w:spacing w:before="240" w:after="120"/>
        <w:ind w:left="567" w:hanging="567"/>
        <w:rPr>
          <w:rFonts w:ascii="Verdana" w:hAnsi="Verdana"/>
          <w:sz w:val="20"/>
          <w:szCs w:val="20"/>
          <w:lang w:val="es-ES"/>
        </w:rPr>
      </w:pPr>
      <w:r>
        <w:rPr>
          <w:rFonts w:ascii="Verdana" w:hAnsi="Verdana"/>
          <w:sz w:val="20"/>
          <w:szCs w:val="20"/>
          <w:lang w:val="es-ES"/>
        </w:rPr>
        <w:t>La Secretaría de la OMM registrará en el SGI los RWC y los PFN para WDQMS de todos los Miembros.</w:t>
      </w:r>
    </w:p>
    <w:p w14:paraId="64B2A5AE" w14:textId="77777777" w:rsidR="004E2350" w:rsidRDefault="004E2350" w:rsidP="004E2350">
      <w:pPr>
        <w:pStyle w:val="ListParagraph"/>
        <w:numPr>
          <w:ilvl w:val="0"/>
          <w:numId w:val="60"/>
        </w:numPr>
        <w:spacing w:before="240" w:after="120"/>
        <w:ind w:left="567" w:hanging="567"/>
        <w:rPr>
          <w:rFonts w:ascii="Verdana" w:hAnsi="Verdana"/>
          <w:sz w:val="20"/>
          <w:szCs w:val="20"/>
          <w:lang w:val="es-ES"/>
        </w:rPr>
      </w:pPr>
      <w:r>
        <w:rPr>
          <w:rFonts w:ascii="Verdana" w:hAnsi="Verdana"/>
          <w:sz w:val="20"/>
          <w:szCs w:val="20"/>
          <w:lang w:val="es-ES"/>
        </w:rPr>
        <w:t>Los procedimientos y el flujo de trabajo para las operaciones de los RWC, incluidas las funciones y responsabilidades de los RWC y de todos los Miembros, serán desarrollados y acordados por los RWC candidatos, si es necesario, con el apoyo de la Secretaría de la OMM.</w:t>
      </w:r>
    </w:p>
    <w:p w14:paraId="348AF3EE" w14:textId="77777777" w:rsidR="004E2350" w:rsidRDefault="004E2350" w:rsidP="004E2350">
      <w:pPr>
        <w:pStyle w:val="ListParagraph"/>
        <w:numPr>
          <w:ilvl w:val="0"/>
          <w:numId w:val="60"/>
        </w:numPr>
        <w:spacing w:before="240" w:after="120"/>
        <w:ind w:left="567" w:hanging="567"/>
        <w:rPr>
          <w:rFonts w:ascii="Verdana" w:hAnsi="Verdana"/>
          <w:sz w:val="20"/>
          <w:szCs w:val="20"/>
          <w:lang w:val="es-ES"/>
        </w:rPr>
      </w:pPr>
      <w:r>
        <w:rPr>
          <w:rFonts w:ascii="Verdana" w:hAnsi="Verdana"/>
          <w:sz w:val="20"/>
          <w:szCs w:val="20"/>
          <w:lang w:val="es-ES"/>
        </w:rPr>
        <w:t>La Secretaría de la OMM organizará cursos de formación específicos y talleres regionales para mejorar la concienciación y los conocimientos de los miembros de la AR VI, en particular los PFN de OSCAR/Surface y WDQMS, sobre las operaciones de los RWC y las herramientas de WIGOS (OSCAR/Surface, la herramienta web WDQMS y el sistema de gestión de incidentes) para garantizar que tengan suficiente concienciación, conocimientos y experiencia sobre sus funciones para identificar y resolver los problemas en cooperación con los RWC dentro de este proceso.</w:t>
      </w:r>
    </w:p>
    <w:p w14:paraId="51BCC4A1" w14:textId="77777777" w:rsidR="004E2350" w:rsidRDefault="004E2350" w:rsidP="004E2350">
      <w:pPr>
        <w:pStyle w:val="ListParagraph"/>
        <w:numPr>
          <w:ilvl w:val="0"/>
          <w:numId w:val="60"/>
        </w:numPr>
        <w:spacing w:before="240" w:after="120"/>
        <w:ind w:left="567" w:hanging="567"/>
        <w:rPr>
          <w:rFonts w:ascii="Verdana" w:hAnsi="Verdana"/>
          <w:sz w:val="20"/>
          <w:szCs w:val="20"/>
          <w:lang w:val="es-ES"/>
        </w:rPr>
      </w:pPr>
      <w:r>
        <w:rPr>
          <w:rFonts w:ascii="Verdana" w:hAnsi="Verdana"/>
          <w:sz w:val="20"/>
          <w:szCs w:val="20"/>
          <w:lang w:val="es-ES"/>
        </w:rPr>
        <w:t>La AR VI planificará y organizará otras actividades de desarrollo de capacidades para los PFN recién nombrados, en cooperación con los CRM y la Secretaría de la OMM, incluida la Oficina Regional para Europa (ORE), y otros centros pertinentes de la OMM, como los Centros Regionales de Formación (CRF), los Centros Regionales de Instrumentos (CIR) y los Centros de Sistemas Mundiales de Información (SMSI), según sea necesario.</w:t>
      </w:r>
    </w:p>
    <w:p w14:paraId="51D04627" w14:textId="77777777" w:rsidR="004E2350" w:rsidRDefault="004E2350" w:rsidP="004E2350">
      <w:pPr>
        <w:pStyle w:val="ListParagraph"/>
        <w:numPr>
          <w:ilvl w:val="0"/>
          <w:numId w:val="60"/>
        </w:numPr>
        <w:spacing w:before="240" w:after="120"/>
        <w:ind w:left="567" w:hanging="567"/>
        <w:rPr>
          <w:rFonts w:ascii="Verdana" w:hAnsi="Verdana"/>
          <w:sz w:val="20"/>
          <w:szCs w:val="20"/>
          <w:lang w:val="es-ES"/>
        </w:rPr>
      </w:pPr>
      <w:r>
        <w:rPr>
          <w:rFonts w:ascii="Verdana" w:hAnsi="Verdana"/>
          <w:sz w:val="20"/>
          <w:szCs w:val="20"/>
          <w:lang w:val="es-ES"/>
        </w:rPr>
        <w:t>Deberán acordarse las disposiciones relativas a la distribución geográfica y lingüística de los miembros de la AR VI para todas las funciones de la CMR. Todos los miembros de la AR VI deben tener acceso a las funciones de los CRM a través de los CRM de la AR VI o a través de otro proceso de CRM ajeno a la AR VI.</w:t>
      </w:r>
    </w:p>
    <w:p w14:paraId="3E203510" w14:textId="77777777" w:rsidR="004E2350" w:rsidRDefault="004E2350" w:rsidP="004E2350">
      <w:pPr>
        <w:pStyle w:val="Heading3"/>
        <w:numPr>
          <w:ilvl w:val="0"/>
          <w:numId w:val="59"/>
        </w:numPr>
        <w:tabs>
          <w:tab w:val="num" w:pos="720"/>
        </w:tabs>
        <w:ind w:left="0" w:firstLine="0"/>
      </w:pPr>
      <w:r>
        <w:rPr>
          <w:lang w:val="es-ES"/>
        </w:rPr>
        <w:t>PREPARACIÓN PARA ACOGER LA RWC</w:t>
      </w:r>
    </w:p>
    <w:p w14:paraId="74A07A0E" w14:textId="77777777" w:rsidR="004E2350" w:rsidRDefault="004E2350" w:rsidP="004E2350">
      <w:pPr>
        <w:pStyle w:val="Style1"/>
        <w:spacing w:before="240"/>
        <w:jc w:val="left"/>
        <w:rPr>
          <w:lang w:val="es-ES"/>
        </w:rPr>
      </w:pPr>
      <w:r>
        <w:rPr>
          <w:lang w:val="es-ES"/>
        </w:rPr>
        <w:t>Los miembros que establezcan los RWC trabajarán para estar preparados, con las capacidades y recursos necesarios, para operar inicialmente los RWC en modo piloto.</w:t>
      </w:r>
    </w:p>
    <w:p w14:paraId="4B7763B8" w14:textId="77777777" w:rsidR="004E2350" w:rsidRDefault="004E2350" w:rsidP="004E2350">
      <w:pPr>
        <w:pStyle w:val="Style1"/>
        <w:spacing w:before="240"/>
        <w:jc w:val="left"/>
        <w:rPr>
          <w:lang w:val="es-ES"/>
        </w:rPr>
      </w:pPr>
      <w:r>
        <w:rPr>
          <w:lang w:val="es-ES"/>
        </w:rPr>
        <w:t>Los detalles adicionales de este plan de implementación para el establecimiento de los RWC serán desarrollados por representantes de los Miembros candidatos para establecer un RWC y EUMETNET de acuerdo con el documento de concepto que se prepara en consulta con los RWC candidatos siguiendo la Guía de WIGOS.</w:t>
      </w:r>
    </w:p>
    <w:p w14:paraId="3E3974C4" w14:textId="77777777" w:rsidR="004E2350" w:rsidRDefault="004E2350" w:rsidP="004E2350">
      <w:pPr>
        <w:pStyle w:val="Style1"/>
        <w:spacing w:before="240"/>
        <w:jc w:val="left"/>
        <w:rPr>
          <w:lang w:val="es-ES"/>
        </w:rPr>
      </w:pPr>
      <w:r>
        <w:rPr>
          <w:lang w:val="es-ES"/>
        </w:rPr>
        <w:t>Considerando que ambas funciones obligatorias serán realizadas por cada RWC para los Miembros afiliados, cada RWC candidato deberá asignar los recursos necesarios de infraestructura básica, infraestructura técnica, recursos humanos y financieros tal y como se define en detalle en el documento conceptual.</w:t>
      </w:r>
    </w:p>
    <w:p w14:paraId="3D4164C3" w14:textId="77777777" w:rsidR="004E2350" w:rsidRDefault="004E2350" w:rsidP="004E2350">
      <w:pPr>
        <w:pStyle w:val="Style1"/>
        <w:spacing w:before="240"/>
        <w:jc w:val="left"/>
        <w:rPr>
          <w:lang w:val="es-ES"/>
        </w:rPr>
      </w:pPr>
      <w:r>
        <w:rPr>
          <w:lang w:val="es-ES"/>
        </w:rPr>
        <w:t>Los CEE elaborarán procedimientos y flujos de trabajo que describan sus tareas y actividades para las funciones de los CEE, así como las funciones de los miembros afiliados. Los procedimientos y flujos de trabajo serán anexos del documento conceptual del CAB.</w:t>
      </w:r>
    </w:p>
    <w:p w14:paraId="10C3535A" w14:textId="77777777" w:rsidR="004E2350" w:rsidRDefault="004E2350" w:rsidP="004E2350">
      <w:pPr>
        <w:pStyle w:val="Heading3"/>
        <w:numPr>
          <w:ilvl w:val="0"/>
          <w:numId w:val="59"/>
        </w:numPr>
        <w:tabs>
          <w:tab w:val="num" w:pos="720"/>
        </w:tabs>
        <w:ind w:left="0" w:firstLine="0"/>
      </w:pPr>
      <w:r>
        <w:lastRenderedPageBreak/>
        <w:t>MEDIDAS DE APLICACIÓN</w:t>
      </w:r>
    </w:p>
    <w:p w14:paraId="30615440" w14:textId="77777777" w:rsidR="004E2350" w:rsidRDefault="004E2350" w:rsidP="004E2350">
      <w:pPr>
        <w:pStyle w:val="Style1"/>
        <w:spacing w:before="240"/>
        <w:jc w:val="left"/>
        <w:rPr>
          <w:lang w:val="es-ES"/>
        </w:rPr>
      </w:pPr>
      <w:r>
        <w:rPr>
          <w:lang w:val="es-ES"/>
        </w:rPr>
        <w:t>El establecimiento y funcionamiento de los RWC en el AR VI se llevará a cabo siguiendo los pasos de acción que se definen a continuación.</w:t>
      </w:r>
    </w:p>
    <w:p w14:paraId="20E9E9B4" w14:textId="77777777" w:rsidR="004E2350" w:rsidRDefault="004E2350" w:rsidP="004E2350">
      <w:pPr>
        <w:pStyle w:val="Style1"/>
        <w:spacing w:before="240"/>
        <w:jc w:val="left"/>
        <w:rPr>
          <w:lang w:val="es-ES"/>
        </w:rPr>
      </w:pPr>
      <w:r>
        <w:rPr>
          <w:lang w:val="es-ES"/>
        </w:rPr>
        <w:t>El MG de la AR VI, en estrecha colaboración con el GT-INF de la asociación, y la Secretaría de la OMM, examinarán el plan de aplicación propuesto por los Miembros que acojan las RWC.</w:t>
      </w:r>
    </w:p>
    <w:p w14:paraId="48B758AF" w14:textId="77777777" w:rsidR="004E2350" w:rsidRDefault="004E2350" w:rsidP="004E2350">
      <w:pPr>
        <w:pStyle w:val="Style1"/>
        <w:spacing w:before="240"/>
        <w:jc w:val="left"/>
        <w:rPr>
          <w:lang w:val="es-ES"/>
        </w:rPr>
      </w:pPr>
      <w:r>
        <w:rPr>
          <w:lang w:val="es-ES"/>
        </w:rPr>
        <w:t>Los Miembros anfitriones de la RWC seguirán las recomendaciones y orientaciones de las entidades pertinentes de la AR VI y de la Secretaría de la OMM para la elaboración ulterior de la propuesta de aplicación, en su caso.</w:t>
      </w:r>
    </w:p>
    <w:p w14:paraId="3CD2178D" w14:textId="77777777" w:rsidR="004E2350" w:rsidRDefault="004E2350" w:rsidP="004E2350">
      <w:pPr>
        <w:pStyle w:val="WMOSubTitle1"/>
        <w:numPr>
          <w:ilvl w:val="1"/>
          <w:numId w:val="59"/>
        </w:numPr>
        <w:tabs>
          <w:tab w:val="num" w:pos="1440"/>
        </w:tabs>
        <w:ind w:left="0" w:firstLine="0"/>
        <w:rPr>
          <w:lang w:val="es-ES"/>
        </w:rPr>
      </w:pPr>
      <w:r>
        <w:rPr>
          <w:bCs/>
          <w:iCs/>
          <w:lang w:val="es-ES"/>
        </w:rPr>
        <w:t>Aprobación del documento conceptual y del plan de ejecución</w:t>
      </w:r>
    </w:p>
    <w:p w14:paraId="62DE5E3A" w14:textId="77777777" w:rsidR="004E2350" w:rsidRDefault="004E2350" w:rsidP="004E2350">
      <w:pPr>
        <w:pStyle w:val="Style1"/>
        <w:spacing w:before="240"/>
        <w:jc w:val="left"/>
        <w:rPr>
          <w:lang w:val="es-ES"/>
        </w:rPr>
      </w:pPr>
      <w:r>
        <w:rPr>
          <w:lang w:val="es-ES"/>
        </w:rPr>
        <w:t>Una vez finalizados el documento conceptual y el plan de implementación, estos documentos se presentarán al WG-INF para su revisión y aprobación. Todas las sugerencias y comentarios del WG-INF se tendrán en cuenta para la actualización de los documentos.</w:t>
      </w:r>
    </w:p>
    <w:p w14:paraId="07D1C764" w14:textId="77777777" w:rsidR="004E2350" w:rsidRDefault="004E2350" w:rsidP="004E2350">
      <w:pPr>
        <w:pStyle w:val="Style1"/>
        <w:spacing w:before="240"/>
        <w:jc w:val="left"/>
        <w:rPr>
          <w:lang w:val="es-ES"/>
        </w:rPr>
      </w:pPr>
      <w:r>
        <w:rPr>
          <w:lang w:val="es-ES"/>
        </w:rPr>
        <w:t>Cuando el WG-INF apruebe los documentos, los presentará al RA VI MG para su revisión y aprobación. Tras la aprobación del MG de la AR VI, el Presidente de la AR VI informará a los candidatos a CEE para que presenten una solicitud oficial para ser CEE de la AR VI.</w:t>
      </w:r>
    </w:p>
    <w:p w14:paraId="15DB0586" w14:textId="77777777" w:rsidR="004E2350" w:rsidRDefault="004E2350" w:rsidP="004E2350">
      <w:pPr>
        <w:pStyle w:val="WMOSubTitle1"/>
        <w:numPr>
          <w:ilvl w:val="1"/>
          <w:numId w:val="59"/>
        </w:numPr>
        <w:tabs>
          <w:tab w:val="num" w:pos="1440"/>
        </w:tabs>
        <w:ind w:left="0" w:firstLine="0"/>
      </w:pPr>
      <w:r>
        <w:rPr>
          <w:bCs/>
          <w:iCs/>
          <w:lang w:val="es-ES"/>
        </w:rPr>
        <w:t>Solicitud para ser un RWC</w:t>
      </w:r>
    </w:p>
    <w:p w14:paraId="0E6F9004" w14:textId="77777777" w:rsidR="004E2350" w:rsidRDefault="004E2350" w:rsidP="004E2350">
      <w:pPr>
        <w:pStyle w:val="Style1"/>
        <w:spacing w:before="240"/>
        <w:jc w:val="left"/>
        <w:rPr>
          <w:lang w:val="es-ES"/>
        </w:rPr>
      </w:pPr>
      <w:r>
        <w:rPr>
          <w:lang w:val="es-ES"/>
        </w:rPr>
        <w:t>Cada RWC candidato manifestará su intención de ser designado como RWC en modo piloto enviando una solicitud al Presidente de la AR VI con copia al Presidente de INFCOM y al Secretario General de la OMM. En caso de que falte alguna información requerida en la solicitud, la Secretaría de la OMM comunicará la(s) deficiencia(s) al CAB candidato, que deberá asegurarse de que se proporciona la información que falta antes de proceder a la evaluación de la solicitud.</w:t>
      </w:r>
    </w:p>
    <w:p w14:paraId="68F4B4FB" w14:textId="77777777" w:rsidR="004E2350" w:rsidRDefault="004E2350" w:rsidP="004E2350">
      <w:pPr>
        <w:pStyle w:val="Style1"/>
        <w:spacing w:before="240"/>
        <w:jc w:val="left"/>
        <w:rPr>
          <w:lang w:val="es-ES"/>
        </w:rPr>
      </w:pPr>
      <w:r>
        <w:rPr>
          <w:lang w:val="es-ES"/>
        </w:rPr>
        <w:t>Tal y como se define en la Guía de los WIGOS, la solicitud debe incluir una carta de intenciones en la que se expongan claramente la voluntad y la capacidad del candidato para proporcionar las funciones del RWC y un anexo (Anexo I) que contenga la siguiente información (esto se aplica también a los miembros individuales de un RWC virtual que cumplirán colectivamente las funciones del RWC):</w:t>
      </w:r>
    </w:p>
    <w:p w14:paraId="0ECFDE9F" w14:textId="77777777" w:rsidR="004E2350" w:rsidRDefault="004E2350" w:rsidP="004E2350">
      <w:pPr>
        <w:pStyle w:val="ListParagraph"/>
        <w:numPr>
          <w:ilvl w:val="1"/>
          <w:numId w:val="61"/>
        </w:numPr>
        <w:spacing w:before="240" w:after="120"/>
        <w:ind w:left="567" w:hanging="567"/>
        <w:rPr>
          <w:rFonts w:ascii="Verdana" w:hAnsi="Verdana"/>
          <w:sz w:val="20"/>
          <w:szCs w:val="20"/>
          <w:lang w:val="es-ES"/>
        </w:rPr>
      </w:pPr>
      <w:r>
        <w:rPr>
          <w:rFonts w:ascii="Verdana" w:hAnsi="Verdana"/>
          <w:sz w:val="20"/>
          <w:szCs w:val="20"/>
          <w:lang w:val="es-ES"/>
        </w:rPr>
        <w:t>Nombre del país, Asociación Regional de la OMM, nombre de la organización y dirección completa</w:t>
      </w:r>
    </w:p>
    <w:p w14:paraId="579C40A5" w14:textId="77777777" w:rsidR="004E2350" w:rsidRDefault="004E2350" w:rsidP="004E2350">
      <w:pPr>
        <w:pStyle w:val="ListParagraph"/>
        <w:numPr>
          <w:ilvl w:val="1"/>
          <w:numId w:val="61"/>
        </w:numPr>
        <w:spacing w:before="240" w:after="120"/>
        <w:ind w:left="567" w:hanging="567"/>
        <w:rPr>
          <w:rFonts w:ascii="Verdana" w:hAnsi="Verdana"/>
          <w:sz w:val="20"/>
          <w:szCs w:val="20"/>
          <w:lang w:val="es-ES"/>
        </w:rPr>
      </w:pPr>
      <w:r>
        <w:rPr>
          <w:rFonts w:ascii="Verdana" w:hAnsi="Verdana"/>
          <w:sz w:val="20"/>
          <w:szCs w:val="20"/>
          <w:lang w:val="es-ES"/>
        </w:rPr>
        <w:t>Afiliación (patrocinadores, partes interesadas, organismos asociados, etc.) a escala mundial, regional y nacional.</w:t>
      </w:r>
    </w:p>
    <w:p w14:paraId="2068CD57" w14:textId="77777777" w:rsidR="004E2350" w:rsidRDefault="004E2350" w:rsidP="004E2350">
      <w:pPr>
        <w:pStyle w:val="ListParagraph"/>
        <w:numPr>
          <w:ilvl w:val="1"/>
          <w:numId w:val="61"/>
        </w:numPr>
        <w:spacing w:before="240" w:after="120"/>
        <w:ind w:left="567" w:hanging="567"/>
        <w:rPr>
          <w:rFonts w:ascii="Verdana" w:hAnsi="Verdana"/>
          <w:sz w:val="20"/>
          <w:szCs w:val="20"/>
          <w:lang w:val="es-ES"/>
        </w:rPr>
      </w:pPr>
      <w:r>
        <w:rPr>
          <w:rFonts w:ascii="Verdana" w:hAnsi="Verdana"/>
          <w:sz w:val="20"/>
          <w:szCs w:val="20"/>
          <w:lang w:val="es-ES"/>
        </w:rPr>
        <w:t>Mandato del Centro pertinente para las actividades de WIGOS (funciones obligatorias y facultativas)</w:t>
      </w:r>
    </w:p>
    <w:p w14:paraId="6F9A3C73" w14:textId="77777777" w:rsidR="004E2350" w:rsidRDefault="004E2350" w:rsidP="004E2350">
      <w:pPr>
        <w:pStyle w:val="ListParagraph"/>
        <w:numPr>
          <w:ilvl w:val="1"/>
          <w:numId w:val="61"/>
        </w:numPr>
        <w:spacing w:before="240" w:after="120"/>
        <w:ind w:left="567" w:hanging="567"/>
        <w:rPr>
          <w:rFonts w:ascii="Verdana" w:hAnsi="Verdana"/>
          <w:sz w:val="20"/>
          <w:szCs w:val="20"/>
          <w:lang w:val="es-ES"/>
        </w:rPr>
      </w:pPr>
      <w:r>
        <w:rPr>
          <w:rFonts w:ascii="Verdana" w:hAnsi="Verdana"/>
          <w:sz w:val="20"/>
          <w:szCs w:val="20"/>
          <w:lang w:val="es-ES"/>
        </w:rPr>
        <w:t>Enlace con los centros pertinentes de la OMM, en particular los centros regionales</w:t>
      </w:r>
    </w:p>
    <w:p w14:paraId="0B0DEA50" w14:textId="77777777" w:rsidR="004E2350" w:rsidRDefault="004E2350" w:rsidP="004E2350">
      <w:pPr>
        <w:pStyle w:val="ListParagraph"/>
        <w:numPr>
          <w:ilvl w:val="1"/>
          <w:numId w:val="61"/>
        </w:numPr>
        <w:spacing w:before="240" w:after="120"/>
        <w:ind w:left="567" w:hanging="567"/>
        <w:rPr>
          <w:rFonts w:ascii="Verdana" w:hAnsi="Verdana"/>
          <w:sz w:val="20"/>
          <w:szCs w:val="20"/>
          <w:lang w:val="es-ES"/>
        </w:rPr>
      </w:pPr>
      <w:r>
        <w:rPr>
          <w:rFonts w:ascii="Verdana" w:hAnsi="Verdana"/>
          <w:sz w:val="20"/>
          <w:szCs w:val="20"/>
          <w:lang w:val="es-ES"/>
        </w:rPr>
        <w:t>Página web del Centro en la que se describen las actividades relacionadas con WIGOS</w:t>
      </w:r>
    </w:p>
    <w:p w14:paraId="2FE2AD25" w14:textId="77777777" w:rsidR="004E2350" w:rsidRDefault="004E2350" w:rsidP="004E2350">
      <w:pPr>
        <w:pStyle w:val="ListParagraph"/>
        <w:numPr>
          <w:ilvl w:val="1"/>
          <w:numId w:val="61"/>
        </w:numPr>
        <w:spacing w:before="240" w:after="120"/>
        <w:ind w:left="567" w:hanging="567"/>
        <w:rPr>
          <w:rFonts w:ascii="Verdana" w:hAnsi="Verdana"/>
          <w:sz w:val="20"/>
          <w:szCs w:val="20"/>
          <w:lang w:val="es-ES"/>
        </w:rPr>
      </w:pPr>
      <w:r>
        <w:rPr>
          <w:rFonts w:ascii="Verdana" w:hAnsi="Verdana"/>
          <w:sz w:val="20"/>
          <w:szCs w:val="20"/>
          <w:lang w:val="es-ES"/>
        </w:rPr>
        <w:t>Actividades operativas actuales pertinentes para la candidatura del candidato (siguiendo las funciones obligatorias y opcionales del CAB)</w:t>
      </w:r>
    </w:p>
    <w:p w14:paraId="2619331E" w14:textId="77777777" w:rsidR="004E2350" w:rsidRDefault="004E2350" w:rsidP="004E2350">
      <w:pPr>
        <w:pStyle w:val="ListParagraph"/>
        <w:numPr>
          <w:ilvl w:val="1"/>
          <w:numId w:val="61"/>
        </w:numPr>
        <w:spacing w:before="240" w:after="120"/>
        <w:ind w:left="567" w:hanging="567"/>
        <w:rPr>
          <w:rFonts w:ascii="Verdana" w:hAnsi="Verdana"/>
          <w:sz w:val="20"/>
          <w:szCs w:val="20"/>
          <w:lang w:val="es-ES"/>
        </w:rPr>
      </w:pPr>
      <w:r>
        <w:rPr>
          <w:rFonts w:ascii="Verdana" w:hAnsi="Verdana"/>
          <w:sz w:val="20"/>
          <w:szCs w:val="20"/>
          <w:lang w:val="es-ES"/>
        </w:rPr>
        <w:t>Despliegue de personal/recursos humanos pertinentes para las actividades del CAB (categorías directiva, científica, técnica y administrativa).</w:t>
      </w:r>
    </w:p>
    <w:p w14:paraId="2FCAD519" w14:textId="77777777" w:rsidR="004E2350" w:rsidRDefault="004E2350" w:rsidP="004E2350">
      <w:pPr>
        <w:pStyle w:val="ListParagraph"/>
        <w:numPr>
          <w:ilvl w:val="1"/>
          <w:numId w:val="61"/>
        </w:numPr>
        <w:spacing w:before="240" w:after="120"/>
        <w:ind w:left="567" w:hanging="567"/>
        <w:rPr>
          <w:rFonts w:ascii="Verdana" w:hAnsi="Verdana"/>
          <w:sz w:val="20"/>
          <w:szCs w:val="20"/>
          <w:lang w:val="es-ES"/>
        </w:rPr>
      </w:pPr>
      <w:r>
        <w:rPr>
          <w:rFonts w:ascii="Verdana" w:hAnsi="Verdana"/>
          <w:sz w:val="20"/>
          <w:szCs w:val="20"/>
          <w:lang w:val="es-ES"/>
        </w:rPr>
        <w:t>Descripción de las instalaciones actuales, los elementos básicos necesarios, la infraestructura física y los sistemas de comunicación pertinentes para las funciones obligatorias y opcionales de los RWC.</w:t>
      </w:r>
    </w:p>
    <w:p w14:paraId="135DF9B3" w14:textId="77777777" w:rsidR="004E2350" w:rsidRDefault="004E2350" w:rsidP="004E2350">
      <w:pPr>
        <w:pStyle w:val="ListParagraph"/>
        <w:numPr>
          <w:ilvl w:val="1"/>
          <w:numId w:val="61"/>
        </w:numPr>
        <w:spacing w:before="240" w:after="120"/>
        <w:ind w:left="567" w:hanging="567"/>
        <w:rPr>
          <w:rFonts w:ascii="Verdana" w:hAnsi="Verdana"/>
          <w:sz w:val="20"/>
          <w:szCs w:val="20"/>
          <w:lang w:val="es-ES"/>
        </w:rPr>
      </w:pPr>
      <w:r>
        <w:rPr>
          <w:rFonts w:ascii="Verdana" w:hAnsi="Verdana"/>
          <w:sz w:val="20"/>
          <w:szCs w:val="20"/>
          <w:lang w:val="es-ES"/>
        </w:rPr>
        <w:lastRenderedPageBreak/>
        <w:t>Estrategia de financiación para garantizar la sostenibilidad a largo plazo de la RWC</w:t>
      </w:r>
    </w:p>
    <w:p w14:paraId="174104CC" w14:textId="77777777" w:rsidR="004E2350" w:rsidRDefault="004E2350" w:rsidP="004E2350">
      <w:pPr>
        <w:pStyle w:val="ListParagraph"/>
        <w:numPr>
          <w:ilvl w:val="1"/>
          <w:numId w:val="61"/>
        </w:numPr>
        <w:spacing w:before="240" w:after="120"/>
        <w:ind w:left="567" w:hanging="567"/>
        <w:rPr>
          <w:rFonts w:ascii="Verdana" w:hAnsi="Verdana"/>
          <w:sz w:val="20"/>
          <w:szCs w:val="20"/>
          <w:lang w:val="es-ES"/>
        </w:rPr>
      </w:pPr>
      <w:r>
        <w:rPr>
          <w:rFonts w:ascii="Verdana" w:hAnsi="Verdana"/>
          <w:sz w:val="20"/>
          <w:szCs w:val="20"/>
          <w:lang w:val="es-ES"/>
        </w:rPr>
        <w:t>Región geográfica/económica/lingüística para la que se ofrecen las funcionalidades del RWC</w:t>
      </w:r>
    </w:p>
    <w:p w14:paraId="3461C580" w14:textId="77777777" w:rsidR="004E2350" w:rsidRDefault="004E2350" w:rsidP="004E2350">
      <w:pPr>
        <w:pStyle w:val="ListParagraph"/>
        <w:numPr>
          <w:ilvl w:val="1"/>
          <w:numId w:val="61"/>
        </w:numPr>
        <w:spacing w:before="240" w:after="120"/>
        <w:ind w:left="567" w:hanging="567"/>
        <w:rPr>
          <w:rFonts w:ascii="Verdana" w:hAnsi="Verdana"/>
          <w:sz w:val="20"/>
          <w:szCs w:val="20"/>
          <w:lang w:val="es-ES"/>
        </w:rPr>
      </w:pPr>
      <w:r>
        <w:rPr>
          <w:rFonts w:ascii="Verdana" w:hAnsi="Verdana"/>
          <w:sz w:val="20"/>
          <w:szCs w:val="20"/>
          <w:lang w:val="es-ES"/>
        </w:rPr>
        <w:t>Tipo de RWC (un único RWC multifuncional o un RWC virtual/distribuido (red de RWC) proporcionado por un grupo/consorcio de Miembros).</w:t>
      </w:r>
    </w:p>
    <w:p w14:paraId="25E28C9A" w14:textId="77777777" w:rsidR="004E2350" w:rsidRDefault="004E2350" w:rsidP="004E2350">
      <w:pPr>
        <w:pStyle w:val="ListParagraph"/>
        <w:numPr>
          <w:ilvl w:val="1"/>
          <w:numId w:val="61"/>
        </w:numPr>
        <w:spacing w:before="240" w:after="120"/>
        <w:ind w:left="567" w:hanging="567"/>
        <w:rPr>
          <w:rFonts w:ascii="Verdana" w:hAnsi="Verdana"/>
          <w:sz w:val="20"/>
          <w:szCs w:val="20"/>
          <w:lang w:val="es-ES"/>
        </w:rPr>
      </w:pPr>
      <w:r>
        <w:rPr>
          <w:rFonts w:ascii="Verdana" w:hAnsi="Verdana"/>
          <w:sz w:val="20"/>
          <w:szCs w:val="20"/>
          <w:lang w:val="es-ES"/>
        </w:rPr>
        <w:t>Gestor del CAB propuesto (nombre, cargo, contactos y currículum vítae)</w:t>
      </w:r>
    </w:p>
    <w:p w14:paraId="7F38C642" w14:textId="77777777" w:rsidR="004E2350" w:rsidRDefault="004E2350" w:rsidP="004E2350">
      <w:pPr>
        <w:pStyle w:val="ListParagraph"/>
        <w:numPr>
          <w:ilvl w:val="1"/>
          <w:numId w:val="61"/>
        </w:numPr>
        <w:spacing w:before="240" w:after="120"/>
        <w:ind w:left="567" w:hanging="567"/>
        <w:rPr>
          <w:rFonts w:ascii="Verdana" w:hAnsi="Verdana"/>
          <w:sz w:val="20"/>
          <w:szCs w:val="20"/>
          <w:lang w:val="es-ES"/>
        </w:rPr>
      </w:pPr>
      <w:r>
        <w:rPr>
          <w:rFonts w:ascii="Verdana" w:hAnsi="Verdana"/>
          <w:sz w:val="20"/>
          <w:szCs w:val="20"/>
          <w:lang w:val="es-ES"/>
        </w:rPr>
        <w:t>Partes interesadas en las operaciones actuales y previstas del CAB</w:t>
      </w:r>
    </w:p>
    <w:p w14:paraId="401ADBC5" w14:textId="77777777" w:rsidR="004E2350" w:rsidRDefault="004E2350" w:rsidP="004E2350">
      <w:pPr>
        <w:pStyle w:val="ListParagraph"/>
        <w:numPr>
          <w:ilvl w:val="1"/>
          <w:numId w:val="61"/>
        </w:numPr>
        <w:spacing w:before="240" w:after="120"/>
        <w:ind w:left="567" w:hanging="567"/>
        <w:rPr>
          <w:rFonts w:ascii="Verdana" w:hAnsi="Verdana"/>
          <w:sz w:val="20"/>
          <w:szCs w:val="20"/>
          <w:lang w:val="es-ES"/>
        </w:rPr>
      </w:pPr>
      <w:r>
        <w:rPr>
          <w:rFonts w:ascii="Verdana" w:hAnsi="Verdana"/>
          <w:sz w:val="20"/>
          <w:szCs w:val="20"/>
          <w:lang w:val="es-ES"/>
        </w:rPr>
        <w:t>Centro(s) Nacional(es) de Enlace pertinente(s)</w:t>
      </w:r>
    </w:p>
    <w:p w14:paraId="616DEFE7" w14:textId="77777777" w:rsidR="004E2350" w:rsidRDefault="004E2350" w:rsidP="004E2350">
      <w:pPr>
        <w:pStyle w:val="ListParagraph"/>
        <w:numPr>
          <w:ilvl w:val="1"/>
          <w:numId w:val="61"/>
        </w:numPr>
        <w:spacing w:before="240" w:after="120"/>
        <w:ind w:left="567" w:hanging="567"/>
        <w:rPr>
          <w:rFonts w:ascii="Verdana" w:hAnsi="Verdana"/>
          <w:sz w:val="20"/>
          <w:szCs w:val="20"/>
        </w:rPr>
      </w:pPr>
      <w:r>
        <w:rPr>
          <w:rFonts w:ascii="Verdana" w:hAnsi="Verdana"/>
          <w:sz w:val="20"/>
          <w:szCs w:val="20"/>
          <w:lang w:val="es-ES"/>
        </w:rPr>
        <w:t>Propuesta RWC:</w:t>
      </w:r>
    </w:p>
    <w:p w14:paraId="51995ADE" w14:textId="77777777" w:rsidR="004E2350" w:rsidRDefault="004E2350" w:rsidP="004E2350">
      <w:pPr>
        <w:pStyle w:val="ListParagraph"/>
        <w:numPr>
          <w:ilvl w:val="2"/>
          <w:numId w:val="62"/>
        </w:numPr>
        <w:tabs>
          <w:tab w:val="left" w:pos="1843"/>
        </w:tabs>
        <w:spacing w:before="240" w:after="120"/>
        <w:ind w:left="1134" w:hanging="567"/>
        <w:rPr>
          <w:rFonts w:ascii="Verdana" w:hAnsi="Verdana"/>
          <w:sz w:val="20"/>
          <w:szCs w:val="20"/>
          <w:lang w:val="es-ES"/>
        </w:rPr>
      </w:pPr>
      <w:r>
        <w:rPr>
          <w:rFonts w:ascii="Verdana" w:hAnsi="Verdana"/>
          <w:sz w:val="20"/>
          <w:szCs w:val="20"/>
          <w:lang w:val="es-ES"/>
        </w:rPr>
        <w:t>Preparada por (nombre y cargo)</w:t>
      </w:r>
    </w:p>
    <w:p w14:paraId="033FCA59" w14:textId="77777777" w:rsidR="004E2350" w:rsidRDefault="004E2350" w:rsidP="004E2350">
      <w:pPr>
        <w:pStyle w:val="ListParagraph"/>
        <w:numPr>
          <w:ilvl w:val="2"/>
          <w:numId w:val="62"/>
        </w:numPr>
        <w:tabs>
          <w:tab w:val="left" w:pos="1843"/>
        </w:tabs>
        <w:spacing w:before="240" w:after="120"/>
        <w:ind w:left="1134" w:hanging="567"/>
        <w:rPr>
          <w:rFonts w:ascii="Verdana" w:hAnsi="Verdana"/>
          <w:sz w:val="20"/>
          <w:szCs w:val="20"/>
          <w:lang w:val="es-ES"/>
        </w:rPr>
      </w:pPr>
      <w:r>
        <w:rPr>
          <w:rFonts w:ascii="Verdana" w:hAnsi="Verdana"/>
          <w:sz w:val="20"/>
          <w:szCs w:val="20"/>
          <w:lang w:val="es-ES"/>
        </w:rPr>
        <w:t>Aprobada por (nombre y cargo)</w:t>
      </w:r>
    </w:p>
    <w:p w14:paraId="414267B0" w14:textId="77777777" w:rsidR="004E2350" w:rsidRDefault="004E2350" w:rsidP="004E2350">
      <w:pPr>
        <w:pStyle w:val="ListParagraph"/>
        <w:numPr>
          <w:ilvl w:val="2"/>
          <w:numId w:val="62"/>
        </w:numPr>
        <w:tabs>
          <w:tab w:val="left" w:pos="1843"/>
        </w:tabs>
        <w:spacing w:before="240" w:after="120"/>
        <w:ind w:left="1134" w:hanging="567"/>
        <w:rPr>
          <w:rFonts w:ascii="Verdana" w:hAnsi="Verdana"/>
          <w:sz w:val="20"/>
          <w:szCs w:val="20"/>
          <w:lang w:val="es-ES"/>
        </w:rPr>
      </w:pPr>
      <w:r>
        <w:rPr>
          <w:rFonts w:ascii="Verdana" w:hAnsi="Verdana"/>
          <w:sz w:val="20"/>
          <w:szCs w:val="20"/>
          <w:lang w:val="es-ES"/>
        </w:rPr>
        <w:t>Ejecutivo del CAB (nombre, cargo)</w:t>
      </w:r>
    </w:p>
    <w:p w14:paraId="2B909CFD" w14:textId="77777777" w:rsidR="004E2350" w:rsidRDefault="004E2350" w:rsidP="004E2350">
      <w:pPr>
        <w:pStyle w:val="ListParagraph"/>
        <w:numPr>
          <w:ilvl w:val="2"/>
          <w:numId w:val="62"/>
        </w:numPr>
        <w:tabs>
          <w:tab w:val="left" w:pos="1843"/>
        </w:tabs>
        <w:spacing w:before="240" w:after="120"/>
        <w:ind w:left="1134" w:hanging="567"/>
        <w:rPr>
          <w:rFonts w:ascii="Verdana" w:hAnsi="Verdana"/>
          <w:sz w:val="20"/>
          <w:szCs w:val="20"/>
        </w:rPr>
      </w:pPr>
      <w:r>
        <w:rPr>
          <w:rFonts w:ascii="Verdana" w:hAnsi="Verdana"/>
          <w:sz w:val="20"/>
          <w:szCs w:val="20"/>
        </w:rPr>
        <w:t>Mandato del RWC</w:t>
      </w:r>
    </w:p>
    <w:p w14:paraId="65E35C6A" w14:textId="77777777" w:rsidR="004E2350" w:rsidRDefault="004E2350" w:rsidP="004E2350">
      <w:pPr>
        <w:pStyle w:val="ListParagraph"/>
        <w:numPr>
          <w:ilvl w:val="2"/>
          <w:numId w:val="62"/>
        </w:numPr>
        <w:tabs>
          <w:tab w:val="left" w:pos="1843"/>
        </w:tabs>
        <w:spacing w:before="240" w:after="120"/>
        <w:ind w:left="1134" w:hanging="567"/>
        <w:rPr>
          <w:rFonts w:ascii="Verdana" w:hAnsi="Verdana"/>
          <w:sz w:val="20"/>
          <w:szCs w:val="20"/>
        </w:rPr>
      </w:pPr>
      <w:r>
        <w:rPr>
          <w:rFonts w:ascii="Verdana" w:hAnsi="Verdana"/>
          <w:sz w:val="20"/>
          <w:szCs w:val="20"/>
        </w:rPr>
        <w:t>Período de aplicación</w:t>
      </w:r>
    </w:p>
    <w:p w14:paraId="5E5D4BC9" w14:textId="77777777" w:rsidR="004E2350" w:rsidRDefault="004E2350" w:rsidP="004E2350">
      <w:pPr>
        <w:pStyle w:val="ListParagraph"/>
        <w:numPr>
          <w:ilvl w:val="2"/>
          <w:numId w:val="62"/>
        </w:numPr>
        <w:tabs>
          <w:tab w:val="left" w:pos="1843"/>
        </w:tabs>
        <w:spacing w:before="240" w:after="120"/>
        <w:ind w:left="1134" w:hanging="567"/>
        <w:rPr>
          <w:rFonts w:ascii="Verdana" w:hAnsi="Verdana"/>
          <w:sz w:val="20"/>
          <w:szCs w:val="20"/>
        </w:rPr>
      </w:pPr>
      <w:r>
        <w:rPr>
          <w:rFonts w:ascii="Verdana" w:hAnsi="Verdana"/>
          <w:sz w:val="20"/>
          <w:szCs w:val="20"/>
          <w:lang w:val="es-ES"/>
        </w:rPr>
        <w:t>Presupuesto RWC</w:t>
      </w:r>
    </w:p>
    <w:p w14:paraId="3C3152D5" w14:textId="77777777" w:rsidR="004E2350" w:rsidRDefault="004E2350" w:rsidP="004E2350">
      <w:pPr>
        <w:pStyle w:val="ListParagraph"/>
        <w:numPr>
          <w:ilvl w:val="2"/>
          <w:numId w:val="62"/>
        </w:numPr>
        <w:tabs>
          <w:tab w:val="left" w:pos="1843"/>
        </w:tabs>
        <w:spacing w:before="240" w:after="120"/>
        <w:ind w:left="1134" w:hanging="567"/>
        <w:rPr>
          <w:rFonts w:ascii="Verdana" w:hAnsi="Verdana"/>
          <w:sz w:val="20"/>
          <w:szCs w:val="20"/>
        </w:rPr>
      </w:pPr>
      <w:r>
        <w:rPr>
          <w:rFonts w:ascii="Verdana" w:hAnsi="Verdana"/>
          <w:sz w:val="20"/>
          <w:szCs w:val="20"/>
        </w:rPr>
        <w:t>Fuentes de financiación</w:t>
      </w:r>
    </w:p>
    <w:p w14:paraId="4B439609" w14:textId="77777777" w:rsidR="004E2350" w:rsidRPr="004E2350" w:rsidRDefault="004E2350" w:rsidP="004E2350">
      <w:pPr>
        <w:pStyle w:val="ListParagraph"/>
        <w:numPr>
          <w:ilvl w:val="2"/>
          <w:numId w:val="62"/>
        </w:numPr>
        <w:tabs>
          <w:tab w:val="left" w:pos="1843"/>
        </w:tabs>
        <w:spacing w:before="240" w:after="120"/>
        <w:ind w:left="1134" w:hanging="567"/>
        <w:rPr>
          <w:rFonts w:ascii="Verdana" w:hAnsi="Verdana"/>
          <w:sz w:val="20"/>
          <w:szCs w:val="20"/>
          <w:lang w:val="es-ES"/>
        </w:rPr>
      </w:pPr>
      <w:r w:rsidRPr="004E2350">
        <w:rPr>
          <w:rFonts w:ascii="Verdana" w:hAnsi="Verdana"/>
          <w:sz w:val="20"/>
          <w:szCs w:val="20"/>
          <w:lang w:val="es-ES"/>
        </w:rPr>
        <w:t>Lista de actividades, entregables, resultados, hitos, recursos necesarios y riesgos asociados.</w:t>
      </w:r>
    </w:p>
    <w:p w14:paraId="7ADFBD3E" w14:textId="77777777" w:rsidR="004E2350" w:rsidRDefault="004E2350" w:rsidP="004E2350">
      <w:pPr>
        <w:pStyle w:val="ListParagraph"/>
        <w:numPr>
          <w:ilvl w:val="2"/>
          <w:numId w:val="62"/>
        </w:numPr>
        <w:tabs>
          <w:tab w:val="left" w:pos="1843"/>
        </w:tabs>
        <w:spacing w:before="240" w:after="120"/>
        <w:ind w:left="1134" w:hanging="567"/>
        <w:rPr>
          <w:rFonts w:ascii="Verdana" w:hAnsi="Verdana"/>
          <w:sz w:val="20"/>
          <w:szCs w:val="20"/>
          <w:lang w:val="es-ES"/>
        </w:rPr>
      </w:pPr>
      <w:r>
        <w:rPr>
          <w:rFonts w:ascii="Verdana" w:hAnsi="Verdana"/>
          <w:sz w:val="20"/>
          <w:szCs w:val="20"/>
          <w:lang w:val="es-ES"/>
        </w:rPr>
        <w:t>Documentación adicional que demuestre la experiencia y la capacidad de la organización candidata para desempeñar las funciones descritas.</w:t>
      </w:r>
    </w:p>
    <w:p w14:paraId="746BFBE4" w14:textId="77777777" w:rsidR="004E2350" w:rsidRDefault="004E2350" w:rsidP="004E2350">
      <w:pPr>
        <w:pStyle w:val="ListParagraph"/>
        <w:numPr>
          <w:ilvl w:val="1"/>
          <w:numId w:val="61"/>
        </w:numPr>
        <w:spacing w:before="240" w:after="120"/>
        <w:ind w:left="567" w:hanging="567"/>
        <w:rPr>
          <w:rFonts w:ascii="Verdana" w:hAnsi="Verdana"/>
          <w:sz w:val="20"/>
          <w:szCs w:val="20"/>
        </w:rPr>
      </w:pPr>
      <w:r>
        <w:rPr>
          <w:rFonts w:ascii="Verdana" w:hAnsi="Verdana"/>
          <w:sz w:val="20"/>
          <w:szCs w:val="20"/>
        </w:rPr>
        <w:t>Información adicional, si procede.</w:t>
      </w:r>
    </w:p>
    <w:p w14:paraId="6DAB4A25" w14:textId="77777777" w:rsidR="004E2350" w:rsidRDefault="004E2350" w:rsidP="004E2350">
      <w:pPr>
        <w:pStyle w:val="Style1"/>
        <w:spacing w:before="240"/>
        <w:jc w:val="left"/>
        <w:rPr>
          <w:lang w:val="es-ES"/>
        </w:rPr>
      </w:pPr>
      <w:r>
        <w:rPr>
          <w:lang w:val="es-ES"/>
        </w:rPr>
        <w:t>La información disponible en el Anexo I debería ser revisada y actualizada por cada CAB, si fuera necesario.</w:t>
      </w:r>
    </w:p>
    <w:p w14:paraId="5F485212" w14:textId="77777777" w:rsidR="004E2350" w:rsidRDefault="004E2350" w:rsidP="004E2350">
      <w:pPr>
        <w:pStyle w:val="Style1"/>
        <w:spacing w:before="240"/>
        <w:jc w:val="left"/>
        <w:rPr>
          <w:lang w:val="es-ES"/>
        </w:rPr>
      </w:pPr>
      <w:r>
        <w:rPr>
          <w:lang w:val="es-ES"/>
        </w:rPr>
        <w:t>La información de contacto actualizada de las personas clave de los RWC y de los miembros afiliados debería estar disponible en una plataforma de fácil acceso, por ejemplo, la página web de los miembros anfitriones o la página de los RWC de la plataforma comunitaria de WIGOS.</w:t>
      </w:r>
    </w:p>
    <w:p w14:paraId="74815447" w14:textId="77777777" w:rsidR="004E2350" w:rsidRDefault="004E2350" w:rsidP="004E2350">
      <w:pPr>
        <w:pStyle w:val="WMOSubTitle1"/>
        <w:numPr>
          <w:ilvl w:val="1"/>
          <w:numId w:val="59"/>
        </w:numPr>
        <w:tabs>
          <w:tab w:val="num" w:pos="1440"/>
        </w:tabs>
        <w:ind w:left="0" w:firstLine="0"/>
      </w:pPr>
      <w:r>
        <w:t>Evaluación de las solicitudes</w:t>
      </w:r>
    </w:p>
    <w:p w14:paraId="208B1C89" w14:textId="77777777" w:rsidR="004E2350" w:rsidRDefault="004E2350" w:rsidP="004E2350">
      <w:pPr>
        <w:pStyle w:val="Style1"/>
        <w:spacing w:before="240"/>
        <w:jc w:val="left"/>
        <w:rPr>
          <w:lang w:val="es-ES"/>
        </w:rPr>
      </w:pPr>
      <w:r>
        <w:rPr>
          <w:lang w:val="es-ES"/>
        </w:rPr>
        <w:t>Cuando un candidato a CAB presente una solicitud, ésta será evaluada por un equipo de evaluación aprobado por el presidente de INFCOM, en consulta con el presidente de la AR VI dentro de un proceso coordinado por la Secretaría de la OMM, tal y como se define en la Guía de los WIGOS.</w:t>
      </w:r>
    </w:p>
    <w:p w14:paraId="13D26740" w14:textId="77777777" w:rsidR="004E2350" w:rsidRDefault="004E2350" w:rsidP="004E2350">
      <w:pPr>
        <w:pStyle w:val="Style1"/>
        <w:spacing w:before="240"/>
        <w:jc w:val="left"/>
      </w:pPr>
      <w:r>
        <w:t>The results of the evaluation process, together with a recommendation for acceptance/rejection of the application, will be submitted to the president of INFCOM for endorsement on behalf of INFCOM, and will then be conveyed to the Secretary-General of WMO. The Secretary-General will inform the president of the RA VI and the Permanent Representative (PR) of the country with WMO (candidate RWC) of the INFCOM recommendation.</w:t>
      </w:r>
    </w:p>
    <w:p w14:paraId="09CFAD90" w14:textId="77777777" w:rsidR="004E2350" w:rsidRDefault="004E2350" w:rsidP="004E2350">
      <w:pPr>
        <w:pStyle w:val="WMOSubTitle1"/>
        <w:numPr>
          <w:ilvl w:val="1"/>
          <w:numId w:val="59"/>
        </w:numPr>
        <w:tabs>
          <w:tab w:val="num" w:pos="1440"/>
        </w:tabs>
        <w:ind w:left="0" w:firstLine="0"/>
        <w:rPr>
          <w:lang w:val="es-ES"/>
        </w:rPr>
      </w:pPr>
      <w:bookmarkStart w:id="13" w:name="_Hlk130068519"/>
      <w:r>
        <w:rPr>
          <w:bCs/>
          <w:iCs/>
          <w:lang w:val="es-ES"/>
        </w:rPr>
        <w:t>Designación de CER en modo piloto</w:t>
      </w:r>
    </w:p>
    <w:bookmarkEnd w:id="13"/>
    <w:p w14:paraId="7F422056" w14:textId="77777777" w:rsidR="004E2350" w:rsidRDefault="004E2350" w:rsidP="004E2350">
      <w:pPr>
        <w:pStyle w:val="Style1"/>
        <w:spacing w:before="240"/>
        <w:jc w:val="left"/>
        <w:rPr>
          <w:lang w:val="es-ES"/>
        </w:rPr>
      </w:pPr>
      <w:r>
        <w:rPr>
          <w:lang w:val="es-ES"/>
        </w:rPr>
        <w:t>Si la solicitud se considera satisfactoria tras la evaluación técnica de las solicitudes de RWC y la evaluación de los RWC por parte de la Comisión de Sistemas de Observación, Infraestructura e Información (INFCOM), tal como se define en la Guía de los WIGOS, se invitará a la RA VI a designar el nuevo RWC en modo piloto siguiendo los pasos de acción definidos en la Guía de los WIGOS.</w:t>
      </w:r>
    </w:p>
    <w:p w14:paraId="26DF77D5" w14:textId="77777777" w:rsidR="004E2350" w:rsidRDefault="004E2350" w:rsidP="004E2350">
      <w:pPr>
        <w:pStyle w:val="Style1"/>
        <w:spacing w:before="240"/>
        <w:jc w:val="left"/>
        <w:rPr>
          <w:lang w:val="es-ES"/>
        </w:rPr>
      </w:pPr>
      <w:r>
        <w:rPr>
          <w:lang w:val="es-ES"/>
        </w:rPr>
        <w:t>Antes de la designación, la AR VI MG y el RWC pertinente acordarán una fecha inicial de la fase piloto teniendo en cuenta el calendario propuesto en el plan de implementación que se comunicará a todas las partes interesadas.</w:t>
      </w:r>
    </w:p>
    <w:p w14:paraId="6604F221" w14:textId="77777777" w:rsidR="004E2350" w:rsidRDefault="004E2350" w:rsidP="004E2350">
      <w:pPr>
        <w:pStyle w:val="Heading3"/>
        <w:numPr>
          <w:ilvl w:val="0"/>
          <w:numId w:val="59"/>
        </w:numPr>
        <w:tabs>
          <w:tab w:val="num" w:pos="720"/>
        </w:tabs>
        <w:ind w:left="0" w:firstLine="0"/>
        <w:rPr>
          <w:lang w:val="es-ES"/>
        </w:rPr>
      </w:pPr>
      <w:r>
        <w:rPr>
          <w:lang w:val="es-ES"/>
        </w:rPr>
        <w:lastRenderedPageBreak/>
        <w:t>FUNCIONAMIENTO DE LOS RWC EN MODO PILOTO</w:t>
      </w:r>
    </w:p>
    <w:p w14:paraId="66C9CE54" w14:textId="77777777" w:rsidR="004E2350" w:rsidRDefault="004E2350" w:rsidP="004E2350">
      <w:pPr>
        <w:pStyle w:val="Style1"/>
        <w:spacing w:before="240"/>
        <w:jc w:val="left"/>
        <w:rPr>
          <w:lang w:val="es-ES"/>
        </w:rPr>
      </w:pPr>
      <w:r>
        <w:rPr>
          <w:lang w:val="es-ES"/>
        </w:rPr>
        <w:t>Una vez designados por la AR VI, los CRR y los Miembros empezarán a desempeñar las funciones requeridas según el calendario acordado.</w:t>
      </w:r>
    </w:p>
    <w:p w14:paraId="66FD4D65" w14:textId="77777777" w:rsidR="004E2350" w:rsidRDefault="004E2350" w:rsidP="004E2350">
      <w:pPr>
        <w:pStyle w:val="Style1"/>
        <w:spacing w:before="240"/>
        <w:jc w:val="left"/>
        <w:rPr>
          <w:lang w:val="es-ES"/>
        </w:rPr>
      </w:pPr>
      <w:bookmarkStart w:id="14" w:name="_Hlk130068883"/>
      <w:r>
        <w:rPr>
          <w:lang w:val="es-ES"/>
        </w:rPr>
        <w:t>Los CER y los miembros afiliados desempeñarán sus funciones tal y como se definen en el material normativo y de orientación pertinente, el documento conceptual, los procedimientos y el flujo de trabajo que muestra los pasos operativos para cada CER y los miembros afiliados.</w:t>
      </w:r>
    </w:p>
    <w:bookmarkEnd w:id="14"/>
    <w:p w14:paraId="1E8F1693" w14:textId="77777777" w:rsidR="004E2350" w:rsidRDefault="004E2350" w:rsidP="004E2350">
      <w:pPr>
        <w:pStyle w:val="Style1"/>
        <w:spacing w:before="240"/>
        <w:jc w:val="left"/>
        <w:rPr>
          <w:lang w:val="es-ES"/>
        </w:rPr>
      </w:pPr>
      <w:r>
        <w:rPr>
          <w:lang w:val="es-ES"/>
        </w:rPr>
        <w:t>En caso necesario, la Secretaría de la OMM proporcionará apoyo y orientación adicionales a los CRM para sus operaciones.</w:t>
      </w:r>
    </w:p>
    <w:p w14:paraId="7261DB0B" w14:textId="77777777" w:rsidR="004E2350" w:rsidRDefault="004E2350" w:rsidP="004E2350">
      <w:pPr>
        <w:pStyle w:val="Heading3"/>
        <w:numPr>
          <w:ilvl w:val="0"/>
          <w:numId w:val="59"/>
        </w:numPr>
        <w:tabs>
          <w:tab w:val="num" w:pos="720"/>
        </w:tabs>
        <w:ind w:left="0" w:firstLine="0"/>
        <w:rPr>
          <w:lang w:val="es-ES"/>
        </w:rPr>
      </w:pPr>
      <w:r>
        <w:rPr>
          <w:lang w:val="es-ES"/>
        </w:rPr>
        <w:t>ACTIVIDADES PARA EL ESTABLECIMIENTO DE LA RWC EN MODO PILOTO (2022-2025)</w:t>
      </w:r>
    </w:p>
    <w:p w14:paraId="2F1D2670" w14:textId="77777777" w:rsidR="004E2350" w:rsidRDefault="004E2350" w:rsidP="004E2350">
      <w:pPr>
        <w:pStyle w:val="Style1"/>
        <w:spacing w:before="240"/>
        <w:jc w:val="left"/>
        <w:rPr>
          <w:lang w:val="es-ES"/>
        </w:rPr>
      </w:pPr>
      <w:r>
        <w:rPr>
          <w:lang w:val="es-ES"/>
        </w:rPr>
        <w:t>El Anexo II de este documento proporciona una tabla con las actividades planificadas para las operaciones en modo piloto de los RWC en el AR VI con un calendario tentativo. El calendario propuesto debe considerarse un calendario dinámico que puede actualizarse en función del progreso y las condiciones de aplicación.</w:t>
      </w:r>
    </w:p>
    <w:p w14:paraId="0C5870D4" w14:textId="77777777" w:rsidR="004E2350" w:rsidRDefault="004E2350" w:rsidP="004E2350">
      <w:pPr>
        <w:pStyle w:val="ListParagraph"/>
        <w:rPr>
          <w:rFonts w:ascii="Verdana" w:hAnsi="Verdana" w:cs="Times New Roman"/>
          <w:b/>
          <w:bCs/>
          <w:sz w:val="20"/>
          <w:szCs w:val="20"/>
          <w:lang w:val="es-ES"/>
        </w:rPr>
      </w:pPr>
    </w:p>
    <w:p w14:paraId="37ED3C33" w14:textId="77777777" w:rsidR="004E2350" w:rsidRDefault="004E2350" w:rsidP="004E2350">
      <w:pPr>
        <w:pStyle w:val="ListParagraph"/>
        <w:rPr>
          <w:rFonts w:ascii="Verdana" w:hAnsi="Verdana" w:cs="Times New Roman"/>
          <w:b/>
          <w:bCs/>
          <w:sz w:val="20"/>
          <w:szCs w:val="20"/>
          <w:lang w:val="es-ES"/>
        </w:rPr>
      </w:pPr>
    </w:p>
    <w:p w14:paraId="232B396F" w14:textId="77777777" w:rsidR="004E2350" w:rsidRDefault="004E2350" w:rsidP="004E2350">
      <w:pPr>
        <w:tabs>
          <w:tab w:val="clear" w:pos="1134"/>
        </w:tabs>
        <w:spacing w:line="256" w:lineRule="auto"/>
        <w:jc w:val="left"/>
        <w:rPr>
          <w:rFonts w:eastAsiaTheme="minorHAnsi" w:cs="Times New Roman"/>
          <w:b/>
          <w:bCs/>
          <w:lang w:val="es-ES"/>
        </w:rPr>
        <w:sectPr w:rsidR="004E2350" w:rsidSect="004E2350">
          <w:pgSz w:w="11906" w:h="16838"/>
          <w:pgMar w:top="1417" w:right="1417" w:bottom="1417" w:left="1417" w:header="1418" w:footer="708" w:gutter="0"/>
          <w:cols w:space="720"/>
        </w:sectPr>
      </w:pPr>
    </w:p>
    <w:tbl>
      <w:tblPr>
        <w:tblStyle w:val="TableGrid1"/>
        <w:tblW w:w="14025" w:type="dxa"/>
        <w:tblInd w:w="0" w:type="dxa"/>
        <w:tblLayout w:type="fixed"/>
        <w:tblLook w:val="04A0" w:firstRow="1" w:lastRow="0" w:firstColumn="1" w:lastColumn="0" w:noHBand="0" w:noVBand="1"/>
      </w:tblPr>
      <w:tblGrid>
        <w:gridCol w:w="3397"/>
        <w:gridCol w:w="1985"/>
        <w:gridCol w:w="2125"/>
        <w:gridCol w:w="2322"/>
        <w:gridCol w:w="1929"/>
        <w:gridCol w:w="2267"/>
      </w:tblGrid>
      <w:tr w:rsidR="004E2350" w:rsidRPr="004E2350" w14:paraId="60B1DB63" w14:textId="77777777" w:rsidTr="004E2350">
        <w:trPr>
          <w:trHeight w:val="300"/>
          <w:tblHeader/>
        </w:trPr>
        <w:tc>
          <w:tcPr>
            <w:tcW w:w="14029" w:type="dxa"/>
            <w:gridSpan w:val="6"/>
            <w:tcBorders>
              <w:top w:val="single" w:sz="4" w:space="0" w:color="auto"/>
              <w:left w:val="single" w:sz="4" w:space="0" w:color="auto"/>
              <w:bottom w:val="single" w:sz="4" w:space="0" w:color="auto"/>
              <w:right w:val="single" w:sz="4" w:space="0" w:color="auto"/>
            </w:tcBorders>
            <w:vAlign w:val="center"/>
            <w:hideMark/>
          </w:tcPr>
          <w:p w14:paraId="4C47270C" w14:textId="77777777" w:rsidR="004E2350" w:rsidRDefault="004E2350">
            <w:pPr>
              <w:jc w:val="center"/>
              <w:rPr>
                <w:b/>
                <w:bCs/>
                <w:sz w:val="20"/>
                <w:szCs w:val="20"/>
                <w:lang w:val="es-ES"/>
              </w:rPr>
            </w:pPr>
            <w:r>
              <w:rPr>
                <w:b/>
                <w:bCs/>
                <w:sz w:val="20"/>
                <w:szCs w:val="20"/>
                <w:lang w:val="es-ES"/>
              </w:rPr>
              <w:lastRenderedPageBreak/>
              <w:t>PLAN DE APLICACIÓN DE LOS CENTROS REGIONALES DE WIGOS EN LA AR VI - Anexo I</w:t>
            </w:r>
          </w:p>
        </w:tc>
      </w:tr>
      <w:tr w:rsidR="004E2350" w14:paraId="445D633C" w14:textId="77777777" w:rsidTr="004E2350">
        <w:trPr>
          <w:trHeight w:val="300"/>
          <w:tblHeader/>
        </w:trPr>
        <w:tc>
          <w:tcPr>
            <w:tcW w:w="3397" w:type="dxa"/>
            <w:tcBorders>
              <w:top w:val="single" w:sz="4" w:space="0" w:color="auto"/>
              <w:left w:val="single" w:sz="4" w:space="0" w:color="auto"/>
              <w:bottom w:val="single" w:sz="4" w:space="0" w:color="auto"/>
              <w:right w:val="single" w:sz="4" w:space="0" w:color="auto"/>
            </w:tcBorders>
            <w:vAlign w:val="center"/>
            <w:hideMark/>
          </w:tcPr>
          <w:p w14:paraId="223A519D" w14:textId="77777777" w:rsidR="004E2350" w:rsidRDefault="004E2350">
            <w:pPr>
              <w:jc w:val="center"/>
              <w:rPr>
                <w:rFonts w:cstheme="minorHAnsi"/>
                <w:b/>
                <w:bCs/>
                <w:sz w:val="20"/>
                <w:szCs w:val="20"/>
              </w:rPr>
            </w:pPr>
            <w:r>
              <w:rPr>
                <w:rFonts w:cstheme="minorHAnsi"/>
                <w:b/>
                <w:bCs/>
                <w:sz w:val="20"/>
                <w:szCs w:val="20"/>
              </w:rPr>
              <w:t>Items</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259B60C" w14:textId="77777777" w:rsidR="004E2350" w:rsidRDefault="004E2350">
            <w:pPr>
              <w:jc w:val="center"/>
              <w:rPr>
                <w:b/>
                <w:bCs/>
                <w:sz w:val="20"/>
                <w:szCs w:val="20"/>
              </w:rPr>
            </w:pPr>
            <w:r>
              <w:rPr>
                <w:sz w:val="20"/>
                <w:szCs w:val="20"/>
                <w:lang w:val="es-ES"/>
              </w:rPr>
              <w:t>Bosnia y Herzegovina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6A9C52C" w14:textId="77777777" w:rsidR="004E2350" w:rsidRDefault="004E2350">
            <w:pPr>
              <w:jc w:val="center"/>
              <w:rPr>
                <w:b/>
                <w:bCs/>
                <w:sz w:val="20"/>
                <w:szCs w:val="20"/>
                <w:lang w:val="es-ES"/>
              </w:rPr>
            </w:pPr>
            <w:r>
              <w:rPr>
                <w:b/>
                <w:bCs/>
                <w:sz w:val="20"/>
                <w:szCs w:val="20"/>
                <w:lang w:val="es-ES"/>
              </w:rPr>
              <w:t>Kazajstán, Federación Rusa y Bielorrusia</w:t>
            </w:r>
          </w:p>
        </w:tc>
        <w:tc>
          <w:tcPr>
            <w:tcW w:w="2323" w:type="dxa"/>
            <w:tcBorders>
              <w:top w:val="single" w:sz="4" w:space="0" w:color="auto"/>
              <w:left w:val="single" w:sz="4" w:space="0" w:color="auto"/>
              <w:bottom w:val="single" w:sz="4" w:space="0" w:color="auto"/>
              <w:right w:val="single" w:sz="4" w:space="0" w:color="auto"/>
            </w:tcBorders>
            <w:vAlign w:val="center"/>
            <w:hideMark/>
          </w:tcPr>
          <w:p w14:paraId="29FE0885" w14:textId="77777777" w:rsidR="004E2350" w:rsidRDefault="004E2350">
            <w:pPr>
              <w:jc w:val="center"/>
              <w:rPr>
                <w:b/>
                <w:bCs/>
                <w:sz w:val="20"/>
                <w:szCs w:val="20"/>
              </w:rPr>
            </w:pPr>
            <w:r>
              <w:rPr>
                <w:sz w:val="20"/>
                <w:szCs w:val="20"/>
                <w:lang w:val="es-ES"/>
              </w:rPr>
              <w:t>Rumanía</w:t>
            </w:r>
          </w:p>
        </w:tc>
        <w:tc>
          <w:tcPr>
            <w:tcW w:w="1930" w:type="dxa"/>
            <w:tcBorders>
              <w:top w:val="single" w:sz="4" w:space="0" w:color="auto"/>
              <w:left w:val="single" w:sz="4" w:space="0" w:color="auto"/>
              <w:bottom w:val="single" w:sz="4" w:space="0" w:color="auto"/>
              <w:right w:val="single" w:sz="4" w:space="0" w:color="auto"/>
            </w:tcBorders>
            <w:vAlign w:val="center"/>
            <w:hideMark/>
          </w:tcPr>
          <w:p w14:paraId="1199A080" w14:textId="77777777" w:rsidR="004E2350" w:rsidRDefault="004E2350">
            <w:pPr>
              <w:jc w:val="center"/>
              <w:rPr>
                <w:b/>
                <w:bCs/>
                <w:sz w:val="20"/>
                <w:szCs w:val="20"/>
              </w:rPr>
            </w:pPr>
            <w:r>
              <w:rPr>
                <w:sz w:val="20"/>
                <w:szCs w:val="20"/>
                <w:lang w:val="es-ES"/>
              </w:rPr>
              <w:t>Türkiye</w:t>
            </w:r>
          </w:p>
        </w:tc>
        <w:tc>
          <w:tcPr>
            <w:tcW w:w="2268" w:type="dxa"/>
            <w:tcBorders>
              <w:top w:val="single" w:sz="4" w:space="0" w:color="auto"/>
              <w:left w:val="single" w:sz="4" w:space="0" w:color="auto"/>
              <w:bottom w:val="single" w:sz="4" w:space="0" w:color="auto"/>
              <w:right w:val="single" w:sz="4" w:space="0" w:color="auto"/>
            </w:tcBorders>
            <w:vAlign w:val="center"/>
          </w:tcPr>
          <w:p w14:paraId="4DAEFB3B" w14:textId="77777777" w:rsidR="004E2350" w:rsidRDefault="004E2350">
            <w:pPr>
              <w:jc w:val="center"/>
              <w:rPr>
                <w:b/>
                <w:bCs/>
                <w:sz w:val="20"/>
                <w:szCs w:val="20"/>
              </w:rPr>
            </w:pPr>
          </w:p>
          <w:p w14:paraId="4CE8F122" w14:textId="77777777" w:rsidR="004E2350" w:rsidRDefault="004E2350">
            <w:pPr>
              <w:jc w:val="center"/>
              <w:rPr>
                <w:b/>
                <w:bCs/>
                <w:sz w:val="20"/>
                <w:szCs w:val="20"/>
              </w:rPr>
            </w:pPr>
            <w:r>
              <w:rPr>
                <w:sz w:val="20"/>
                <w:szCs w:val="20"/>
                <w:lang w:val="es-ES"/>
              </w:rPr>
              <w:t>EUMETNET</w:t>
            </w:r>
          </w:p>
          <w:p w14:paraId="1F777201" w14:textId="77777777" w:rsidR="004E2350" w:rsidRDefault="004E2350">
            <w:pPr>
              <w:jc w:val="center"/>
              <w:rPr>
                <w:b/>
                <w:bCs/>
                <w:sz w:val="20"/>
                <w:szCs w:val="20"/>
              </w:rPr>
            </w:pPr>
          </w:p>
        </w:tc>
      </w:tr>
      <w:tr w:rsidR="004E2350" w14:paraId="4F3AF19B" w14:textId="77777777" w:rsidTr="004E2350">
        <w:trPr>
          <w:trHeight w:val="519"/>
        </w:trPr>
        <w:tc>
          <w:tcPr>
            <w:tcW w:w="3397" w:type="dxa"/>
            <w:tcBorders>
              <w:top w:val="single" w:sz="4" w:space="0" w:color="auto"/>
              <w:left w:val="single" w:sz="4" w:space="0" w:color="auto"/>
              <w:bottom w:val="single" w:sz="4" w:space="0" w:color="auto"/>
              <w:right w:val="single" w:sz="4" w:space="0" w:color="auto"/>
            </w:tcBorders>
            <w:hideMark/>
          </w:tcPr>
          <w:p w14:paraId="4DB4CA97" w14:textId="77777777" w:rsidR="004E2350" w:rsidRDefault="004E2350">
            <w:pPr>
              <w:jc w:val="left"/>
              <w:rPr>
                <w:rFonts w:cstheme="minorHAnsi"/>
                <w:sz w:val="20"/>
                <w:szCs w:val="20"/>
              </w:rPr>
            </w:pPr>
            <w:r>
              <w:rPr>
                <w:sz w:val="20"/>
                <w:szCs w:val="20"/>
                <w:lang w:val="en-US"/>
              </w:rPr>
              <w:t>1. Name of the country, name of the organization and full address</w:t>
            </w:r>
          </w:p>
        </w:tc>
        <w:tc>
          <w:tcPr>
            <w:tcW w:w="1985" w:type="dxa"/>
            <w:tcBorders>
              <w:top w:val="single" w:sz="4" w:space="0" w:color="auto"/>
              <w:left w:val="single" w:sz="4" w:space="0" w:color="auto"/>
              <w:bottom w:val="single" w:sz="4" w:space="0" w:color="auto"/>
              <w:right w:val="single" w:sz="4" w:space="0" w:color="auto"/>
            </w:tcBorders>
            <w:vAlign w:val="center"/>
          </w:tcPr>
          <w:p w14:paraId="2BCCDBDF" w14:textId="77777777" w:rsidR="004E2350" w:rsidRDefault="004E2350">
            <w:pP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6D1BCBC2" w14:textId="77777777" w:rsidR="004E2350" w:rsidRDefault="004E2350">
            <w:pPr>
              <w:rPr>
                <w:sz w:val="20"/>
                <w:szCs w:val="20"/>
              </w:rPr>
            </w:pPr>
          </w:p>
        </w:tc>
        <w:tc>
          <w:tcPr>
            <w:tcW w:w="2323" w:type="dxa"/>
            <w:tcBorders>
              <w:top w:val="single" w:sz="4" w:space="0" w:color="auto"/>
              <w:left w:val="single" w:sz="4" w:space="0" w:color="auto"/>
              <w:bottom w:val="single" w:sz="4" w:space="0" w:color="auto"/>
              <w:right w:val="single" w:sz="4" w:space="0" w:color="auto"/>
            </w:tcBorders>
            <w:vAlign w:val="center"/>
          </w:tcPr>
          <w:p w14:paraId="5E64B1D5" w14:textId="77777777" w:rsidR="004E2350" w:rsidRDefault="004E2350">
            <w:pPr>
              <w:rPr>
                <w:sz w:val="20"/>
                <w:szCs w:val="20"/>
              </w:rPr>
            </w:pPr>
          </w:p>
        </w:tc>
        <w:tc>
          <w:tcPr>
            <w:tcW w:w="1930" w:type="dxa"/>
            <w:tcBorders>
              <w:top w:val="single" w:sz="4" w:space="0" w:color="auto"/>
              <w:left w:val="single" w:sz="4" w:space="0" w:color="auto"/>
              <w:bottom w:val="single" w:sz="4" w:space="0" w:color="auto"/>
              <w:right w:val="single" w:sz="4" w:space="0" w:color="auto"/>
            </w:tcBorders>
            <w:vAlign w:val="center"/>
          </w:tcPr>
          <w:p w14:paraId="580728FF" w14:textId="77777777" w:rsidR="004E2350" w:rsidRDefault="004E2350">
            <w:pP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25BC98B4" w14:textId="77777777" w:rsidR="004E2350" w:rsidRDefault="004E2350">
            <w:pPr>
              <w:rPr>
                <w:sz w:val="20"/>
                <w:szCs w:val="20"/>
              </w:rPr>
            </w:pPr>
          </w:p>
        </w:tc>
      </w:tr>
      <w:tr w:rsidR="004E2350" w14:paraId="5BCE4A9E" w14:textId="77777777" w:rsidTr="004E2350">
        <w:trPr>
          <w:trHeight w:val="555"/>
        </w:trPr>
        <w:tc>
          <w:tcPr>
            <w:tcW w:w="3397" w:type="dxa"/>
            <w:tcBorders>
              <w:top w:val="single" w:sz="4" w:space="0" w:color="auto"/>
              <w:left w:val="single" w:sz="4" w:space="0" w:color="auto"/>
              <w:bottom w:val="single" w:sz="4" w:space="0" w:color="auto"/>
              <w:right w:val="single" w:sz="4" w:space="0" w:color="auto"/>
            </w:tcBorders>
            <w:hideMark/>
          </w:tcPr>
          <w:p w14:paraId="23539456" w14:textId="77777777" w:rsidR="004E2350" w:rsidRDefault="004E2350">
            <w:pPr>
              <w:jc w:val="left"/>
              <w:rPr>
                <w:rFonts w:cstheme="minorHAnsi"/>
                <w:sz w:val="20"/>
                <w:szCs w:val="20"/>
              </w:rPr>
            </w:pPr>
            <w:r>
              <w:rPr>
                <w:sz w:val="20"/>
                <w:szCs w:val="20"/>
                <w:lang w:val="en-US"/>
              </w:rPr>
              <w:t>2. Affiliation (sponsors, stakeholders, partnering agencies, etc.) at the global, regional, and national levels</w:t>
            </w:r>
          </w:p>
        </w:tc>
        <w:tc>
          <w:tcPr>
            <w:tcW w:w="1985" w:type="dxa"/>
            <w:tcBorders>
              <w:top w:val="single" w:sz="4" w:space="0" w:color="auto"/>
              <w:left w:val="single" w:sz="4" w:space="0" w:color="auto"/>
              <w:bottom w:val="single" w:sz="4" w:space="0" w:color="auto"/>
              <w:right w:val="single" w:sz="4" w:space="0" w:color="auto"/>
            </w:tcBorders>
            <w:vAlign w:val="center"/>
          </w:tcPr>
          <w:p w14:paraId="586E7697" w14:textId="77777777" w:rsidR="004E2350" w:rsidRDefault="004E2350">
            <w:pP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20C86669" w14:textId="77777777" w:rsidR="004E2350" w:rsidRDefault="004E2350">
            <w:pPr>
              <w:rPr>
                <w:sz w:val="20"/>
                <w:szCs w:val="20"/>
              </w:rPr>
            </w:pPr>
          </w:p>
        </w:tc>
        <w:tc>
          <w:tcPr>
            <w:tcW w:w="2323" w:type="dxa"/>
            <w:tcBorders>
              <w:top w:val="single" w:sz="4" w:space="0" w:color="auto"/>
              <w:left w:val="single" w:sz="4" w:space="0" w:color="auto"/>
              <w:bottom w:val="single" w:sz="4" w:space="0" w:color="auto"/>
              <w:right w:val="single" w:sz="4" w:space="0" w:color="auto"/>
            </w:tcBorders>
            <w:vAlign w:val="center"/>
          </w:tcPr>
          <w:p w14:paraId="430D7EAB" w14:textId="77777777" w:rsidR="004E2350" w:rsidRDefault="004E2350">
            <w:pPr>
              <w:rPr>
                <w:sz w:val="20"/>
                <w:szCs w:val="20"/>
              </w:rPr>
            </w:pPr>
          </w:p>
        </w:tc>
        <w:tc>
          <w:tcPr>
            <w:tcW w:w="1930" w:type="dxa"/>
            <w:tcBorders>
              <w:top w:val="single" w:sz="4" w:space="0" w:color="auto"/>
              <w:left w:val="single" w:sz="4" w:space="0" w:color="auto"/>
              <w:bottom w:val="single" w:sz="4" w:space="0" w:color="auto"/>
              <w:right w:val="single" w:sz="4" w:space="0" w:color="auto"/>
            </w:tcBorders>
            <w:vAlign w:val="center"/>
          </w:tcPr>
          <w:p w14:paraId="77C14C9F" w14:textId="77777777" w:rsidR="004E2350" w:rsidRDefault="004E2350">
            <w:pP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4DA55C2F" w14:textId="77777777" w:rsidR="004E2350" w:rsidRDefault="004E2350">
            <w:pPr>
              <w:rPr>
                <w:sz w:val="20"/>
                <w:szCs w:val="20"/>
              </w:rPr>
            </w:pPr>
          </w:p>
        </w:tc>
      </w:tr>
      <w:tr w:rsidR="004E2350" w14:paraId="5AB608CD" w14:textId="77777777" w:rsidTr="004E2350">
        <w:trPr>
          <w:trHeight w:val="554"/>
        </w:trPr>
        <w:tc>
          <w:tcPr>
            <w:tcW w:w="3397" w:type="dxa"/>
            <w:tcBorders>
              <w:top w:val="single" w:sz="4" w:space="0" w:color="auto"/>
              <w:left w:val="single" w:sz="4" w:space="0" w:color="auto"/>
              <w:bottom w:val="single" w:sz="4" w:space="0" w:color="auto"/>
              <w:right w:val="single" w:sz="4" w:space="0" w:color="auto"/>
            </w:tcBorders>
            <w:hideMark/>
          </w:tcPr>
          <w:p w14:paraId="14117D8C" w14:textId="77777777" w:rsidR="004E2350" w:rsidRDefault="004E2350">
            <w:pPr>
              <w:jc w:val="left"/>
              <w:rPr>
                <w:rFonts w:cstheme="minorHAnsi"/>
                <w:sz w:val="20"/>
                <w:szCs w:val="20"/>
              </w:rPr>
            </w:pPr>
            <w:r>
              <w:rPr>
                <w:sz w:val="20"/>
                <w:szCs w:val="20"/>
                <w:lang w:val="en-US"/>
              </w:rPr>
              <w:t>3. Mandate of the Centre relevant to WIGOS activities (mandatory and optional functions)</w:t>
            </w:r>
          </w:p>
        </w:tc>
        <w:tc>
          <w:tcPr>
            <w:tcW w:w="1985" w:type="dxa"/>
            <w:tcBorders>
              <w:top w:val="single" w:sz="4" w:space="0" w:color="auto"/>
              <w:left w:val="single" w:sz="4" w:space="0" w:color="auto"/>
              <w:bottom w:val="single" w:sz="4" w:space="0" w:color="auto"/>
              <w:right w:val="single" w:sz="4" w:space="0" w:color="auto"/>
            </w:tcBorders>
            <w:vAlign w:val="center"/>
          </w:tcPr>
          <w:p w14:paraId="7E0A17C8" w14:textId="77777777" w:rsidR="004E2350" w:rsidRDefault="004E2350">
            <w:pP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643F4F23" w14:textId="77777777" w:rsidR="004E2350" w:rsidRDefault="004E2350">
            <w:pPr>
              <w:rPr>
                <w:sz w:val="20"/>
                <w:szCs w:val="20"/>
              </w:rPr>
            </w:pPr>
          </w:p>
        </w:tc>
        <w:tc>
          <w:tcPr>
            <w:tcW w:w="2323" w:type="dxa"/>
            <w:tcBorders>
              <w:top w:val="single" w:sz="4" w:space="0" w:color="auto"/>
              <w:left w:val="single" w:sz="4" w:space="0" w:color="auto"/>
              <w:bottom w:val="single" w:sz="4" w:space="0" w:color="auto"/>
              <w:right w:val="single" w:sz="4" w:space="0" w:color="auto"/>
            </w:tcBorders>
            <w:vAlign w:val="center"/>
          </w:tcPr>
          <w:p w14:paraId="6BCBD8BD" w14:textId="77777777" w:rsidR="004E2350" w:rsidRDefault="004E2350">
            <w:pPr>
              <w:rPr>
                <w:sz w:val="20"/>
                <w:szCs w:val="20"/>
              </w:rPr>
            </w:pPr>
          </w:p>
        </w:tc>
        <w:tc>
          <w:tcPr>
            <w:tcW w:w="1930" w:type="dxa"/>
            <w:tcBorders>
              <w:top w:val="single" w:sz="4" w:space="0" w:color="auto"/>
              <w:left w:val="single" w:sz="4" w:space="0" w:color="auto"/>
              <w:bottom w:val="single" w:sz="4" w:space="0" w:color="auto"/>
              <w:right w:val="single" w:sz="4" w:space="0" w:color="auto"/>
            </w:tcBorders>
            <w:vAlign w:val="center"/>
          </w:tcPr>
          <w:p w14:paraId="0646C180" w14:textId="77777777" w:rsidR="004E2350" w:rsidRDefault="004E2350">
            <w:pP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637A0245" w14:textId="77777777" w:rsidR="004E2350" w:rsidRDefault="004E2350">
            <w:pPr>
              <w:rPr>
                <w:sz w:val="20"/>
                <w:szCs w:val="20"/>
              </w:rPr>
            </w:pPr>
          </w:p>
        </w:tc>
      </w:tr>
      <w:tr w:rsidR="004E2350" w14:paraId="07C88EC2" w14:textId="77777777" w:rsidTr="004E2350">
        <w:trPr>
          <w:trHeight w:val="596"/>
        </w:trPr>
        <w:tc>
          <w:tcPr>
            <w:tcW w:w="3397" w:type="dxa"/>
            <w:tcBorders>
              <w:top w:val="single" w:sz="4" w:space="0" w:color="auto"/>
              <w:left w:val="single" w:sz="4" w:space="0" w:color="auto"/>
              <w:bottom w:val="single" w:sz="4" w:space="0" w:color="auto"/>
              <w:right w:val="single" w:sz="4" w:space="0" w:color="auto"/>
            </w:tcBorders>
            <w:vAlign w:val="center"/>
            <w:hideMark/>
          </w:tcPr>
          <w:p w14:paraId="147C845B" w14:textId="77777777" w:rsidR="004E2350" w:rsidRDefault="004E2350">
            <w:pPr>
              <w:jc w:val="left"/>
              <w:rPr>
                <w:rFonts w:cstheme="minorHAnsi"/>
                <w:sz w:val="20"/>
                <w:szCs w:val="20"/>
              </w:rPr>
            </w:pPr>
            <w:r>
              <w:rPr>
                <w:sz w:val="20"/>
                <w:szCs w:val="20"/>
                <w:lang w:val="es-ES"/>
              </w:rPr>
              <w:t>4. Liaison with relevant existing WMO centres, particularly regional centres</w:t>
            </w:r>
          </w:p>
        </w:tc>
        <w:tc>
          <w:tcPr>
            <w:tcW w:w="1985" w:type="dxa"/>
            <w:tcBorders>
              <w:top w:val="single" w:sz="4" w:space="0" w:color="auto"/>
              <w:left w:val="single" w:sz="4" w:space="0" w:color="auto"/>
              <w:bottom w:val="single" w:sz="4" w:space="0" w:color="auto"/>
              <w:right w:val="single" w:sz="4" w:space="0" w:color="auto"/>
            </w:tcBorders>
            <w:vAlign w:val="center"/>
          </w:tcPr>
          <w:p w14:paraId="07EE4F69" w14:textId="77777777" w:rsidR="004E2350" w:rsidRDefault="004E2350">
            <w:pP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5C691309" w14:textId="77777777" w:rsidR="004E2350" w:rsidRDefault="004E2350">
            <w:pPr>
              <w:rPr>
                <w:sz w:val="20"/>
                <w:szCs w:val="20"/>
              </w:rPr>
            </w:pPr>
          </w:p>
        </w:tc>
        <w:tc>
          <w:tcPr>
            <w:tcW w:w="2323" w:type="dxa"/>
            <w:tcBorders>
              <w:top w:val="single" w:sz="4" w:space="0" w:color="auto"/>
              <w:left w:val="single" w:sz="4" w:space="0" w:color="auto"/>
              <w:bottom w:val="single" w:sz="4" w:space="0" w:color="auto"/>
              <w:right w:val="single" w:sz="4" w:space="0" w:color="auto"/>
            </w:tcBorders>
            <w:vAlign w:val="center"/>
          </w:tcPr>
          <w:p w14:paraId="460C1A55" w14:textId="77777777" w:rsidR="004E2350" w:rsidRDefault="004E2350">
            <w:pPr>
              <w:rPr>
                <w:sz w:val="20"/>
                <w:szCs w:val="20"/>
              </w:rPr>
            </w:pPr>
          </w:p>
        </w:tc>
        <w:tc>
          <w:tcPr>
            <w:tcW w:w="1930" w:type="dxa"/>
            <w:tcBorders>
              <w:top w:val="single" w:sz="4" w:space="0" w:color="auto"/>
              <w:left w:val="single" w:sz="4" w:space="0" w:color="auto"/>
              <w:bottom w:val="single" w:sz="4" w:space="0" w:color="auto"/>
              <w:right w:val="single" w:sz="4" w:space="0" w:color="auto"/>
            </w:tcBorders>
            <w:vAlign w:val="center"/>
          </w:tcPr>
          <w:p w14:paraId="595B1574" w14:textId="77777777" w:rsidR="004E2350" w:rsidRDefault="004E2350">
            <w:pP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1652F688" w14:textId="77777777" w:rsidR="004E2350" w:rsidRDefault="004E2350">
            <w:pPr>
              <w:rPr>
                <w:sz w:val="20"/>
                <w:szCs w:val="20"/>
              </w:rPr>
            </w:pPr>
          </w:p>
        </w:tc>
      </w:tr>
      <w:tr w:rsidR="004E2350" w14:paraId="0E9C9F6B" w14:textId="77777777" w:rsidTr="004E2350">
        <w:trPr>
          <w:trHeight w:val="596"/>
        </w:trPr>
        <w:tc>
          <w:tcPr>
            <w:tcW w:w="3397" w:type="dxa"/>
            <w:tcBorders>
              <w:top w:val="single" w:sz="4" w:space="0" w:color="auto"/>
              <w:left w:val="single" w:sz="4" w:space="0" w:color="auto"/>
              <w:bottom w:val="single" w:sz="4" w:space="0" w:color="auto"/>
              <w:right w:val="single" w:sz="4" w:space="0" w:color="auto"/>
            </w:tcBorders>
            <w:vAlign w:val="center"/>
            <w:hideMark/>
          </w:tcPr>
          <w:p w14:paraId="341969AA" w14:textId="77777777" w:rsidR="004E2350" w:rsidRDefault="004E2350">
            <w:pPr>
              <w:jc w:val="left"/>
              <w:rPr>
                <w:rFonts w:cstheme="minorHAnsi"/>
                <w:sz w:val="20"/>
                <w:szCs w:val="20"/>
              </w:rPr>
            </w:pPr>
            <w:r>
              <w:rPr>
                <w:sz w:val="20"/>
                <w:szCs w:val="20"/>
                <w:lang w:val="en-US"/>
              </w:rPr>
              <w:t>5. Website of the Centre describing WIGOS related activities</w:t>
            </w:r>
          </w:p>
        </w:tc>
        <w:tc>
          <w:tcPr>
            <w:tcW w:w="1985" w:type="dxa"/>
            <w:tcBorders>
              <w:top w:val="single" w:sz="4" w:space="0" w:color="auto"/>
              <w:left w:val="single" w:sz="4" w:space="0" w:color="auto"/>
              <w:bottom w:val="single" w:sz="4" w:space="0" w:color="auto"/>
              <w:right w:val="single" w:sz="4" w:space="0" w:color="auto"/>
            </w:tcBorders>
            <w:vAlign w:val="center"/>
          </w:tcPr>
          <w:p w14:paraId="4DF779A5" w14:textId="77777777" w:rsidR="004E2350" w:rsidRDefault="004E2350">
            <w:pP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2A029572" w14:textId="77777777" w:rsidR="004E2350" w:rsidRDefault="004E2350">
            <w:pPr>
              <w:rPr>
                <w:sz w:val="20"/>
                <w:szCs w:val="20"/>
              </w:rPr>
            </w:pPr>
          </w:p>
        </w:tc>
        <w:tc>
          <w:tcPr>
            <w:tcW w:w="2323" w:type="dxa"/>
            <w:tcBorders>
              <w:top w:val="single" w:sz="4" w:space="0" w:color="auto"/>
              <w:left w:val="single" w:sz="4" w:space="0" w:color="auto"/>
              <w:bottom w:val="single" w:sz="4" w:space="0" w:color="auto"/>
              <w:right w:val="single" w:sz="4" w:space="0" w:color="auto"/>
            </w:tcBorders>
            <w:vAlign w:val="center"/>
          </w:tcPr>
          <w:p w14:paraId="402BFC79" w14:textId="77777777" w:rsidR="004E2350" w:rsidRDefault="004E2350">
            <w:pPr>
              <w:rPr>
                <w:sz w:val="20"/>
                <w:szCs w:val="20"/>
              </w:rPr>
            </w:pPr>
          </w:p>
        </w:tc>
        <w:tc>
          <w:tcPr>
            <w:tcW w:w="1930" w:type="dxa"/>
            <w:tcBorders>
              <w:top w:val="single" w:sz="4" w:space="0" w:color="auto"/>
              <w:left w:val="single" w:sz="4" w:space="0" w:color="auto"/>
              <w:bottom w:val="single" w:sz="4" w:space="0" w:color="auto"/>
              <w:right w:val="single" w:sz="4" w:space="0" w:color="auto"/>
            </w:tcBorders>
            <w:vAlign w:val="center"/>
          </w:tcPr>
          <w:p w14:paraId="7281816D" w14:textId="77777777" w:rsidR="004E2350" w:rsidRDefault="004E2350">
            <w:pP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6D4F19C5" w14:textId="77777777" w:rsidR="004E2350" w:rsidRDefault="004E2350">
            <w:pPr>
              <w:rPr>
                <w:sz w:val="20"/>
                <w:szCs w:val="20"/>
              </w:rPr>
            </w:pPr>
          </w:p>
        </w:tc>
      </w:tr>
      <w:tr w:rsidR="004E2350" w14:paraId="6A7F060B" w14:textId="77777777" w:rsidTr="004E2350">
        <w:trPr>
          <w:trHeight w:val="596"/>
        </w:trPr>
        <w:tc>
          <w:tcPr>
            <w:tcW w:w="3397" w:type="dxa"/>
            <w:tcBorders>
              <w:top w:val="single" w:sz="4" w:space="0" w:color="auto"/>
              <w:left w:val="single" w:sz="4" w:space="0" w:color="auto"/>
              <w:bottom w:val="single" w:sz="4" w:space="0" w:color="auto"/>
              <w:right w:val="single" w:sz="4" w:space="0" w:color="auto"/>
            </w:tcBorders>
            <w:vAlign w:val="center"/>
            <w:hideMark/>
          </w:tcPr>
          <w:p w14:paraId="299C814C" w14:textId="77777777" w:rsidR="004E2350" w:rsidRDefault="004E2350">
            <w:pPr>
              <w:jc w:val="left"/>
              <w:rPr>
                <w:rFonts w:cstheme="minorHAnsi"/>
                <w:sz w:val="20"/>
                <w:szCs w:val="20"/>
              </w:rPr>
            </w:pPr>
            <w:r>
              <w:rPr>
                <w:sz w:val="20"/>
                <w:szCs w:val="20"/>
                <w:lang w:val="en-US"/>
              </w:rPr>
              <w:t>6. Current operational activities relevant to the candidate’s application (following the mandatory and optional RWC functions)</w:t>
            </w:r>
          </w:p>
        </w:tc>
        <w:tc>
          <w:tcPr>
            <w:tcW w:w="1985" w:type="dxa"/>
            <w:tcBorders>
              <w:top w:val="single" w:sz="4" w:space="0" w:color="auto"/>
              <w:left w:val="single" w:sz="4" w:space="0" w:color="auto"/>
              <w:bottom w:val="single" w:sz="4" w:space="0" w:color="auto"/>
              <w:right w:val="single" w:sz="4" w:space="0" w:color="auto"/>
            </w:tcBorders>
            <w:vAlign w:val="center"/>
          </w:tcPr>
          <w:p w14:paraId="741907A3" w14:textId="77777777" w:rsidR="004E2350" w:rsidRDefault="004E2350">
            <w:pPr>
              <w:pStyle w:val="ListParagraph"/>
              <w:ind w:left="344"/>
              <w:rPr>
                <w:rFonts w:ascii="Verdana" w:hAnsi="Verdana"/>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7F46FFE8" w14:textId="77777777" w:rsidR="004E2350" w:rsidRDefault="004E2350">
            <w:pPr>
              <w:rPr>
                <w:sz w:val="20"/>
                <w:szCs w:val="20"/>
              </w:rPr>
            </w:pPr>
          </w:p>
        </w:tc>
        <w:tc>
          <w:tcPr>
            <w:tcW w:w="2323" w:type="dxa"/>
            <w:tcBorders>
              <w:top w:val="single" w:sz="4" w:space="0" w:color="auto"/>
              <w:left w:val="single" w:sz="4" w:space="0" w:color="auto"/>
              <w:bottom w:val="single" w:sz="4" w:space="0" w:color="auto"/>
              <w:right w:val="single" w:sz="4" w:space="0" w:color="auto"/>
            </w:tcBorders>
            <w:vAlign w:val="center"/>
          </w:tcPr>
          <w:p w14:paraId="61D465AF" w14:textId="77777777" w:rsidR="004E2350" w:rsidRDefault="004E2350">
            <w:pPr>
              <w:rPr>
                <w:sz w:val="20"/>
                <w:szCs w:val="20"/>
              </w:rPr>
            </w:pPr>
          </w:p>
        </w:tc>
        <w:tc>
          <w:tcPr>
            <w:tcW w:w="1930" w:type="dxa"/>
            <w:tcBorders>
              <w:top w:val="single" w:sz="4" w:space="0" w:color="auto"/>
              <w:left w:val="single" w:sz="4" w:space="0" w:color="auto"/>
              <w:bottom w:val="single" w:sz="4" w:space="0" w:color="auto"/>
              <w:right w:val="single" w:sz="4" w:space="0" w:color="auto"/>
            </w:tcBorders>
            <w:vAlign w:val="center"/>
          </w:tcPr>
          <w:p w14:paraId="2C4DD4E6" w14:textId="77777777" w:rsidR="004E2350" w:rsidRDefault="004E2350">
            <w:pP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40ED4BBA" w14:textId="77777777" w:rsidR="004E2350" w:rsidRDefault="004E2350">
            <w:pPr>
              <w:rPr>
                <w:sz w:val="20"/>
                <w:szCs w:val="20"/>
              </w:rPr>
            </w:pPr>
          </w:p>
        </w:tc>
      </w:tr>
      <w:tr w:rsidR="004E2350" w14:paraId="2E46452C" w14:textId="77777777" w:rsidTr="004E2350">
        <w:trPr>
          <w:trHeight w:val="596"/>
        </w:trPr>
        <w:tc>
          <w:tcPr>
            <w:tcW w:w="3397" w:type="dxa"/>
            <w:tcBorders>
              <w:top w:val="single" w:sz="4" w:space="0" w:color="auto"/>
              <w:left w:val="single" w:sz="4" w:space="0" w:color="auto"/>
              <w:bottom w:val="single" w:sz="4" w:space="0" w:color="auto"/>
              <w:right w:val="single" w:sz="4" w:space="0" w:color="auto"/>
            </w:tcBorders>
            <w:vAlign w:val="center"/>
            <w:hideMark/>
          </w:tcPr>
          <w:p w14:paraId="2617CE48" w14:textId="77777777" w:rsidR="004E2350" w:rsidRDefault="004E2350">
            <w:pPr>
              <w:jc w:val="left"/>
              <w:rPr>
                <w:rFonts w:cstheme="minorHAnsi"/>
                <w:sz w:val="20"/>
                <w:szCs w:val="20"/>
              </w:rPr>
            </w:pPr>
            <w:r>
              <w:rPr>
                <w:sz w:val="20"/>
                <w:szCs w:val="20"/>
                <w:lang w:val="en-US"/>
              </w:rPr>
              <w:t>7. Staff deployment/human resources relevant to RWC activities (managerial, scientific, technical and administrative categories)</w:t>
            </w:r>
          </w:p>
        </w:tc>
        <w:tc>
          <w:tcPr>
            <w:tcW w:w="1985" w:type="dxa"/>
            <w:tcBorders>
              <w:top w:val="single" w:sz="4" w:space="0" w:color="auto"/>
              <w:left w:val="single" w:sz="4" w:space="0" w:color="auto"/>
              <w:bottom w:val="single" w:sz="4" w:space="0" w:color="auto"/>
              <w:right w:val="single" w:sz="4" w:space="0" w:color="auto"/>
            </w:tcBorders>
            <w:vAlign w:val="center"/>
          </w:tcPr>
          <w:p w14:paraId="7A51646A" w14:textId="77777777" w:rsidR="004E2350" w:rsidRDefault="004E2350">
            <w:pP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1F86228F" w14:textId="77777777" w:rsidR="004E2350" w:rsidRDefault="004E2350">
            <w:pPr>
              <w:rPr>
                <w:sz w:val="20"/>
                <w:szCs w:val="20"/>
              </w:rPr>
            </w:pPr>
          </w:p>
        </w:tc>
        <w:tc>
          <w:tcPr>
            <w:tcW w:w="2323" w:type="dxa"/>
            <w:tcBorders>
              <w:top w:val="single" w:sz="4" w:space="0" w:color="auto"/>
              <w:left w:val="single" w:sz="4" w:space="0" w:color="auto"/>
              <w:bottom w:val="single" w:sz="4" w:space="0" w:color="auto"/>
              <w:right w:val="single" w:sz="4" w:space="0" w:color="auto"/>
            </w:tcBorders>
            <w:vAlign w:val="center"/>
          </w:tcPr>
          <w:p w14:paraId="77E878B9" w14:textId="77777777" w:rsidR="004E2350" w:rsidRDefault="004E2350">
            <w:pPr>
              <w:rPr>
                <w:sz w:val="20"/>
                <w:szCs w:val="20"/>
              </w:rPr>
            </w:pPr>
          </w:p>
        </w:tc>
        <w:tc>
          <w:tcPr>
            <w:tcW w:w="1930" w:type="dxa"/>
            <w:tcBorders>
              <w:top w:val="single" w:sz="4" w:space="0" w:color="auto"/>
              <w:left w:val="single" w:sz="4" w:space="0" w:color="auto"/>
              <w:bottom w:val="single" w:sz="4" w:space="0" w:color="auto"/>
              <w:right w:val="single" w:sz="4" w:space="0" w:color="auto"/>
            </w:tcBorders>
            <w:vAlign w:val="center"/>
          </w:tcPr>
          <w:p w14:paraId="2C6C5AED" w14:textId="77777777" w:rsidR="004E2350" w:rsidRDefault="004E2350">
            <w:pP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53E90A8A" w14:textId="77777777" w:rsidR="004E2350" w:rsidRDefault="004E2350">
            <w:pPr>
              <w:rPr>
                <w:sz w:val="20"/>
                <w:szCs w:val="20"/>
              </w:rPr>
            </w:pPr>
          </w:p>
        </w:tc>
      </w:tr>
      <w:tr w:rsidR="004E2350" w14:paraId="75EC7CB2" w14:textId="77777777" w:rsidTr="004E2350">
        <w:trPr>
          <w:trHeight w:val="596"/>
        </w:trPr>
        <w:tc>
          <w:tcPr>
            <w:tcW w:w="3397" w:type="dxa"/>
            <w:tcBorders>
              <w:top w:val="single" w:sz="4" w:space="0" w:color="auto"/>
              <w:left w:val="single" w:sz="4" w:space="0" w:color="auto"/>
              <w:bottom w:val="single" w:sz="4" w:space="0" w:color="auto"/>
              <w:right w:val="single" w:sz="4" w:space="0" w:color="auto"/>
            </w:tcBorders>
            <w:vAlign w:val="center"/>
            <w:hideMark/>
          </w:tcPr>
          <w:p w14:paraId="58D8782F" w14:textId="77777777" w:rsidR="004E2350" w:rsidRDefault="004E2350">
            <w:pPr>
              <w:jc w:val="left"/>
              <w:rPr>
                <w:rFonts w:cstheme="minorHAnsi"/>
                <w:sz w:val="20"/>
                <w:szCs w:val="20"/>
              </w:rPr>
            </w:pPr>
            <w:r>
              <w:rPr>
                <w:sz w:val="20"/>
                <w:szCs w:val="20"/>
                <w:lang w:val="en-US"/>
              </w:rPr>
              <w:t>8. Description of current facilities, the necessary basics, physical infrastructure, and communication systems relevant to RWC mandatory and optional functions</w:t>
            </w:r>
          </w:p>
        </w:tc>
        <w:tc>
          <w:tcPr>
            <w:tcW w:w="1985" w:type="dxa"/>
            <w:tcBorders>
              <w:top w:val="single" w:sz="4" w:space="0" w:color="auto"/>
              <w:left w:val="single" w:sz="4" w:space="0" w:color="auto"/>
              <w:bottom w:val="single" w:sz="4" w:space="0" w:color="auto"/>
              <w:right w:val="single" w:sz="4" w:space="0" w:color="auto"/>
            </w:tcBorders>
            <w:vAlign w:val="center"/>
          </w:tcPr>
          <w:p w14:paraId="03877CB1" w14:textId="77777777" w:rsidR="004E2350" w:rsidRDefault="004E2350">
            <w:pP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7FC74F10" w14:textId="77777777" w:rsidR="004E2350" w:rsidRDefault="004E2350">
            <w:pPr>
              <w:pStyle w:val="ListParagraph"/>
              <w:ind w:left="344"/>
              <w:rPr>
                <w:rFonts w:ascii="Verdana" w:hAnsi="Verdana"/>
                <w:sz w:val="20"/>
                <w:szCs w:val="20"/>
              </w:rPr>
            </w:pPr>
          </w:p>
        </w:tc>
        <w:tc>
          <w:tcPr>
            <w:tcW w:w="2323" w:type="dxa"/>
            <w:tcBorders>
              <w:top w:val="single" w:sz="4" w:space="0" w:color="auto"/>
              <w:left w:val="single" w:sz="4" w:space="0" w:color="auto"/>
              <w:bottom w:val="single" w:sz="4" w:space="0" w:color="auto"/>
              <w:right w:val="single" w:sz="4" w:space="0" w:color="auto"/>
            </w:tcBorders>
            <w:vAlign w:val="center"/>
          </w:tcPr>
          <w:p w14:paraId="1C3124EE" w14:textId="77777777" w:rsidR="004E2350" w:rsidRDefault="004E2350">
            <w:pPr>
              <w:pStyle w:val="ListParagraph"/>
              <w:ind w:left="344"/>
              <w:rPr>
                <w:rFonts w:ascii="Verdana" w:hAnsi="Verdana"/>
                <w:sz w:val="20"/>
                <w:szCs w:val="20"/>
              </w:rPr>
            </w:pPr>
          </w:p>
        </w:tc>
        <w:tc>
          <w:tcPr>
            <w:tcW w:w="1930" w:type="dxa"/>
            <w:tcBorders>
              <w:top w:val="single" w:sz="4" w:space="0" w:color="auto"/>
              <w:left w:val="single" w:sz="4" w:space="0" w:color="auto"/>
              <w:bottom w:val="single" w:sz="4" w:space="0" w:color="auto"/>
              <w:right w:val="single" w:sz="4" w:space="0" w:color="auto"/>
            </w:tcBorders>
            <w:vAlign w:val="center"/>
          </w:tcPr>
          <w:p w14:paraId="24628BB7" w14:textId="77777777" w:rsidR="004E2350" w:rsidRDefault="004E2350">
            <w:pPr>
              <w:pStyle w:val="ListParagraph"/>
              <w:ind w:left="119"/>
              <w:rPr>
                <w:rFonts w:ascii="Verdana" w:hAnsi="Verdana"/>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7396A95E" w14:textId="77777777" w:rsidR="004E2350" w:rsidRDefault="004E2350">
            <w:pPr>
              <w:rPr>
                <w:sz w:val="20"/>
                <w:szCs w:val="20"/>
              </w:rPr>
            </w:pPr>
          </w:p>
        </w:tc>
      </w:tr>
      <w:tr w:rsidR="004E2350" w14:paraId="1045873B" w14:textId="77777777" w:rsidTr="004E2350">
        <w:trPr>
          <w:trHeight w:val="596"/>
        </w:trPr>
        <w:tc>
          <w:tcPr>
            <w:tcW w:w="3397" w:type="dxa"/>
            <w:tcBorders>
              <w:top w:val="single" w:sz="4" w:space="0" w:color="auto"/>
              <w:left w:val="single" w:sz="4" w:space="0" w:color="auto"/>
              <w:bottom w:val="single" w:sz="4" w:space="0" w:color="auto"/>
              <w:right w:val="single" w:sz="4" w:space="0" w:color="auto"/>
            </w:tcBorders>
            <w:vAlign w:val="center"/>
            <w:hideMark/>
          </w:tcPr>
          <w:p w14:paraId="0C78BB1E" w14:textId="77777777" w:rsidR="004E2350" w:rsidRDefault="004E2350">
            <w:pPr>
              <w:jc w:val="left"/>
              <w:rPr>
                <w:rFonts w:cstheme="minorHAnsi"/>
                <w:sz w:val="20"/>
                <w:szCs w:val="20"/>
              </w:rPr>
            </w:pPr>
            <w:r>
              <w:rPr>
                <w:sz w:val="20"/>
                <w:szCs w:val="20"/>
                <w:lang w:val="en-US"/>
              </w:rPr>
              <w:lastRenderedPageBreak/>
              <w:t>9. Funding strategy to ensure the long-term sustainability of the RWC</w:t>
            </w:r>
          </w:p>
        </w:tc>
        <w:tc>
          <w:tcPr>
            <w:tcW w:w="1985" w:type="dxa"/>
            <w:tcBorders>
              <w:top w:val="single" w:sz="4" w:space="0" w:color="auto"/>
              <w:left w:val="single" w:sz="4" w:space="0" w:color="auto"/>
              <w:bottom w:val="single" w:sz="4" w:space="0" w:color="auto"/>
              <w:right w:val="single" w:sz="4" w:space="0" w:color="auto"/>
            </w:tcBorders>
            <w:vAlign w:val="center"/>
          </w:tcPr>
          <w:p w14:paraId="0EAF2A85" w14:textId="77777777" w:rsidR="004E2350" w:rsidRDefault="004E2350">
            <w:pP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70FEE1C4" w14:textId="77777777" w:rsidR="004E2350" w:rsidRDefault="004E2350">
            <w:pPr>
              <w:rPr>
                <w:sz w:val="20"/>
                <w:szCs w:val="20"/>
              </w:rPr>
            </w:pPr>
          </w:p>
        </w:tc>
        <w:tc>
          <w:tcPr>
            <w:tcW w:w="2323" w:type="dxa"/>
            <w:tcBorders>
              <w:top w:val="single" w:sz="4" w:space="0" w:color="auto"/>
              <w:left w:val="single" w:sz="4" w:space="0" w:color="auto"/>
              <w:bottom w:val="single" w:sz="4" w:space="0" w:color="auto"/>
              <w:right w:val="single" w:sz="4" w:space="0" w:color="auto"/>
            </w:tcBorders>
            <w:vAlign w:val="center"/>
          </w:tcPr>
          <w:p w14:paraId="7D2817E8" w14:textId="77777777" w:rsidR="004E2350" w:rsidRDefault="004E2350">
            <w:pPr>
              <w:rPr>
                <w:sz w:val="20"/>
                <w:szCs w:val="20"/>
              </w:rPr>
            </w:pPr>
          </w:p>
        </w:tc>
        <w:tc>
          <w:tcPr>
            <w:tcW w:w="1930" w:type="dxa"/>
            <w:tcBorders>
              <w:top w:val="single" w:sz="4" w:space="0" w:color="auto"/>
              <w:left w:val="single" w:sz="4" w:space="0" w:color="auto"/>
              <w:bottom w:val="single" w:sz="4" w:space="0" w:color="auto"/>
              <w:right w:val="single" w:sz="4" w:space="0" w:color="auto"/>
            </w:tcBorders>
            <w:vAlign w:val="center"/>
          </w:tcPr>
          <w:p w14:paraId="062A1B4B" w14:textId="77777777" w:rsidR="004E2350" w:rsidRDefault="004E2350">
            <w:pP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1865B10A" w14:textId="77777777" w:rsidR="004E2350" w:rsidRDefault="004E2350">
            <w:pPr>
              <w:rPr>
                <w:sz w:val="20"/>
                <w:szCs w:val="20"/>
              </w:rPr>
            </w:pPr>
          </w:p>
        </w:tc>
      </w:tr>
      <w:tr w:rsidR="004E2350" w14:paraId="0A49CF9B" w14:textId="77777777" w:rsidTr="004E2350">
        <w:trPr>
          <w:trHeight w:val="596"/>
        </w:trPr>
        <w:tc>
          <w:tcPr>
            <w:tcW w:w="3397" w:type="dxa"/>
            <w:tcBorders>
              <w:top w:val="single" w:sz="4" w:space="0" w:color="auto"/>
              <w:left w:val="single" w:sz="4" w:space="0" w:color="auto"/>
              <w:bottom w:val="single" w:sz="4" w:space="0" w:color="auto"/>
              <w:right w:val="single" w:sz="4" w:space="0" w:color="auto"/>
            </w:tcBorders>
            <w:vAlign w:val="center"/>
            <w:hideMark/>
          </w:tcPr>
          <w:p w14:paraId="5661978F" w14:textId="77777777" w:rsidR="004E2350" w:rsidRDefault="004E2350">
            <w:pPr>
              <w:jc w:val="left"/>
              <w:rPr>
                <w:sz w:val="20"/>
                <w:szCs w:val="20"/>
              </w:rPr>
            </w:pPr>
            <w:r>
              <w:rPr>
                <w:sz w:val="20"/>
                <w:szCs w:val="20"/>
              </w:rPr>
              <w:t>10.Geographical/economic/linguistic region for which the RWC functionalities are offered</w:t>
            </w:r>
          </w:p>
        </w:tc>
        <w:tc>
          <w:tcPr>
            <w:tcW w:w="1985" w:type="dxa"/>
            <w:tcBorders>
              <w:top w:val="single" w:sz="4" w:space="0" w:color="auto"/>
              <w:left w:val="single" w:sz="4" w:space="0" w:color="auto"/>
              <w:bottom w:val="single" w:sz="4" w:space="0" w:color="auto"/>
              <w:right w:val="single" w:sz="4" w:space="0" w:color="auto"/>
            </w:tcBorders>
            <w:vAlign w:val="center"/>
          </w:tcPr>
          <w:p w14:paraId="79001A78" w14:textId="77777777" w:rsidR="004E2350" w:rsidRDefault="004E2350">
            <w:pP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14045F6A" w14:textId="77777777" w:rsidR="004E2350" w:rsidRDefault="004E2350">
            <w:pPr>
              <w:rPr>
                <w:sz w:val="20"/>
                <w:szCs w:val="20"/>
              </w:rPr>
            </w:pPr>
          </w:p>
        </w:tc>
        <w:tc>
          <w:tcPr>
            <w:tcW w:w="2323" w:type="dxa"/>
            <w:tcBorders>
              <w:top w:val="single" w:sz="4" w:space="0" w:color="auto"/>
              <w:left w:val="single" w:sz="4" w:space="0" w:color="auto"/>
              <w:bottom w:val="single" w:sz="4" w:space="0" w:color="auto"/>
              <w:right w:val="single" w:sz="4" w:space="0" w:color="auto"/>
            </w:tcBorders>
            <w:vAlign w:val="center"/>
          </w:tcPr>
          <w:p w14:paraId="06CD15B1" w14:textId="77777777" w:rsidR="004E2350" w:rsidRDefault="004E2350">
            <w:pPr>
              <w:rPr>
                <w:sz w:val="20"/>
                <w:szCs w:val="20"/>
              </w:rPr>
            </w:pPr>
          </w:p>
        </w:tc>
        <w:tc>
          <w:tcPr>
            <w:tcW w:w="1930" w:type="dxa"/>
            <w:tcBorders>
              <w:top w:val="single" w:sz="4" w:space="0" w:color="auto"/>
              <w:left w:val="single" w:sz="4" w:space="0" w:color="auto"/>
              <w:bottom w:val="single" w:sz="4" w:space="0" w:color="auto"/>
              <w:right w:val="single" w:sz="4" w:space="0" w:color="auto"/>
            </w:tcBorders>
            <w:vAlign w:val="center"/>
          </w:tcPr>
          <w:p w14:paraId="04C5D2EA" w14:textId="77777777" w:rsidR="004E2350" w:rsidRDefault="004E2350">
            <w:pP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3439038C" w14:textId="77777777" w:rsidR="004E2350" w:rsidRDefault="004E2350">
            <w:pPr>
              <w:rPr>
                <w:sz w:val="20"/>
                <w:szCs w:val="20"/>
              </w:rPr>
            </w:pPr>
          </w:p>
        </w:tc>
      </w:tr>
      <w:tr w:rsidR="004E2350" w14:paraId="124671EE" w14:textId="77777777" w:rsidTr="004E2350">
        <w:trPr>
          <w:trHeight w:val="596"/>
        </w:trPr>
        <w:tc>
          <w:tcPr>
            <w:tcW w:w="3397" w:type="dxa"/>
            <w:tcBorders>
              <w:top w:val="single" w:sz="4" w:space="0" w:color="auto"/>
              <w:left w:val="single" w:sz="4" w:space="0" w:color="auto"/>
              <w:bottom w:val="single" w:sz="4" w:space="0" w:color="auto"/>
              <w:right w:val="single" w:sz="4" w:space="0" w:color="auto"/>
            </w:tcBorders>
            <w:vAlign w:val="center"/>
            <w:hideMark/>
          </w:tcPr>
          <w:p w14:paraId="4CAE1432" w14:textId="77777777" w:rsidR="004E2350" w:rsidRDefault="004E2350">
            <w:pPr>
              <w:jc w:val="left"/>
              <w:rPr>
                <w:sz w:val="20"/>
                <w:szCs w:val="20"/>
              </w:rPr>
            </w:pPr>
            <w:r>
              <w:rPr>
                <w:sz w:val="20"/>
                <w:szCs w:val="20"/>
                <w:lang w:val="en-US"/>
              </w:rPr>
              <w:t>11. Type of RWC (a single multifunctional RWC or a virtual/distributed RWC (RWC network) provided by a group/consortium of Members)</w:t>
            </w:r>
          </w:p>
        </w:tc>
        <w:tc>
          <w:tcPr>
            <w:tcW w:w="1985" w:type="dxa"/>
            <w:tcBorders>
              <w:top w:val="single" w:sz="4" w:space="0" w:color="auto"/>
              <w:left w:val="single" w:sz="4" w:space="0" w:color="auto"/>
              <w:bottom w:val="single" w:sz="4" w:space="0" w:color="auto"/>
              <w:right w:val="single" w:sz="4" w:space="0" w:color="auto"/>
            </w:tcBorders>
            <w:vAlign w:val="center"/>
          </w:tcPr>
          <w:p w14:paraId="4D49A66B" w14:textId="77777777" w:rsidR="004E2350" w:rsidRDefault="004E2350">
            <w:pP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1D823210" w14:textId="77777777" w:rsidR="004E2350" w:rsidRDefault="004E2350">
            <w:pPr>
              <w:rPr>
                <w:sz w:val="20"/>
                <w:szCs w:val="20"/>
              </w:rPr>
            </w:pPr>
          </w:p>
        </w:tc>
        <w:tc>
          <w:tcPr>
            <w:tcW w:w="2323" w:type="dxa"/>
            <w:tcBorders>
              <w:top w:val="single" w:sz="4" w:space="0" w:color="auto"/>
              <w:left w:val="single" w:sz="4" w:space="0" w:color="auto"/>
              <w:bottom w:val="single" w:sz="4" w:space="0" w:color="auto"/>
              <w:right w:val="single" w:sz="4" w:space="0" w:color="auto"/>
            </w:tcBorders>
            <w:vAlign w:val="center"/>
          </w:tcPr>
          <w:p w14:paraId="26C74577" w14:textId="77777777" w:rsidR="004E2350" w:rsidRDefault="004E2350">
            <w:pPr>
              <w:rPr>
                <w:sz w:val="20"/>
                <w:szCs w:val="20"/>
              </w:rPr>
            </w:pPr>
          </w:p>
        </w:tc>
        <w:tc>
          <w:tcPr>
            <w:tcW w:w="1930" w:type="dxa"/>
            <w:tcBorders>
              <w:top w:val="single" w:sz="4" w:space="0" w:color="auto"/>
              <w:left w:val="single" w:sz="4" w:space="0" w:color="auto"/>
              <w:bottom w:val="single" w:sz="4" w:space="0" w:color="auto"/>
              <w:right w:val="single" w:sz="4" w:space="0" w:color="auto"/>
            </w:tcBorders>
            <w:vAlign w:val="center"/>
          </w:tcPr>
          <w:p w14:paraId="45C09BCE" w14:textId="77777777" w:rsidR="004E2350" w:rsidRDefault="004E2350">
            <w:pP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092602CF" w14:textId="77777777" w:rsidR="004E2350" w:rsidRDefault="004E2350">
            <w:pPr>
              <w:rPr>
                <w:sz w:val="20"/>
                <w:szCs w:val="20"/>
              </w:rPr>
            </w:pPr>
          </w:p>
        </w:tc>
      </w:tr>
      <w:tr w:rsidR="004E2350" w14:paraId="33FE375E" w14:textId="77777777" w:rsidTr="004E2350">
        <w:trPr>
          <w:trHeight w:val="596"/>
        </w:trPr>
        <w:tc>
          <w:tcPr>
            <w:tcW w:w="3397" w:type="dxa"/>
            <w:tcBorders>
              <w:top w:val="single" w:sz="4" w:space="0" w:color="auto"/>
              <w:left w:val="single" w:sz="4" w:space="0" w:color="auto"/>
              <w:bottom w:val="single" w:sz="4" w:space="0" w:color="auto"/>
              <w:right w:val="single" w:sz="4" w:space="0" w:color="auto"/>
            </w:tcBorders>
            <w:vAlign w:val="center"/>
            <w:hideMark/>
          </w:tcPr>
          <w:p w14:paraId="338D69D0" w14:textId="77777777" w:rsidR="004E2350" w:rsidRDefault="004E2350">
            <w:pPr>
              <w:jc w:val="left"/>
              <w:rPr>
                <w:sz w:val="20"/>
                <w:szCs w:val="20"/>
              </w:rPr>
            </w:pPr>
            <w:r>
              <w:rPr>
                <w:sz w:val="20"/>
                <w:szCs w:val="20"/>
                <w:lang w:val="en-US"/>
              </w:rPr>
              <w:t>12. Proposed RWC Manager (name, position, contacts, and curriculum vitae)</w:t>
            </w:r>
          </w:p>
        </w:tc>
        <w:tc>
          <w:tcPr>
            <w:tcW w:w="1985" w:type="dxa"/>
            <w:tcBorders>
              <w:top w:val="single" w:sz="4" w:space="0" w:color="auto"/>
              <w:left w:val="single" w:sz="4" w:space="0" w:color="auto"/>
              <w:bottom w:val="single" w:sz="4" w:space="0" w:color="auto"/>
              <w:right w:val="single" w:sz="4" w:space="0" w:color="auto"/>
            </w:tcBorders>
            <w:vAlign w:val="center"/>
          </w:tcPr>
          <w:p w14:paraId="53212CCC" w14:textId="77777777" w:rsidR="004E2350" w:rsidRDefault="004E2350">
            <w:pP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3AC07EF4" w14:textId="77777777" w:rsidR="004E2350" w:rsidRDefault="004E2350">
            <w:pPr>
              <w:rPr>
                <w:sz w:val="20"/>
                <w:szCs w:val="20"/>
              </w:rPr>
            </w:pPr>
          </w:p>
        </w:tc>
        <w:tc>
          <w:tcPr>
            <w:tcW w:w="2323" w:type="dxa"/>
            <w:tcBorders>
              <w:top w:val="single" w:sz="4" w:space="0" w:color="auto"/>
              <w:left w:val="single" w:sz="4" w:space="0" w:color="auto"/>
              <w:bottom w:val="single" w:sz="4" w:space="0" w:color="auto"/>
              <w:right w:val="single" w:sz="4" w:space="0" w:color="auto"/>
            </w:tcBorders>
            <w:vAlign w:val="center"/>
          </w:tcPr>
          <w:p w14:paraId="05D31F40" w14:textId="77777777" w:rsidR="004E2350" w:rsidRDefault="004E2350">
            <w:pPr>
              <w:rPr>
                <w:sz w:val="20"/>
                <w:szCs w:val="20"/>
              </w:rPr>
            </w:pPr>
          </w:p>
        </w:tc>
        <w:tc>
          <w:tcPr>
            <w:tcW w:w="1930" w:type="dxa"/>
            <w:tcBorders>
              <w:top w:val="single" w:sz="4" w:space="0" w:color="auto"/>
              <w:left w:val="single" w:sz="4" w:space="0" w:color="auto"/>
              <w:bottom w:val="single" w:sz="4" w:space="0" w:color="auto"/>
              <w:right w:val="single" w:sz="4" w:space="0" w:color="auto"/>
            </w:tcBorders>
            <w:vAlign w:val="center"/>
          </w:tcPr>
          <w:p w14:paraId="0F628E1B" w14:textId="77777777" w:rsidR="004E2350" w:rsidRDefault="004E2350">
            <w:pP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52F24998" w14:textId="77777777" w:rsidR="004E2350" w:rsidRDefault="004E2350">
            <w:pPr>
              <w:rPr>
                <w:sz w:val="20"/>
                <w:szCs w:val="20"/>
              </w:rPr>
            </w:pPr>
          </w:p>
        </w:tc>
      </w:tr>
      <w:tr w:rsidR="004E2350" w14:paraId="26BFBC78" w14:textId="77777777" w:rsidTr="004E2350">
        <w:trPr>
          <w:trHeight w:val="596"/>
        </w:trPr>
        <w:tc>
          <w:tcPr>
            <w:tcW w:w="3397" w:type="dxa"/>
            <w:tcBorders>
              <w:top w:val="single" w:sz="4" w:space="0" w:color="auto"/>
              <w:left w:val="single" w:sz="4" w:space="0" w:color="auto"/>
              <w:bottom w:val="single" w:sz="4" w:space="0" w:color="auto"/>
              <w:right w:val="single" w:sz="4" w:space="0" w:color="auto"/>
            </w:tcBorders>
            <w:vAlign w:val="center"/>
            <w:hideMark/>
          </w:tcPr>
          <w:p w14:paraId="3A9EE13F" w14:textId="77777777" w:rsidR="004E2350" w:rsidRDefault="004E2350">
            <w:pPr>
              <w:jc w:val="left"/>
              <w:rPr>
                <w:rFonts w:cstheme="minorHAnsi"/>
                <w:sz w:val="20"/>
                <w:szCs w:val="20"/>
              </w:rPr>
            </w:pPr>
            <w:r>
              <w:rPr>
                <w:sz w:val="20"/>
                <w:szCs w:val="20"/>
                <w:lang w:val="en-US"/>
              </w:rPr>
              <w:t>13. Stakeholders engaged in the current and planned RWC operations</w:t>
            </w:r>
          </w:p>
        </w:tc>
        <w:tc>
          <w:tcPr>
            <w:tcW w:w="1985" w:type="dxa"/>
            <w:tcBorders>
              <w:top w:val="single" w:sz="4" w:space="0" w:color="auto"/>
              <w:left w:val="single" w:sz="4" w:space="0" w:color="auto"/>
              <w:bottom w:val="single" w:sz="4" w:space="0" w:color="auto"/>
              <w:right w:val="single" w:sz="4" w:space="0" w:color="auto"/>
            </w:tcBorders>
            <w:vAlign w:val="center"/>
          </w:tcPr>
          <w:p w14:paraId="7C340E64" w14:textId="77777777" w:rsidR="004E2350" w:rsidRDefault="004E2350">
            <w:pP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741910BB" w14:textId="77777777" w:rsidR="004E2350" w:rsidRDefault="004E2350">
            <w:pPr>
              <w:rPr>
                <w:sz w:val="20"/>
                <w:szCs w:val="20"/>
              </w:rPr>
            </w:pPr>
          </w:p>
        </w:tc>
        <w:tc>
          <w:tcPr>
            <w:tcW w:w="2323" w:type="dxa"/>
            <w:tcBorders>
              <w:top w:val="single" w:sz="4" w:space="0" w:color="auto"/>
              <w:left w:val="single" w:sz="4" w:space="0" w:color="auto"/>
              <w:bottom w:val="single" w:sz="4" w:space="0" w:color="auto"/>
              <w:right w:val="single" w:sz="4" w:space="0" w:color="auto"/>
            </w:tcBorders>
            <w:vAlign w:val="center"/>
          </w:tcPr>
          <w:p w14:paraId="00A3C043" w14:textId="77777777" w:rsidR="004E2350" w:rsidRDefault="004E2350">
            <w:pPr>
              <w:rPr>
                <w:sz w:val="20"/>
                <w:szCs w:val="20"/>
              </w:rPr>
            </w:pPr>
          </w:p>
        </w:tc>
        <w:tc>
          <w:tcPr>
            <w:tcW w:w="1930" w:type="dxa"/>
            <w:tcBorders>
              <w:top w:val="single" w:sz="4" w:space="0" w:color="auto"/>
              <w:left w:val="single" w:sz="4" w:space="0" w:color="auto"/>
              <w:bottom w:val="single" w:sz="4" w:space="0" w:color="auto"/>
              <w:right w:val="single" w:sz="4" w:space="0" w:color="auto"/>
            </w:tcBorders>
            <w:vAlign w:val="center"/>
          </w:tcPr>
          <w:p w14:paraId="2513743A" w14:textId="77777777" w:rsidR="004E2350" w:rsidRDefault="004E2350">
            <w:pP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765E9D26" w14:textId="77777777" w:rsidR="004E2350" w:rsidRDefault="004E2350">
            <w:pPr>
              <w:rPr>
                <w:sz w:val="20"/>
                <w:szCs w:val="20"/>
              </w:rPr>
            </w:pPr>
          </w:p>
        </w:tc>
      </w:tr>
      <w:tr w:rsidR="004E2350" w14:paraId="35B0EECE" w14:textId="77777777" w:rsidTr="004E2350">
        <w:trPr>
          <w:trHeight w:val="377"/>
        </w:trPr>
        <w:tc>
          <w:tcPr>
            <w:tcW w:w="3397" w:type="dxa"/>
            <w:tcBorders>
              <w:top w:val="single" w:sz="4" w:space="0" w:color="auto"/>
              <w:left w:val="single" w:sz="4" w:space="0" w:color="auto"/>
              <w:bottom w:val="single" w:sz="4" w:space="0" w:color="auto"/>
              <w:right w:val="single" w:sz="4" w:space="0" w:color="auto"/>
            </w:tcBorders>
            <w:vAlign w:val="center"/>
            <w:hideMark/>
          </w:tcPr>
          <w:p w14:paraId="24AE1AFE" w14:textId="77777777" w:rsidR="004E2350" w:rsidRDefault="004E2350">
            <w:pPr>
              <w:jc w:val="left"/>
              <w:rPr>
                <w:rFonts w:cstheme="minorHAnsi"/>
                <w:sz w:val="20"/>
                <w:szCs w:val="20"/>
              </w:rPr>
            </w:pPr>
            <w:r>
              <w:rPr>
                <w:sz w:val="20"/>
                <w:szCs w:val="20"/>
                <w:lang w:val="es-ES"/>
              </w:rPr>
              <w:t>14. Relevant National Focal Point(s)</w:t>
            </w:r>
          </w:p>
        </w:tc>
        <w:tc>
          <w:tcPr>
            <w:tcW w:w="1985" w:type="dxa"/>
            <w:tcBorders>
              <w:top w:val="single" w:sz="4" w:space="0" w:color="auto"/>
              <w:left w:val="single" w:sz="4" w:space="0" w:color="auto"/>
              <w:bottom w:val="single" w:sz="4" w:space="0" w:color="auto"/>
              <w:right w:val="single" w:sz="4" w:space="0" w:color="auto"/>
            </w:tcBorders>
            <w:vAlign w:val="center"/>
          </w:tcPr>
          <w:p w14:paraId="464E3C1E" w14:textId="77777777" w:rsidR="004E2350" w:rsidRDefault="004E2350">
            <w:pP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42652D6E" w14:textId="77777777" w:rsidR="004E2350" w:rsidRDefault="004E2350">
            <w:pPr>
              <w:rPr>
                <w:sz w:val="20"/>
                <w:szCs w:val="20"/>
              </w:rPr>
            </w:pPr>
          </w:p>
        </w:tc>
        <w:tc>
          <w:tcPr>
            <w:tcW w:w="2323" w:type="dxa"/>
            <w:tcBorders>
              <w:top w:val="single" w:sz="4" w:space="0" w:color="auto"/>
              <w:left w:val="single" w:sz="4" w:space="0" w:color="auto"/>
              <w:bottom w:val="single" w:sz="4" w:space="0" w:color="auto"/>
              <w:right w:val="single" w:sz="4" w:space="0" w:color="auto"/>
            </w:tcBorders>
            <w:vAlign w:val="center"/>
          </w:tcPr>
          <w:p w14:paraId="3E8CA955" w14:textId="77777777" w:rsidR="004E2350" w:rsidRDefault="004E2350">
            <w:pPr>
              <w:rPr>
                <w:sz w:val="20"/>
                <w:szCs w:val="20"/>
              </w:rPr>
            </w:pPr>
          </w:p>
        </w:tc>
        <w:tc>
          <w:tcPr>
            <w:tcW w:w="1930" w:type="dxa"/>
            <w:tcBorders>
              <w:top w:val="single" w:sz="4" w:space="0" w:color="auto"/>
              <w:left w:val="single" w:sz="4" w:space="0" w:color="auto"/>
              <w:bottom w:val="single" w:sz="4" w:space="0" w:color="auto"/>
              <w:right w:val="single" w:sz="4" w:space="0" w:color="auto"/>
            </w:tcBorders>
            <w:vAlign w:val="center"/>
          </w:tcPr>
          <w:p w14:paraId="3548E996" w14:textId="77777777" w:rsidR="004E2350" w:rsidRDefault="004E2350">
            <w:pP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4935F2D0" w14:textId="77777777" w:rsidR="004E2350" w:rsidRDefault="004E2350">
            <w:pPr>
              <w:rPr>
                <w:sz w:val="20"/>
                <w:szCs w:val="20"/>
              </w:rPr>
            </w:pPr>
          </w:p>
        </w:tc>
      </w:tr>
      <w:tr w:rsidR="004E2350" w14:paraId="5B813AED" w14:textId="77777777" w:rsidTr="004E2350">
        <w:trPr>
          <w:trHeight w:val="377"/>
        </w:trPr>
        <w:tc>
          <w:tcPr>
            <w:tcW w:w="3397" w:type="dxa"/>
            <w:tcBorders>
              <w:top w:val="single" w:sz="4" w:space="0" w:color="auto"/>
              <w:left w:val="single" w:sz="4" w:space="0" w:color="auto"/>
              <w:bottom w:val="single" w:sz="4" w:space="0" w:color="auto"/>
              <w:right w:val="single" w:sz="4" w:space="0" w:color="auto"/>
            </w:tcBorders>
            <w:vAlign w:val="center"/>
            <w:hideMark/>
          </w:tcPr>
          <w:p w14:paraId="5FC6151F" w14:textId="77777777" w:rsidR="004E2350" w:rsidRDefault="004E2350">
            <w:pPr>
              <w:jc w:val="left"/>
              <w:rPr>
                <w:rFonts w:cstheme="minorHAnsi"/>
                <w:sz w:val="20"/>
                <w:szCs w:val="20"/>
              </w:rPr>
            </w:pPr>
            <w:r>
              <w:rPr>
                <w:sz w:val="20"/>
                <w:szCs w:val="20"/>
                <w:lang w:val="en-US"/>
              </w:rPr>
              <w:t>15. Propuesta RWC:</w:t>
            </w:r>
          </w:p>
          <w:p w14:paraId="4D25409E" w14:textId="77777777" w:rsidR="004E2350" w:rsidRDefault="004E2350">
            <w:pPr>
              <w:jc w:val="left"/>
              <w:rPr>
                <w:rFonts w:cstheme="minorHAnsi"/>
                <w:sz w:val="20"/>
                <w:szCs w:val="20"/>
              </w:rPr>
            </w:pPr>
            <w:r>
              <w:rPr>
                <w:rFonts w:cstheme="minorHAnsi"/>
                <w:sz w:val="20"/>
                <w:szCs w:val="20"/>
              </w:rPr>
              <w:t>•Prepared by (name, position);</w:t>
            </w:r>
          </w:p>
          <w:p w14:paraId="292CDEFE" w14:textId="77777777" w:rsidR="004E2350" w:rsidRDefault="004E2350">
            <w:pPr>
              <w:jc w:val="left"/>
              <w:rPr>
                <w:rFonts w:cstheme="minorHAnsi"/>
                <w:sz w:val="20"/>
                <w:szCs w:val="20"/>
              </w:rPr>
            </w:pPr>
            <w:r>
              <w:rPr>
                <w:rFonts w:cstheme="minorHAnsi"/>
                <w:sz w:val="20"/>
                <w:szCs w:val="20"/>
              </w:rPr>
              <w:t>•Approved by (name, position);</w:t>
            </w:r>
          </w:p>
          <w:p w14:paraId="397377D6" w14:textId="77777777" w:rsidR="004E2350" w:rsidRDefault="004E2350">
            <w:pPr>
              <w:jc w:val="left"/>
              <w:rPr>
                <w:rFonts w:cstheme="minorHAnsi"/>
                <w:sz w:val="20"/>
                <w:szCs w:val="20"/>
              </w:rPr>
            </w:pPr>
            <w:r>
              <w:rPr>
                <w:rFonts w:cstheme="minorHAnsi"/>
                <w:sz w:val="20"/>
                <w:szCs w:val="20"/>
              </w:rPr>
              <w:t>•RWC Executive (name, position);</w:t>
            </w:r>
          </w:p>
          <w:p w14:paraId="1DC9241C" w14:textId="77777777" w:rsidR="004E2350" w:rsidRDefault="004E2350">
            <w:pPr>
              <w:jc w:val="left"/>
              <w:rPr>
                <w:rFonts w:cstheme="minorHAnsi"/>
                <w:sz w:val="20"/>
                <w:szCs w:val="20"/>
              </w:rPr>
            </w:pPr>
            <w:r>
              <w:rPr>
                <w:rFonts w:cstheme="minorHAnsi"/>
                <w:sz w:val="20"/>
                <w:szCs w:val="20"/>
              </w:rPr>
              <w:t>•RWC Terms of Reference;</w:t>
            </w:r>
          </w:p>
          <w:p w14:paraId="487B1811" w14:textId="77777777" w:rsidR="004E2350" w:rsidRDefault="004E2350">
            <w:pPr>
              <w:jc w:val="left"/>
              <w:rPr>
                <w:rFonts w:cstheme="minorHAnsi"/>
                <w:sz w:val="20"/>
                <w:szCs w:val="20"/>
              </w:rPr>
            </w:pPr>
            <w:r>
              <w:rPr>
                <w:rFonts w:cstheme="minorHAnsi"/>
                <w:sz w:val="20"/>
                <w:szCs w:val="20"/>
              </w:rPr>
              <w:t>•Implementation period;</w:t>
            </w:r>
          </w:p>
          <w:p w14:paraId="35573279" w14:textId="77777777" w:rsidR="004E2350" w:rsidRDefault="004E2350">
            <w:pPr>
              <w:jc w:val="left"/>
              <w:rPr>
                <w:sz w:val="20"/>
                <w:szCs w:val="20"/>
              </w:rPr>
            </w:pPr>
            <w:r>
              <w:rPr>
                <w:sz w:val="20"/>
                <w:szCs w:val="20"/>
                <w:lang w:val="en-US"/>
              </w:rPr>
              <w:t>-Presupuesto RWC;</w:t>
            </w:r>
          </w:p>
          <w:p w14:paraId="6D380DD1" w14:textId="77777777" w:rsidR="004E2350" w:rsidRDefault="004E2350">
            <w:pPr>
              <w:jc w:val="left"/>
              <w:rPr>
                <w:rFonts w:cstheme="minorHAnsi"/>
                <w:sz w:val="20"/>
                <w:szCs w:val="20"/>
              </w:rPr>
            </w:pPr>
            <w:r>
              <w:rPr>
                <w:rFonts w:cstheme="minorHAnsi"/>
                <w:sz w:val="20"/>
                <w:szCs w:val="20"/>
              </w:rPr>
              <w:t>•Funding sources;</w:t>
            </w:r>
          </w:p>
          <w:p w14:paraId="1A76FE2B" w14:textId="77777777" w:rsidR="004E2350" w:rsidRDefault="004E2350">
            <w:pPr>
              <w:jc w:val="left"/>
              <w:rPr>
                <w:rFonts w:cstheme="minorHAnsi"/>
                <w:sz w:val="20"/>
                <w:szCs w:val="20"/>
              </w:rPr>
            </w:pPr>
            <w:r>
              <w:rPr>
                <w:rFonts w:cstheme="minorHAnsi"/>
                <w:sz w:val="20"/>
                <w:szCs w:val="20"/>
              </w:rPr>
              <w:t xml:space="preserve">•List of activities, deliverables, outcomes, milestones, </w:t>
            </w:r>
            <w:r>
              <w:rPr>
                <w:rFonts w:cstheme="minorHAnsi"/>
                <w:sz w:val="20"/>
                <w:szCs w:val="20"/>
              </w:rPr>
              <w:lastRenderedPageBreak/>
              <w:t>resources required and associated risks;</w:t>
            </w:r>
          </w:p>
          <w:p w14:paraId="6201792E" w14:textId="77777777" w:rsidR="004E2350" w:rsidRDefault="004E2350">
            <w:pPr>
              <w:jc w:val="left"/>
              <w:rPr>
                <w:rFonts w:cstheme="minorHAnsi"/>
                <w:sz w:val="20"/>
                <w:szCs w:val="20"/>
              </w:rPr>
            </w:pPr>
            <w:r>
              <w:rPr>
                <w:rFonts w:cstheme="minorHAnsi"/>
                <w:sz w:val="20"/>
                <w:szCs w:val="20"/>
              </w:rPr>
              <w:t>•Additional documentation demonstrating the experience and the capacity of the candidate organization to fulfil the described functions</w:t>
            </w:r>
          </w:p>
        </w:tc>
        <w:tc>
          <w:tcPr>
            <w:tcW w:w="1985" w:type="dxa"/>
            <w:tcBorders>
              <w:top w:val="single" w:sz="4" w:space="0" w:color="auto"/>
              <w:left w:val="single" w:sz="4" w:space="0" w:color="auto"/>
              <w:bottom w:val="single" w:sz="4" w:space="0" w:color="auto"/>
              <w:right w:val="single" w:sz="4" w:space="0" w:color="auto"/>
            </w:tcBorders>
            <w:vAlign w:val="center"/>
          </w:tcPr>
          <w:p w14:paraId="6D92D770" w14:textId="77777777" w:rsidR="004E2350" w:rsidRDefault="004E2350">
            <w:pP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355FDBF3" w14:textId="77777777" w:rsidR="004E2350" w:rsidRDefault="004E2350">
            <w:pPr>
              <w:rPr>
                <w:sz w:val="20"/>
                <w:szCs w:val="20"/>
              </w:rPr>
            </w:pPr>
          </w:p>
        </w:tc>
        <w:tc>
          <w:tcPr>
            <w:tcW w:w="2323" w:type="dxa"/>
            <w:tcBorders>
              <w:top w:val="single" w:sz="4" w:space="0" w:color="auto"/>
              <w:left w:val="single" w:sz="4" w:space="0" w:color="auto"/>
              <w:bottom w:val="single" w:sz="4" w:space="0" w:color="auto"/>
              <w:right w:val="single" w:sz="4" w:space="0" w:color="auto"/>
            </w:tcBorders>
            <w:vAlign w:val="center"/>
          </w:tcPr>
          <w:p w14:paraId="3985C149" w14:textId="77777777" w:rsidR="004E2350" w:rsidRDefault="004E2350">
            <w:pPr>
              <w:rPr>
                <w:sz w:val="20"/>
                <w:szCs w:val="20"/>
              </w:rPr>
            </w:pPr>
          </w:p>
        </w:tc>
        <w:tc>
          <w:tcPr>
            <w:tcW w:w="1930" w:type="dxa"/>
            <w:tcBorders>
              <w:top w:val="single" w:sz="4" w:space="0" w:color="auto"/>
              <w:left w:val="single" w:sz="4" w:space="0" w:color="auto"/>
              <w:bottom w:val="single" w:sz="4" w:space="0" w:color="auto"/>
              <w:right w:val="single" w:sz="4" w:space="0" w:color="auto"/>
            </w:tcBorders>
            <w:vAlign w:val="center"/>
          </w:tcPr>
          <w:p w14:paraId="5B54D659" w14:textId="77777777" w:rsidR="004E2350" w:rsidRDefault="004E2350">
            <w:pP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60B00373" w14:textId="77777777" w:rsidR="004E2350" w:rsidRDefault="004E2350">
            <w:pPr>
              <w:rPr>
                <w:sz w:val="20"/>
                <w:szCs w:val="20"/>
              </w:rPr>
            </w:pPr>
          </w:p>
        </w:tc>
      </w:tr>
      <w:tr w:rsidR="004E2350" w14:paraId="56027C8D" w14:textId="77777777" w:rsidTr="004E2350">
        <w:trPr>
          <w:trHeight w:val="596"/>
        </w:trPr>
        <w:tc>
          <w:tcPr>
            <w:tcW w:w="3397" w:type="dxa"/>
            <w:tcBorders>
              <w:top w:val="single" w:sz="4" w:space="0" w:color="auto"/>
              <w:left w:val="single" w:sz="4" w:space="0" w:color="auto"/>
              <w:bottom w:val="single" w:sz="4" w:space="0" w:color="auto"/>
              <w:right w:val="single" w:sz="4" w:space="0" w:color="auto"/>
            </w:tcBorders>
            <w:vAlign w:val="center"/>
            <w:hideMark/>
          </w:tcPr>
          <w:p w14:paraId="07BE825F" w14:textId="77777777" w:rsidR="004E2350" w:rsidRDefault="004E2350">
            <w:pPr>
              <w:jc w:val="left"/>
              <w:rPr>
                <w:sz w:val="20"/>
                <w:szCs w:val="20"/>
              </w:rPr>
            </w:pPr>
            <w:r>
              <w:rPr>
                <w:sz w:val="20"/>
                <w:szCs w:val="20"/>
                <w:lang w:val="es-ES"/>
              </w:rPr>
              <w:t>16. Additional information as appropriate</w:t>
            </w:r>
          </w:p>
        </w:tc>
        <w:tc>
          <w:tcPr>
            <w:tcW w:w="1985" w:type="dxa"/>
            <w:tcBorders>
              <w:top w:val="single" w:sz="4" w:space="0" w:color="auto"/>
              <w:left w:val="single" w:sz="4" w:space="0" w:color="auto"/>
              <w:bottom w:val="single" w:sz="4" w:space="0" w:color="auto"/>
              <w:right w:val="single" w:sz="4" w:space="0" w:color="auto"/>
            </w:tcBorders>
            <w:vAlign w:val="center"/>
          </w:tcPr>
          <w:p w14:paraId="329C3C0C" w14:textId="77777777" w:rsidR="004E2350" w:rsidRDefault="004E2350">
            <w:pPr>
              <w:rPr>
                <w:sz w:val="20"/>
                <w:szCs w:val="20"/>
              </w:rPr>
            </w:pPr>
          </w:p>
        </w:tc>
        <w:tc>
          <w:tcPr>
            <w:tcW w:w="2126" w:type="dxa"/>
            <w:tcBorders>
              <w:top w:val="single" w:sz="4" w:space="0" w:color="auto"/>
              <w:left w:val="single" w:sz="4" w:space="0" w:color="auto"/>
              <w:bottom w:val="single" w:sz="4" w:space="0" w:color="auto"/>
              <w:right w:val="single" w:sz="4" w:space="0" w:color="auto"/>
            </w:tcBorders>
          </w:tcPr>
          <w:p w14:paraId="2EB8616A" w14:textId="77777777" w:rsidR="004E2350" w:rsidRDefault="004E2350">
            <w:pPr>
              <w:rPr>
                <w:sz w:val="20"/>
                <w:szCs w:val="20"/>
              </w:rPr>
            </w:pPr>
          </w:p>
        </w:tc>
        <w:tc>
          <w:tcPr>
            <w:tcW w:w="2323" w:type="dxa"/>
            <w:tcBorders>
              <w:top w:val="single" w:sz="4" w:space="0" w:color="auto"/>
              <w:left w:val="single" w:sz="4" w:space="0" w:color="auto"/>
              <w:bottom w:val="single" w:sz="4" w:space="0" w:color="auto"/>
              <w:right w:val="single" w:sz="4" w:space="0" w:color="auto"/>
            </w:tcBorders>
          </w:tcPr>
          <w:p w14:paraId="727DFD2A" w14:textId="77777777" w:rsidR="004E2350" w:rsidRDefault="004E2350">
            <w:pPr>
              <w:rPr>
                <w:sz w:val="20"/>
                <w:szCs w:val="20"/>
              </w:rPr>
            </w:pPr>
          </w:p>
        </w:tc>
        <w:tc>
          <w:tcPr>
            <w:tcW w:w="1930" w:type="dxa"/>
            <w:tcBorders>
              <w:top w:val="single" w:sz="4" w:space="0" w:color="auto"/>
              <w:left w:val="single" w:sz="4" w:space="0" w:color="auto"/>
              <w:bottom w:val="single" w:sz="4" w:space="0" w:color="auto"/>
              <w:right w:val="single" w:sz="4" w:space="0" w:color="auto"/>
            </w:tcBorders>
          </w:tcPr>
          <w:p w14:paraId="66663668" w14:textId="77777777" w:rsidR="004E2350" w:rsidRDefault="004E2350">
            <w:pPr>
              <w:rPr>
                <w:sz w:val="20"/>
                <w:szCs w:val="20"/>
              </w:rPr>
            </w:pPr>
          </w:p>
        </w:tc>
        <w:tc>
          <w:tcPr>
            <w:tcW w:w="2268" w:type="dxa"/>
            <w:tcBorders>
              <w:top w:val="single" w:sz="4" w:space="0" w:color="auto"/>
              <w:left w:val="single" w:sz="4" w:space="0" w:color="auto"/>
              <w:bottom w:val="single" w:sz="4" w:space="0" w:color="auto"/>
              <w:right w:val="single" w:sz="4" w:space="0" w:color="auto"/>
            </w:tcBorders>
          </w:tcPr>
          <w:p w14:paraId="7A422140" w14:textId="77777777" w:rsidR="004E2350" w:rsidRDefault="004E2350">
            <w:pPr>
              <w:rPr>
                <w:sz w:val="20"/>
                <w:szCs w:val="20"/>
              </w:rPr>
            </w:pPr>
          </w:p>
        </w:tc>
      </w:tr>
      <w:tr w:rsidR="004E2350" w:rsidRPr="004E2350" w14:paraId="796DAC73" w14:textId="77777777" w:rsidTr="004E2350">
        <w:trPr>
          <w:trHeight w:val="596"/>
        </w:trPr>
        <w:tc>
          <w:tcPr>
            <w:tcW w:w="3397" w:type="dxa"/>
            <w:tcBorders>
              <w:top w:val="single" w:sz="4" w:space="0" w:color="auto"/>
              <w:left w:val="single" w:sz="4" w:space="0" w:color="auto"/>
              <w:bottom w:val="single" w:sz="4" w:space="0" w:color="auto"/>
              <w:right w:val="single" w:sz="4" w:space="0" w:color="auto"/>
            </w:tcBorders>
            <w:vAlign w:val="center"/>
            <w:hideMark/>
          </w:tcPr>
          <w:p w14:paraId="38710111" w14:textId="77777777" w:rsidR="004E2350" w:rsidRDefault="004E2350">
            <w:pPr>
              <w:jc w:val="left"/>
              <w:rPr>
                <w:rFonts w:cstheme="minorHAnsi"/>
                <w:sz w:val="20"/>
                <w:szCs w:val="20"/>
                <w:lang w:val="es-ES"/>
              </w:rPr>
            </w:pPr>
            <w:r>
              <w:rPr>
                <w:sz w:val="20"/>
                <w:szCs w:val="20"/>
                <w:lang w:val="es-ES"/>
              </w:rPr>
              <w:t>17. Información de contacto de las personas clave en RWC</w:t>
            </w:r>
          </w:p>
        </w:tc>
        <w:tc>
          <w:tcPr>
            <w:tcW w:w="1985" w:type="dxa"/>
            <w:tcBorders>
              <w:top w:val="single" w:sz="4" w:space="0" w:color="auto"/>
              <w:left w:val="single" w:sz="4" w:space="0" w:color="auto"/>
              <w:bottom w:val="single" w:sz="4" w:space="0" w:color="auto"/>
              <w:right w:val="single" w:sz="4" w:space="0" w:color="auto"/>
            </w:tcBorders>
            <w:vAlign w:val="center"/>
          </w:tcPr>
          <w:p w14:paraId="6242CCD4" w14:textId="77777777" w:rsidR="004E2350" w:rsidRDefault="004E2350">
            <w:pPr>
              <w:rPr>
                <w:sz w:val="20"/>
                <w:szCs w:val="20"/>
                <w:lang w:val="es-ES"/>
              </w:rPr>
            </w:pPr>
          </w:p>
        </w:tc>
        <w:tc>
          <w:tcPr>
            <w:tcW w:w="2126" w:type="dxa"/>
            <w:tcBorders>
              <w:top w:val="single" w:sz="4" w:space="0" w:color="auto"/>
              <w:left w:val="single" w:sz="4" w:space="0" w:color="auto"/>
              <w:bottom w:val="single" w:sz="4" w:space="0" w:color="auto"/>
              <w:right w:val="single" w:sz="4" w:space="0" w:color="auto"/>
            </w:tcBorders>
          </w:tcPr>
          <w:p w14:paraId="37B8D12F" w14:textId="77777777" w:rsidR="004E2350" w:rsidRDefault="004E2350">
            <w:pPr>
              <w:rPr>
                <w:sz w:val="20"/>
                <w:szCs w:val="20"/>
                <w:lang w:val="es-ES"/>
              </w:rPr>
            </w:pPr>
          </w:p>
        </w:tc>
        <w:tc>
          <w:tcPr>
            <w:tcW w:w="2323" w:type="dxa"/>
            <w:tcBorders>
              <w:top w:val="single" w:sz="4" w:space="0" w:color="auto"/>
              <w:left w:val="single" w:sz="4" w:space="0" w:color="auto"/>
              <w:bottom w:val="single" w:sz="4" w:space="0" w:color="auto"/>
              <w:right w:val="single" w:sz="4" w:space="0" w:color="auto"/>
            </w:tcBorders>
          </w:tcPr>
          <w:p w14:paraId="483DCEB1" w14:textId="77777777" w:rsidR="004E2350" w:rsidRDefault="004E2350">
            <w:pPr>
              <w:rPr>
                <w:sz w:val="20"/>
                <w:szCs w:val="20"/>
                <w:lang w:val="es-ES"/>
              </w:rPr>
            </w:pPr>
          </w:p>
        </w:tc>
        <w:tc>
          <w:tcPr>
            <w:tcW w:w="1930" w:type="dxa"/>
            <w:tcBorders>
              <w:top w:val="single" w:sz="4" w:space="0" w:color="auto"/>
              <w:left w:val="single" w:sz="4" w:space="0" w:color="auto"/>
              <w:bottom w:val="single" w:sz="4" w:space="0" w:color="auto"/>
              <w:right w:val="single" w:sz="4" w:space="0" w:color="auto"/>
            </w:tcBorders>
          </w:tcPr>
          <w:p w14:paraId="062F353F" w14:textId="77777777" w:rsidR="004E2350" w:rsidRDefault="004E2350">
            <w:pPr>
              <w:rPr>
                <w:sz w:val="20"/>
                <w:szCs w:val="20"/>
                <w:lang w:val="es-ES"/>
              </w:rPr>
            </w:pPr>
          </w:p>
        </w:tc>
        <w:tc>
          <w:tcPr>
            <w:tcW w:w="2268" w:type="dxa"/>
            <w:tcBorders>
              <w:top w:val="single" w:sz="4" w:space="0" w:color="auto"/>
              <w:left w:val="single" w:sz="4" w:space="0" w:color="auto"/>
              <w:bottom w:val="single" w:sz="4" w:space="0" w:color="auto"/>
              <w:right w:val="single" w:sz="4" w:space="0" w:color="auto"/>
            </w:tcBorders>
          </w:tcPr>
          <w:p w14:paraId="5C1A564D" w14:textId="77777777" w:rsidR="004E2350" w:rsidRDefault="004E2350">
            <w:pPr>
              <w:rPr>
                <w:sz w:val="20"/>
                <w:szCs w:val="20"/>
                <w:lang w:val="es-ES"/>
              </w:rPr>
            </w:pPr>
          </w:p>
        </w:tc>
      </w:tr>
    </w:tbl>
    <w:p w14:paraId="7F7DA7DE" w14:textId="77777777" w:rsidR="004E2350" w:rsidRDefault="004E2350" w:rsidP="004E2350">
      <w:pPr>
        <w:jc w:val="center"/>
        <w:rPr>
          <w:rFonts w:eastAsia="Calibri" w:cs="Times New Roman"/>
          <w:b/>
          <w:bCs/>
          <w:lang w:val="es-ES"/>
        </w:rPr>
      </w:pPr>
      <w:r>
        <w:rPr>
          <w:rFonts w:eastAsia="Calibri" w:cs="Times New Roman"/>
          <w:b/>
          <w:bCs/>
          <w:lang w:val="es-ES"/>
        </w:rPr>
        <w:br w:type="page"/>
      </w:r>
    </w:p>
    <w:tbl>
      <w:tblPr>
        <w:tblStyle w:val="TableGrid1"/>
        <w:tblW w:w="14175" w:type="dxa"/>
        <w:tblInd w:w="0" w:type="dxa"/>
        <w:tblLayout w:type="fixed"/>
        <w:tblLook w:val="04A0" w:firstRow="1" w:lastRow="0" w:firstColumn="1" w:lastColumn="0" w:noHBand="0" w:noVBand="1"/>
      </w:tblPr>
      <w:tblGrid>
        <w:gridCol w:w="3090"/>
        <w:gridCol w:w="3511"/>
        <w:gridCol w:w="3334"/>
        <w:gridCol w:w="1966"/>
        <w:gridCol w:w="2274"/>
      </w:tblGrid>
      <w:tr w:rsidR="004E2350" w:rsidRPr="004E2350" w14:paraId="2E2A6FC8" w14:textId="77777777" w:rsidTr="004E2350">
        <w:trPr>
          <w:tblHeader/>
        </w:trPr>
        <w:tc>
          <w:tcPr>
            <w:tcW w:w="14176" w:type="dxa"/>
            <w:gridSpan w:val="5"/>
            <w:tcBorders>
              <w:top w:val="single" w:sz="4" w:space="0" w:color="auto"/>
              <w:left w:val="single" w:sz="4" w:space="0" w:color="auto"/>
              <w:bottom w:val="single" w:sz="4" w:space="0" w:color="auto"/>
              <w:right w:val="single" w:sz="4" w:space="0" w:color="auto"/>
            </w:tcBorders>
            <w:vAlign w:val="center"/>
            <w:hideMark/>
          </w:tcPr>
          <w:p w14:paraId="129DE5AA" w14:textId="77777777" w:rsidR="004E2350" w:rsidRDefault="004E2350">
            <w:pPr>
              <w:jc w:val="center"/>
              <w:rPr>
                <w:b/>
                <w:bCs/>
                <w:sz w:val="20"/>
                <w:szCs w:val="20"/>
                <w:lang w:val="es-ES"/>
              </w:rPr>
            </w:pPr>
            <w:r>
              <w:rPr>
                <w:b/>
                <w:bCs/>
                <w:sz w:val="20"/>
                <w:szCs w:val="20"/>
                <w:lang w:val="es-ES"/>
              </w:rPr>
              <w:lastRenderedPageBreak/>
              <w:t>PLAN DE EJECUCIÓN DE LOS CENTROS REGIONALES DE WIGOS EN LA AR VI - Anexo II</w:t>
            </w:r>
          </w:p>
          <w:p w14:paraId="4E806188" w14:textId="77777777" w:rsidR="004E2350" w:rsidRDefault="004E2350">
            <w:pPr>
              <w:pStyle w:val="ListParagraph"/>
              <w:ind w:left="0"/>
              <w:jc w:val="center"/>
              <w:rPr>
                <w:rFonts w:ascii="Verdana" w:hAnsi="Verdana"/>
                <w:b/>
                <w:bCs/>
                <w:sz w:val="20"/>
                <w:szCs w:val="20"/>
                <w:lang w:val="es-ES"/>
              </w:rPr>
            </w:pPr>
            <w:r>
              <w:rPr>
                <w:rFonts w:ascii="Verdana" w:hAnsi="Verdana"/>
                <w:b/>
                <w:bCs/>
                <w:sz w:val="20"/>
                <w:szCs w:val="20"/>
                <w:lang w:val="es-ES"/>
              </w:rPr>
              <w:t>Actividades para el establecimiento del RWC en modo piloto (2022-2025)</w:t>
            </w:r>
          </w:p>
        </w:tc>
      </w:tr>
      <w:tr w:rsidR="004E2350" w14:paraId="083E24F3" w14:textId="77777777" w:rsidTr="004E2350">
        <w:trPr>
          <w:tblHeader/>
        </w:trPr>
        <w:tc>
          <w:tcPr>
            <w:tcW w:w="3091" w:type="dxa"/>
            <w:tcBorders>
              <w:top w:val="single" w:sz="4" w:space="0" w:color="auto"/>
              <w:left w:val="single" w:sz="4" w:space="0" w:color="auto"/>
              <w:bottom w:val="single" w:sz="4" w:space="0" w:color="auto"/>
              <w:right w:val="single" w:sz="4" w:space="0" w:color="auto"/>
            </w:tcBorders>
            <w:vAlign w:val="center"/>
            <w:hideMark/>
          </w:tcPr>
          <w:p w14:paraId="2D0F092D" w14:textId="77777777" w:rsidR="004E2350" w:rsidRDefault="004E2350">
            <w:pPr>
              <w:jc w:val="center"/>
              <w:rPr>
                <w:b/>
                <w:bCs/>
                <w:sz w:val="20"/>
                <w:szCs w:val="20"/>
              </w:rPr>
            </w:pPr>
            <w:r>
              <w:rPr>
                <w:b/>
                <w:bCs/>
                <w:sz w:val="20"/>
                <w:szCs w:val="20"/>
                <w:lang w:val="es-ES"/>
              </w:rPr>
              <w:t>Fase/Actividad</w:t>
            </w:r>
          </w:p>
        </w:tc>
        <w:tc>
          <w:tcPr>
            <w:tcW w:w="3511" w:type="dxa"/>
            <w:tcBorders>
              <w:top w:val="single" w:sz="4" w:space="0" w:color="auto"/>
              <w:left w:val="single" w:sz="4" w:space="0" w:color="auto"/>
              <w:bottom w:val="single" w:sz="4" w:space="0" w:color="auto"/>
              <w:right w:val="single" w:sz="4" w:space="0" w:color="auto"/>
            </w:tcBorders>
            <w:vAlign w:val="center"/>
            <w:hideMark/>
          </w:tcPr>
          <w:p w14:paraId="34DFBBB2" w14:textId="77777777" w:rsidR="004E2350" w:rsidRDefault="004E2350">
            <w:pPr>
              <w:jc w:val="center"/>
              <w:rPr>
                <w:b/>
                <w:bCs/>
                <w:sz w:val="20"/>
                <w:szCs w:val="20"/>
              </w:rPr>
            </w:pPr>
            <w:r>
              <w:rPr>
                <w:b/>
                <w:bCs/>
                <w:sz w:val="20"/>
                <w:szCs w:val="20"/>
              </w:rPr>
              <w:t>Tasks</w:t>
            </w:r>
          </w:p>
        </w:tc>
        <w:tc>
          <w:tcPr>
            <w:tcW w:w="3334" w:type="dxa"/>
            <w:tcBorders>
              <w:top w:val="single" w:sz="4" w:space="0" w:color="auto"/>
              <w:left w:val="single" w:sz="4" w:space="0" w:color="auto"/>
              <w:bottom w:val="single" w:sz="4" w:space="0" w:color="auto"/>
              <w:right w:val="single" w:sz="4" w:space="0" w:color="auto"/>
            </w:tcBorders>
            <w:vAlign w:val="center"/>
            <w:hideMark/>
          </w:tcPr>
          <w:p w14:paraId="063065EC" w14:textId="77777777" w:rsidR="004E2350" w:rsidRDefault="004E2350">
            <w:pPr>
              <w:jc w:val="center"/>
              <w:rPr>
                <w:b/>
                <w:bCs/>
                <w:sz w:val="20"/>
                <w:szCs w:val="20"/>
              </w:rPr>
            </w:pPr>
            <w:r>
              <w:rPr>
                <w:b/>
                <w:bCs/>
                <w:sz w:val="20"/>
                <w:szCs w:val="20"/>
              </w:rPr>
              <w:t>Responsible</w:t>
            </w:r>
          </w:p>
        </w:tc>
        <w:tc>
          <w:tcPr>
            <w:tcW w:w="1966" w:type="dxa"/>
            <w:tcBorders>
              <w:top w:val="single" w:sz="4" w:space="0" w:color="auto"/>
              <w:left w:val="single" w:sz="4" w:space="0" w:color="auto"/>
              <w:bottom w:val="single" w:sz="4" w:space="0" w:color="auto"/>
              <w:right w:val="single" w:sz="4" w:space="0" w:color="auto"/>
            </w:tcBorders>
            <w:vAlign w:val="center"/>
            <w:hideMark/>
          </w:tcPr>
          <w:p w14:paraId="09C2C270" w14:textId="77777777" w:rsidR="004E2350" w:rsidRDefault="004E2350">
            <w:pPr>
              <w:jc w:val="center"/>
              <w:rPr>
                <w:b/>
                <w:bCs/>
                <w:sz w:val="20"/>
                <w:szCs w:val="20"/>
              </w:rPr>
            </w:pPr>
            <w:r>
              <w:rPr>
                <w:b/>
                <w:bCs/>
                <w:sz w:val="20"/>
                <w:szCs w:val="20"/>
              </w:rPr>
              <w:t>Timeline</w:t>
            </w:r>
          </w:p>
        </w:tc>
        <w:tc>
          <w:tcPr>
            <w:tcW w:w="2274" w:type="dxa"/>
            <w:tcBorders>
              <w:top w:val="single" w:sz="4" w:space="0" w:color="auto"/>
              <w:left w:val="single" w:sz="4" w:space="0" w:color="auto"/>
              <w:bottom w:val="single" w:sz="4" w:space="0" w:color="auto"/>
              <w:right w:val="single" w:sz="4" w:space="0" w:color="auto"/>
            </w:tcBorders>
            <w:vAlign w:val="center"/>
            <w:hideMark/>
          </w:tcPr>
          <w:p w14:paraId="0FAA02E8" w14:textId="77777777" w:rsidR="004E2350" w:rsidRDefault="004E2350">
            <w:pPr>
              <w:jc w:val="center"/>
              <w:rPr>
                <w:b/>
                <w:bCs/>
                <w:sz w:val="20"/>
                <w:szCs w:val="20"/>
              </w:rPr>
            </w:pPr>
            <w:r>
              <w:rPr>
                <w:b/>
                <w:bCs/>
                <w:sz w:val="20"/>
                <w:szCs w:val="20"/>
              </w:rPr>
              <w:t>Remarks</w:t>
            </w:r>
          </w:p>
        </w:tc>
      </w:tr>
      <w:tr w:rsidR="004E2350" w:rsidRPr="004E2350" w14:paraId="2B8A738B" w14:textId="77777777" w:rsidTr="004E2350">
        <w:trPr>
          <w:trHeight w:val="285"/>
        </w:trPr>
        <w:tc>
          <w:tcPr>
            <w:tcW w:w="3091" w:type="dxa"/>
            <w:vMerge w:val="restart"/>
            <w:tcBorders>
              <w:top w:val="single" w:sz="4" w:space="0" w:color="auto"/>
              <w:left w:val="single" w:sz="4" w:space="0" w:color="auto"/>
              <w:bottom w:val="single" w:sz="4" w:space="0" w:color="auto"/>
              <w:right w:val="single" w:sz="4" w:space="0" w:color="auto"/>
            </w:tcBorders>
            <w:vAlign w:val="center"/>
            <w:hideMark/>
          </w:tcPr>
          <w:p w14:paraId="531C2743" w14:textId="77777777" w:rsidR="004E2350" w:rsidRDefault="004E2350">
            <w:pPr>
              <w:jc w:val="left"/>
              <w:rPr>
                <w:sz w:val="20"/>
                <w:szCs w:val="20"/>
                <w:lang w:val="es-ES"/>
              </w:rPr>
            </w:pPr>
            <w:r>
              <w:rPr>
                <w:sz w:val="20"/>
                <w:szCs w:val="20"/>
                <w:lang w:val="es-ES"/>
              </w:rPr>
              <w:t>1. Fase de puesta en marcha/ Acciones preparatorias</w:t>
            </w:r>
          </w:p>
        </w:tc>
        <w:tc>
          <w:tcPr>
            <w:tcW w:w="3511" w:type="dxa"/>
            <w:tcBorders>
              <w:top w:val="single" w:sz="4" w:space="0" w:color="auto"/>
              <w:left w:val="single" w:sz="4" w:space="0" w:color="auto"/>
              <w:bottom w:val="single" w:sz="4" w:space="0" w:color="auto"/>
              <w:right w:val="single" w:sz="4" w:space="0" w:color="auto"/>
            </w:tcBorders>
            <w:hideMark/>
          </w:tcPr>
          <w:p w14:paraId="7A1B1CE3" w14:textId="77777777" w:rsidR="004E2350" w:rsidRDefault="004E2350">
            <w:pPr>
              <w:jc w:val="left"/>
              <w:rPr>
                <w:color w:val="A6A6A6" w:themeColor="background1" w:themeShade="A6"/>
                <w:sz w:val="20"/>
                <w:szCs w:val="20"/>
                <w:lang w:val="es-ES"/>
              </w:rPr>
            </w:pPr>
            <w:r>
              <w:rPr>
                <w:sz w:val="20"/>
                <w:szCs w:val="20"/>
                <w:lang w:val="es-ES"/>
              </w:rPr>
              <w:t>1.1. Reunión introductoria para los CRR de la AR VI</w:t>
            </w:r>
          </w:p>
        </w:tc>
        <w:tc>
          <w:tcPr>
            <w:tcW w:w="3334" w:type="dxa"/>
            <w:tcBorders>
              <w:top w:val="single" w:sz="4" w:space="0" w:color="auto"/>
              <w:left w:val="single" w:sz="4" w:space="0" w:color="auto"/>
              <w:bottom w:val="single" w:sz="4" w:space="0" w:color="auto"/>
              <w:right w:val="single" w:sz="4" w:space="0" w:color="auto"/>
            </w:tcBorders>
            <w:hideMark/>
          </w:tcPr>
          <w:p w14:paraId="7D3031B6" w14:textId="77777777" w:rsidR="004E2350" w:rsidRDefault="004E2350" w:rsidP="004E2350">
            <w:pPr>
              <w:numPr>
                <w:ilvl w:val="0"/>
                <w:numId w:val="63"/>
              </w:numPr>
              <w:tabs>
                <w:tab w:val="left" w:pos="720"/>
              </w:tabs>
              <w:ind w:left="169" w:hanging="169"/>
              <w:contextualSpacing/>
              <w:jc w:val="left"/>
              <w:rPr>
                <w:color w:val="A6A6A6" w:themeColor="background1" w:themeShade="A6"/>
                <w:sz w:val="20"/>
                <w:szCs w:val="20"/>
                <w:lang w:val="es-ES"/>
              </w:rPr>
            </w:pPr>
            <w:r>
              <w:rPr>
                <w:sz w:val="20"/>
                <w:szCs w:val="20"/>
                <w:lang w:val="es-ES"/>
              </w:rPr>
              <w:t>Secretaría de la OMM (rama WIGOS con el apoyo de la ROE)</w:t>
            </w:r>
          </w:p>
        </w:tc>
        <w:tc>
          <w:tcPr>
            <w:tcW w:w="1966" w:type="dxa"/>
            <w:tcBorders>
              <w:top w:val="single" w:sz="4" w:space="0" w:color="auto"/>
              <w:left w:val="single" w:sz="4" w:space="0" w:color="auto"/>
              <w:bottom w:val="single" w:sz="4" w:space="0" w:color="auto"/>
              <w:right w:val="single" w:sz="4" w:space="0" w:color="auto"/>
            </w:tcBorders>
            <w:hideMark/>
          </w:tcPr>
          <w:p w14:paraId="3CF0200F" w14:textId="77777777" w:rsidR="004E2350" w:rsidRDefault="004E2350">
            <w:pPr>
              <w:jc w:val="left"/>
              <w:rPr>
                <w:color w:val="A6A6A6" w:themeColor="background1" w:themeShade="A6"/>
                <w:sz w:val="20"/>
                <w:szCs w:val="20"/>
              </w:rPr>
            </w:pPr>
            <w:r>
              <w:rPr>
                <w:sz w:val="20"/>
                <w:szCs w:val="20"/>
                <w:lang w:val="es-ES"/>
              </w:rPr>
              <w:t>29 de septiembre de 2022</w:t>
            </w:r>
          </w:p>
        </w:tc>
        <w:tc>
          <w:tcPr>
            <w:tcW w:w="2274" w:type="dxa"/>
            <w:tcBorders>
              <w:top w:val="single" w:sz="4" w:space="0" w:color="auto"/>
              <w:left w:val="single" w:sz="4" w:space="0" w:color="auto"/>
              <w:bottom w:val="single" w:sz="4" w:space="0" w:color="auto"/>
              <w:right w:val="single" w:sz="4" w:space="0" w:color="auto"/>
            </w:tcBorders>
            <w:hideMark/>
          </w:tcPr>
          <w:p w14:paraId="630AAC8C" w14:textId="77777777" w:rsidR="004E2350" w:rsidRDefault="004E2350">
            <w:pPr>
              <w:jc w:val="left"/>
              <w:rPr>
                <w:color w:val="A6A6A6" w:themeColor="background1" w:themeShade="A6"/>
                <w:sz w:val="20"/>
                <w:szCs w:val="20"/>
                <w:lang w:val="es-ES"/>
              </w:rPr>
            </w:pPr>
            <w:r>
              <w:rPr>
                <w:sz w:val="20"/>
                <w:szCs w:val="20"/>
                <w:lang w:val="es-ES"/>
              </w:rPr>
              <w:t>Realizado con la participación de representantes de EUMETNET, Miembros candidatos a acoger RWC (RWC candidatos), TT-WIGOS</w:t>
            </w:r>
          </w:p>
        </w:tc>
      </w:tr>
      <w:tr w:rsidR="004E2350" w:rsidRPr="004E2350" w14:paraId="762F01F3" w14:textId="77777777" w:rsidTr="004E2350">
        <w:trPr>
          <w:trHeight w:val="285"/>
        </w:trPr>
        <w:tc>
          <w:tcPr>
            <w:tcW w:w="14176" w:type="dxa"/>
            <w:vMerge/>
            <w:tcBorders>
              <w:top w:val="single" w:sz="4" w:space="0" w:color="auto"/>
              <w:left w:val="single" w:sz="4" w:space="0" w:color="auto"/>
              <w:bottom w:val="single" w:sz="4" w:space="0" w:color="auto"/>
              <w:right w:val="single" w:sz="4" w:space="0" w:color="auto"/>
            </w:tcBorders>
            <w:vAlign w:val="center"/>
            <w:hideMark/>
          </w:tcPr>
          <w:p w14:paraId="797F588F" w14:textId="77777777" w:rsidR="004E2350" w:rsidRDefault="004E2350">
            <w:pPr>
              <w:tabs>
                <w:tab w:val="clear" w:pos="1134"/>
              </w:tabs>
              <w:jc w:val="left"/>
              <w:rPr>
                <w:sz w:val="20"/>
                <w:szCs w:val="20"/>
                <w:lang w:val="es-ES"/>
              </w:rPr>
            </w:pPr>
          </w:p>
        </w:tc>
        <w:tc>
          <w:tcPr>
            <w:tcW w:w="3511" w:type="dxa"/>
            <w:tcBorders>
              <w:top w:val="single" w:sz="4" w:space="0" w:color="auto"/>
              <w:left w:val="single" w:sz="4" w:space="0" w:color="auto"/>
              <w:bottom w:val="single" w:sz="4" w:space="0" w:color="auto"/>
              <w:right w:val="single" w:sz="4" w:space="0" w:color="auto"/>
            </w:tcBorders>
            <w:hideMark/>
          </w:tcPr>
          <w:p w14:paraId="25756794" w14:textId="77777777" w:rsidR="004E2350" w:rsidRDefault="004E2350">
            <w:pPr>
              <w:jc w:val="left"/>
              <w:rPr>
                <w:color w:val="A6A6A6" w:themeColor="background1" w:themeShade="A6"/>
                <w:sz w:val="20"/>
                <w:szCs w:val="20"/>
                <w:lang w:val="es-ES"/>
              </w:rPr>
            </w:pPr>
            <w:r>
              <w:rPr>
                <w:sz w:val="20"/>
                <w:szCs w:val="20"/>
                <w:lang w:val="es-ES"/>
              </w:rPr>
              <w:t>1.2. Desarrollo de un proyecto de concepto para los CRR en la AR VI</w:t>
            </w:r>
          </w:p>
        </w:tc>
        <w:tc>
          <w:tcPr>
            <w:tcW w:w="3334" w:type="dxa"/>
            <w:tcBorders>
              <w:top w:val="single" w:sz="4" w:space="0" w:color="auto"/>
              <w:left w:val="single" w:sz="4" w:space="0" w:color="auto"/>
              <w:bottom w:val="single" w:sz="4" w:space="0" w:color="auto"/>
              <w:right w:val="single" w:sz="4" w:space="0" w:color="auto"/>
            </w:tcBorders>
            <w:hideMark/>
          </w:tcPr>
          <w:p w14:paraId="24135589" w14:textId="77777777" w:rsidR="004E2350" w:rsidRDefault="004E2350" w:rsidP="004E2350">
            <w:pPr>
              <w:numPr>
                <w:ilvl w:val="0"/>
                <w:numId w:val="63"/>
              </w:numPr>
              <w:tabs>
                <w:tab w:val="left" w:pos="720"/>
              </w:tabs>
              <w:ind w:left="169" w:hanging="169"/>
              <w:contextualSpacing/>
              <w:jc w:val="left"/>
              <w:rPr>
                <w:rFonts w:eastAsia="Calibri" w:cs="Times New Roman"/>
                <w:color w:val="A6A6A6" w:themeColor="background1" w:themeShade="A6"/>
                <w:sz w:val="20"/>
                <w:szCs w:val="20"/>
                <w:lang w:val="es-ES"/>
              </w:rPr>
            </w:pPr>
            <w:r>
              <w:rPr>
                <w:sz w:val="20"/>
                <w:szCs w:val="20"/>
                <w:lang w:val="es-ES"/>
              </w:rPr>
              <w:t>Secretaría de la OMM (rama WIGOS con el apoyo de la ROE)</w:t>
            </w:r>
          </w:p>
        </w:tc>
        <w:tc>
          <w:tcPr>
            <w:tcW w:w="1966" w:type="dxa"/>
            <w:tcBorders>
              <w:top w:val="single" w:sz="4" w:space="0" w:color="auto"/>
              <w:left w:val="single" w:sz="4" w:space="0" w:color="auto"/>
              <w:bottom w:val="single" w:sz="4" w:space="0" w:color="auto"/>
              <w:right w:val="single" w:sz="4" w:space="0" w:color="auto"/>
            </w:tcBorders>
            <w:hideMark/>
          </w:tcPr>
          <w:p w14:paraId="14C52829" w14:textId="77777777" w:rsidR="004E2350" w:rsidRDefault="004E2350">
            <w:pPr>
              <w:jc w:val="left"/>
              <w:rPr>
                <w:color w:val="A6A6A6" w:themeColor="background1" w:themeShade="A6"/>
                <w:sz w:val="20"/>
                <w:szCs w:val="20"/>
              </w:rPr>
            </w:pPr>
            <w:r>
              <w:rPr>
                <w:sz w:val="20"/>
                <w:szCs w:val="20"/>
                <w:lang w:val="es-ES"/>
              </w:rPr>
              <w:t>Q4,2022</w:t>
            </w:r>
          </w:p>
        </w:tc>
        <w:tc>
          <w:tcPr>
            <w:tcW w:w="2274" w:type="dxa"/>
            <w:tcBorders>
              <w:top w:val="single" w:sz="4" w:space="0" w:color="auto"/>
              <w:left w:val="single" w:sz="4" w:space="0" w:color="auto"/>
              <w:bottom w:val="single" w:sz="4" w:space="0" w:color="auto"/>
              <w:right w:val="single" w:sz="4" w:space="0" w:color="auto"/>
            </w:tcBorders>
            <w:hideMark/>
          </w:tcPr>
          <w:p w14:paraId="6AA279FE" w14:textId="77777777" w:rsidR="004E2350" w:rsidRDefault="004E2350">
            <w:pPr>
              <w:jc w:val="left"/>
              <w:rPr>
                <w:color w:val="A6A6A6" w:themeColor="background1" w:themeShade="A6"/>
                <w:sz w:val="20"/>
                <w:szCs w:val="20"/>
                <w:lang w:val="es-ES"/>
              </w:rPr>
            </w:pPr>
            <w:r>
              <w:rPr>
                <w:sz w:val="20"/>
                <w:szCs w:val="20"/>
                <w:lang w:val="es-ES"/>
              </w:rPr>
              <w:t>Redactado por la Secretaría de la OMM basándose en los comentarios iniciales de los RWC candidatos y EUMETNET y el Equipo de Tareas sobre WIGOS (TT-WIGOS)</w:t>
            </w:r>
          </w:p>
        </w:tc>
      </w:tr>
      <w:tr w:rsidR="004E2350" w:rsidRPr="004E2350" w14:paraId="69115845" w14:textId="77777777" w:rsidTr="004E2350">
        <w:trPr>
          <w:trHeight w:val="285"/>
        </w:trPr>
        <w:tc>
          <w:tcPr>
            <w:tcW w:w="14176" w:type="dxa"/>
            <w:vMerge/>
            <w:tcBorders>
              <w:top w:val="single" w:sz="4" w:space="0" w:color="auto"/>
              <w:left w:val="single" w:sz="4" w:space="0" w:color="auto"/>
              <w:bottom w:val="single" w:sz="4" w:space="0" w:color="auto"/>
              <w:right w:val="single" w:sz="4" w:space="0" w:color="auto"/>
            </w:tcBorders>
            <w:vAlign w:val="center"/>
            <w:hideMark/>
          </w:tcPr>
          <w:p w14:paraId="046AD113" w14:textId="77777777" w:rsidR="004E2350" w:rsidRDefault="004E2350">
            <w:pPr>
              <w:tabs>
                <w:tab w:val="clear" w:pos="1134"/>
              </w:tabs>
              <w:jc w:val="left"/>
              <w:rPr>
                <w:sz w:val="20"/>
                <w:szCs w:val="20"/>
                <w:lang w:val="es-ES"/>
              </w:rPr>
            </w:pPr>
          </w:p>
        </w:tc>
        <w:tc>
          <w:tcPr>
            <w:tcW w:w="3511" w:type="dxa"/>
            <w:tcBorders>
              <w:top w:val="single" w:sz="4" w:space="0" w:color="auto"/>
              <w:left w:val="single" w:sz="4" w:space="0" w:color="auto"/>
              <w:bottom w:val="single" w:sz="4" w:space="0" w:color="auto"/>
              <w:right w:val="single" w:sz="4" w:space="0" w:color="auto"/>
            </w:tcBorders>
            <w:hideMark/>
          </w:tcPr>
          <w:p w14:paraId="10E37AE1" w14:textId="77777777" w:rsidR="004E2350" w:rsidRDefault="004E2350">
            <w:pPr>
              <w:tabs>
                <w:tab w:val="left" w:pos="946"/>
              </w:tabs>
              <w:jc w:val="left"/>
              <w:rPr>
                <w:color w:val="A6A6A6" w:themeColor="background1" w:themeShade="A6"/>
                <w:sz w:val="20"/>
                <w:szCs w:val="20"/>
                <w:lang w:val="es-ES"/>
              </w:rPr>
            </w:pPr>
            <w:r>
              <w:rPr>
                <w:sz w:val="20"/>
                <w:szCs w:val="20"/>
                <w:lang w:val="es-ES"/>
              </w:rPr>
              <w:t>1.3. Organizar un taller RA VI RWC</w:t>
            </w:r>
          </w:p>
        </w:tc>
        <w:tc>
          <w:tcPr>
            <w:tcW w:w="3334" w:type="dxa"/>
            <w:tcBorders>
              <w:top w:val="single" w:sz="4" w:space="0" w:color="auto"/>
              <w:left w:val="single" w:sz="4" w:space="0" w:color="auto"/>
              <w:bottom w:val="single" w:sz="4" w:space="0" w:color="auto"/>
              <w:right w:val="single" w:sz="4" w:space="0" w:color="auto"/>
            </w:tcBorders>
            <w:hideMark/>
          </w:tcPr>
          <w:p w14:paraId="01EDCD54" w14:textId="77777777" w:rsidR="004E2350" w:rsidRDefault="004E2350" w:rsidP="004E2350">
            <w:pPr>
              <w:numPr>
                <w:ilvl w:val="0"/>
                <w:numId w:val="63"/>
              </w:numPr>
              <w:tabs>
                <w:tab w:val="left" w:pos="720"/>
              </w:tabs>
              <w:ind w:left="169" w:hanging="169"/>
              <w:contextualSpacing/>
              <w:jc w:val="left"/>
              <w:rPr>
                <w:rFonts w:eastAsia="Calibri" w:cs="Times New Roman"/>
                <w:color w:val="A6A6A6" w:themeColor="background1" w:themeShade="A6"/>
                <w:sz w:val="20"/>
                <w:szCs w:val="20"/>
                <w:lang w:val="es-ES"/>
              </w:rPr>
            </w:pPr>
            <w:r>
              <w:rPr>
                <w:sz w:val="20"/>
                <w:szCs w:val="20"/>
                <w:lang w:val="es-ES"/>
              </w:rPr>
              <w:t>Secretaría de la OMM (ROE con el apoyo de la rama WIGOS)</w:t>
            </w:r>
          </w:p>
        </w:tc>
        <w:tc>
          <w:tcPr>
            <w:tcW w:w="1966" w:type="dxa"/>
            <w:tcBorders>
              <w:top w:val="single" w:sz="4" w:space="0" w:color="auto"/>
              <w:left w:val="single" w:sz="4" w:space="0" w:color="auto"/>
              <w:bottom w:val="single" w:sz="4" w:space="0" w:color="auto"/>
              <w:right w:val="single" w:sz="4" w:space="0" w:color="auto"/>
            </w:tcBorders>
            <w:hideMark/>
          </w:tcPr>
          <w:p w14:paraId="1AEABCDA" w14:textId="77777777" w:rsidR="004E2350" w:rsidRDefault="004E2350">
            <w:pPr>
              <w:jc w:val="left"/>
              <w:rPr>
                <w:color w:val="A6A6A6" w:themeColor="background1" w:themeShade="A6"/>
                <w:sz w:val="20"/>
                <w:szCs w:val="20"/>
              </w:rPr>
            </w:pPr>
            <w:r>
              <w:rPr>
                <w:color w:val="A6A6A6" w:themeColor="background1" w:themeShade="A6"/>
                <w:sz w:val="20"/>
                <w:szCs w:val="20"/>
              </w:rPr>
              <w:t>14 and 15 March 2023</w:t>
            </w:r>
          </w:p>
        </w:tc>
        <w:tc>
          <w:tcPr>
            <w:tcW w:w="2274" w:type="dxa"/>
            <w:tcBorders>
              <w:top w:val="single" w:sz="4" w:space="0" w:color="auto"/>
              <w:left w:val="single" w:sz="4" w:space="0" w:color="auto"/>
              <w:bottom w:val="single" w:sz="4" w:space="0" w:color="auto"/>
              <w:right w:val="single" w:sz="4" w:space="0" w:color="auto"/>
            </w:tcBorders>
            <w:hideMark/>
          </w:tcPr>
          <w:p w14:paraId="3A5BA68E" w14:textId="77777777" w:rsidR="004E2350" w:rsidRDefault="004E2350">
            <w:pPr>
              <w:jc w:val="left"/>
              <w:rPr>
                <w:color w:val="A6A6A6" w:themeColor="background1" w:themeShade="A6"/>
                <w:sz w:val="20"/>
                <w:szCs w:val="20"/>
                <w:lang w:val="es-ES"/>
              </w:rPr>
            </w:pPr>
            <w:r>
              <w:rPr>
                <w:sz w:val="20"/>
                <w:szCs w:val="20"/>
                <w:lang w:val="es-ES"/>
              </w:rPr>
              <w:t>Los representantes de los RWC candidatos, EUMETNET, WG-INF, TT-WIGOS debaten y desarrollan el borrador del concepto de RWC y el plan de implementación para presentar el RA VI MG a través del WG-INF.</w:t>
            </w:r>
          </w:p>
        </w:tc>
      </w:tr>
      <w:tr w:rsidR="004E2350" w:rsidRPr="004E2350" w14:paraId="48AA49E7" w14:textId="77777777" w:rsidTr="004E2350">
        <w:trPr>
          <w:trHeight w:val="285"/>
        </w:trPr>
        <w:tc>
          <w:tcPr>
            <w:tcW w:w="14176" w:type="dxa"/>
            <w:vMerge/>
            <w:tcBorders>
              <w:top w:val="single" w:sz="4" w:space="0" w:color="auto"/>
              <w:left w:val="single" w:sz="4" w:space="0" w:color="auto"/>
              <w:bottom w:val="single" w:sz="4" w:space="0" w:color="auto"/>
              <w:right w:val="single" w:sz="4" w:space="0" w:color="auto"/>
            </w:tcBorders>
            <w:vAlign w:val="center"/>
            <w:hideMark/>
          </w:tcPr>
          <w:p w14:paraId="5974423B" w14:textId="77777777" w:rsidR="004E2350" w:rsidRDefault="004E2350">
            <w:pPr>
              <w:tabs>
                <w:tab w:val="clear" w:pos="1134"/>
              </w:tabs>
              <w:jc w:val="left"/>
              <w:rPr>
                <w:sz w:val="20"/>
                <w:szCs w:val="20"/>
                <w:lang w:val="es-ES"/>
              </w:rPr>
            </w:pPr>
          </w:p>
        </w:tc>
        <w:tc>
          <w:tcPr>
            <w:tcW w:w="3511" w:type="dxa"/>
            <w:tcBorders>
              <w:top w:val="single" w:sz="4" w:space="0" w:color="auto"/>
              <w:left w:val="single" w:sz="4" w:space="0" w:color="auto"/>
              <w:bottom w:val="single" w:sz="4" w:space="0" w:color="auto"/>
              <w:right w:val="single" w:sz="4" w:space="0" w:color="auto"/>
            </w:tcBorders>
            <w:hideMark/>
          </w:tcPr>
          <w:p w14:paraId="5C1DB23D" w14:textId="77777777" w:rsidR="004E2350" w:rsidRDefault="004E2350">
            <w:pPr>
              <w:jc w:val="left"/>
              <w:rPr>
                <w:color w:val="C4BC96" w:themeColor="background2" w:themeShade="BF"/>
                <w:sz w:val="20"/>
                <w:szCs w:val="20"/>
                <w:lang w:val="es-ES"/>
              </w:rPr>
            </w:pPr>
            <w:r>
              <w:rPr>
                <w:sz w:val="20"/>
                <w:szCs w:val="20"/>
                <w:lang w:val="es-ES"/>
              </w:rPr>
              <w:t>1.4. Finalizar el concepto de RWC y el plan de ejecución</w:t>
            </w:r>
          </w:p>
        </w:tc>
        <w:tc>
          <w:tcPr>
            <w:tcW w:w="3334" w:type="dxa"/>
            <w:tcBorders>
              <w:top w:val="single" w:sz="4" w:space="0" w:color="auto"/>
              <w:left w:val="single" w:sz="4" w:space="0" w:color="auto"/>
              <w:bottom w:val="single" w:sz="4" w:space="0" w:color="auto"/>
              <w:right w:val="single" w:sz="4" w:space="0" w:color="auto"/>
            </w:tcBorders>
            <w:hideMark/>
          </w:tcPr>
          <w:p w14:paraId="7A4BC212" w14:textId="77777777" w:rsidR="004E2350" w:rsidRDefault="004E2350" w:rsidP="004E2350">
            <w:pPr>
              <w:numPr>
                <w:ilvl w:val="0"/>
                <w:numId w:val="63"/>
              </w:numPr>
              <w:tabs>
                <w:tab w:val="left" w:pos="720"/>
              </w:tabs>
              <w:ind w:left="169" w:hanging="169"/>
              <w:contextualSpacing/>
              <w:jc w:val="left"/>
              <w:rPr>
                <w:color w:val="C4BC96" w:themeColor="background2" w:themeShade="BF"/>
                <w:sz w:val="20"/>
                <w:szCs w:val="20"/>
              </w:rPr>
            </w:pPr>
            <w:r>
              <w:rPr>
                <w:sz w:val="20"/>
                <w:szCs w:val="20"/>
                <w:lang w:val="es-ES"/>
              </w:rPr>
              <w:t xml:space="preserve">RWC candidatos </w:t>
            </w:r>
          </w:p>
        </w:tc>
        <w:tc>
          <w:tcPr>
            <w:tcW w:w="1966" w:type="dxa"/>
            <w:tcBorders>
              <w:top w:val="single" w:sz="4" w:space="0" w:color="auto"/>
              <w:left w:val="single" w:sz="4" w:space="0" w:color="auto"/>
              <w:bottom w:val="single" w:sz="4" w:space="0" w:color="auto"/>
              <w:right w:val="single" w:sz="4" w:space="0" w:color="auto"/>
            </w:tcBorders>
            <w:hideMark/>
          </w:tcPr>
          <w:p w14:paraId="47612CAB" w14:textId="77777777" w:rsidR="004E2350" w:rsidRDefault="004E2350">
            <w:pPr>
              <w:jc w:val="left"/>
              <w:rPr>
                <w:color w:val="C4BC96" w:themeColor="background2" w:themeShade="BF"/>
                <w:sz w:val="20"/>
                <w:szCs w:val="20"/>
              </w:rPr>
            </w:pPr>
            <w:r>
              <w:rPr>
                <w:color w:val="C4BC96" w:themeColor="background2" w:themeShade="BF"/>
                <w:sz w:val="20"/>
                <w:szCs w:val="20"/>
              </w:rPr>
              <w:t>End of March 2023</w:t>
            </w:r>
          </w:p>
        </w:tc>
        <w:tc>
          <w:tcPr>
            <w:tcW w:w="2274" w:type="dxa"/>
            <w:tcBorders>
              <w:top w:val="single" w:sz="4" w:space="0" w:color="auto"/>
              <w:left w:val="single" w:sz="4" w:space="0" w:color="auto"/>
              <w:bottom w:val="single" w:sz="4" w:space="0" w:color="auto"/>
              <w:right w:val="single" w:sz="4" w:space="0" w:color="auto"/>
            </w:tcBorders>
            <w:hideMark/>
          </w:tcPr>
          <w:p w14:paraId="75FB66F9" w14:textId="77777777" w:rsidR="004E2350" w:rsidRDefault="004E2350">
            <w:pPr>
              <w:jc w:val="left"/>
              <w:rPr>
                <w:color w:val="C4BC96" w:themeColor="background2" w:themeShade="BF"/>
                <w:sz w:val="20"/>
                <w:szCs w:val="20"/>
                <w:lang w:val="es-ES"/>
              </w:rPr>
            </w:pPr>
            <w:r>
              <w:rPr>
                <w:sz w:val="20"/>
                <w:szCs w:val="20"/>
                <w:lang w:val="es-ES"/>
              </w:rPr>
              <w:t>con el apoyo de la Secretaría de la OMM y los comentarios de EUMETNET</w:t>
            </w:r>
          </w:p>
        </w:tc>
      </w:tr>
      <w:tr w:rsidR="004E2350" w:rsidRPr="004E2350" w14:paraId="6E8531C6" w14:textId="77777777" w:rsidTr="004E2350">
        <w:trPr>
          <w:trHeight w:val="285"/>
        </w:trPr>
        <w:tc>
          <w:tcPr>
            <w:tcW w:w="14176" w:type="dxa"/>
            <w:vMerge/>
            <w:tcBorders>
              <w:top w:val="single" w:sz="4" w:space="0" w:color="auto"/>
              <w:left w:val="single" w:sz="4" w:space="0" w:color="auto"/>
              <w:bottom w:val="single" w:sz="4" w:space="0" w:color="auto"/>
              <w:right w:val="single" w:sz="4" w:space="0" w:color="auto"/>
            </w:tcBorders>
            <w:vAlign w:val="center"/>
            <w:hideMark/>
          </w:tcPr>
          <w:p w14:paraId="47E20F0A" w14:textId="77777777" w:rsidR="004E2350" w:rsidRDefault="004E2350">
            <w:pPr>
              <w:tabs>
                <w:tab w:val="clear" w:pos="1134"/>
              </w:tabs>
              <w:jc w:val="left"/>
              <w:rPr>
                <w:sz w:val="20"/>
                <w:szCs w:val="20"/>
                <w:lang w:val="es-ES"/>
              </w:rPr>
            </w:pPr>
          </w:p>
        </w:tc>
        <w:tc>
          <w:tcPr>
            <w:tcW w:w="3511" w:type="dxa"/>
            <w:tcBorders>
              <w:top w:val="single" w:sz="4" w:space="0" w:color="auto"/>
              <w:left w:val="single" w:sz="4" w:space="0" w:color="auto"/>
              <w:bottom w:val="single" w:sz="4" w:space="0" w:color="auto"/>
              <w:right w:val="single" w:sz="4" w:space="0" w:color="auto"/>
            </w:tcBorders>
            <w:hideMark/>
          </w:tcPr>
          <w:p w14:paraId="4667D098" w14:textId="77777777" w:rsidR="004E2350" w:rsidRDefault="004E2350">
            <w:pPr>
              <w:jc w:val="left"/>
              <w:rPr>
                <w:color w:val="C4BC96" w:themeColor="background2" w:themeShade="BF"/>
                <w:sz w:val="20"/>
                <w:szCs w:val="20"/>
                <w:lang w:val="es-ES"/>
              </w:rPr>
            </w:pPr>
            <w:r>
              <w:rPr>
                <w:sz w:val="20"/>
                <w:szCs w:val="20"/>
                <w:lang w:val="es-ES"/>
              </w:rPr>
              <w:t>1.5. Revisión y aprobación del concepto de RWC y del plan de aplicación</w:t>
            </w:r>
          </w:p>
        </w:tc>
        <w:tc>
          <w:tcPr>
            <w:tcW w:w="3334" w:type="dxa"/>
            <w:tcBorders>
              <w:top w:val="single" w:sz="4" w:space="0" w:color="auto"/>
              <w:left w:val="single" w:sz="4" w:space="0" w:color="auto"/>
              <w:bottom w:val="single" w:sz="4" w:space="0" w:color="auto"/>
              <w:right w:val="single" w:sz="4" w:space="0" w:color="auto"/>
            </w:tcBorders>
            <w:hideMark/>
          </w:tcPr>
          <w:p w14:paraId="17BA2885" w14:textId="77777777" w:rsidR="004E2350" w:rsidRDefault="004E2350" w:rsidP="004E2350">
            <w:pPr>
              <w:numPr>
                <w:ilvl w:val="0"/>
                <w:numId w:val="63"/>
              </w:numPr>
              <w:tabs>
                <w:tab w:val="left" w:pos="720"/>
              </w:tabs>
              <w:ind w:left="169" w:hanging="169"/>
              <w:contextualSpacing/>
              <w:jc w:val="left"/>
              <w:rPr>
                <w:color w:val="C4BC96" w:themeColor="background2" w:themeShade="BF"/>
                <w:sz w:val="20"/>
                <w:szCs w:val="20"/>
              </w:rPr>
            </w:pPr>
            <w:r>
              <w:rPr>
                <w:sz w:val="20"/>
                <w:szCs w:val="20"/>
                <w:lang w:val="es-ES"/>
              </w:rPr>
              <w:t>GT-INF</w:t>
            </w:r>
          </w:p>
        </w:tc>
        <w:tc>
          <w:tcPr>
            <w:tcW w:w="1966" w:type="dxa"/>
            <w:tcBorders>
              <w:top w:val="single" w:sz="4" w:space="0" w:color="auto"/>
              <w:left w:val="single" w:sz="4" w:space="0" w:color="auto"/>
              <w:bottom w:val="single" w:sz="4" w:space="0" w:color="auto"/>
              <w:right w:val="single" w:sz="4" w:space="0" w:color="auto"/>
            </w:tcBorders>
            <w:hideMark/>
          </w:tcPr>
          <w:p w14:paraId="5BB12CDD" w14:textId="77777777" w:rsidR="004E2350" w:rsidRDefault="004E2350">
            <w:pPr>
              <w:jc w:val="left"/>
              <w:rPr>
                <w:color w:val="C4BC96" w:themeColor="background2" w:themeShade="BF"/>
                <w:sz w:val="20"/>
                <w:szCs w:val="20"/>
              </w:rPr>
            </w:pPr>
            <w:r>
              <w:rPr>
                <w:sz w:val="20"/>
                <w:szCs w:val="20"/>
                <w:lang w:val="es-ES"/>
              </w:rPr>
              <w:t>Q2,2023</w:t>
            </w:r>
          </w:p>
        </w:tc>
        <w:tc>
          <w:tcPr>
            <w:tcW w:w="2274" w:type="dxa"/>
            <w:tcBorders>
              <w:top w:val="single" w:sz="4" w:space="0" w:color="auto"/>
              <w:left w:val="single" w:sz="4" w:space="0" w:color="auto"/>
              <w:bottom w:val="single" w:sz="4" w:space="0" w:color="auto"/>
              <w:right w:val="single" w:sz="4" w:space="0" w:color="auto"/>
            </w:tcBorders>
            <w:hideMark/>
          </w:tcPr>
          <w:p w14:paraId="3712FD1E" w14:textId="77777777" w:rsidR="004E2350" w:rsidRDefault="004E2350">
            <w:pPr>
              <w:jc w:val="left"/>
              <w:rPr>
                <w:color w:val="C4BC96" w:themeColor="background2" w:themeShade="BF"/>
                <w:sz w:val="20"/>
                <w:szCs w:val="20"/>
                <w:lang w:val="es-ES"/>
              </w:rPr>
            </w:pPr>
            <w:r>
              <w:rPr>
                <w:sz w:val="20"/>
                <w:szCs w:val="20"/>
                <w:lang w:val="es-ES"/>
              </w:rPr>
              <w:t>Bajo la coordinación de la Secretaría de la OMM (ROE)</w:t>
            </w:r>
          </w:p>
        </w:tc>
      </w:tr>
      <w:tr w:rsidR="004E2350" w:rsidRPr="004E2350" w14:paraId="1DCDFA2D" w14:textId="77777777" w:rsidTr="004E2350">
        <w:trPr>
          <w:trHeight w:val="285"/>
        </w:trPr>
        <w:tc>
          <w:tcPr>
            <w:tcW w:w="14176" w:type="dxa"/>
            <w:vMerge/>
            <w:tcBorders>
              <w:top w:val="single" w:sz="4" w:space="0" w:color="auto"/>
              <w:left w:val="single" w:sz="4" w:space="0" w:color="auto"/>
              <w:bottom w:val="single" w:sz="4" w:space="0" w:color="auto"/>
              <w:right w:val="single" w:sz="4" w:space="0" w:color="auto"/>
            </w:tcBorders>
            <w:vAlign w:val="center"/>
            <w:hideMark/>
          </w:tcPr>
          <w:p w14:paraId="06D37CE2" w14:textId="77777777" w:rsidR="004E2350" w:rsidRDefault="004E2350">
            <w:pPr>
              <w:tabs>
                <w:tab w:val="clear" w:pos="1134"/>
              </w:tabs>
              <w:jc w:val="left"/>
              <w:rPr>
                <w:sz w:val="20"/>
                <w:szCs w:val="20"/>
                <w:lang w:val="es-ES"/>
              </w:rPr>
            </w:pPr>
          </w:p>
        </w:tc>
        <w:tc>
          <w:tcPr>
            <w:tcW w:w="3511" w:type="dxa"/>
            <w:tcBorders>
              <w:top w:val="single" w:sz="4" w:space="0" w:color="auto"/>
              <w:left w:val="single" w:sz="4" w:space="0" w:color="auto"/>
              <w:bottom w:val="single" w:sz="4" w:space="0" w:color="auto"/>
              <w:right w:val="single" w:sz="4" w:space="0" w:color="auto"/>
            </w:tcBorders>
            <w:hideMark/>
          </w:tcPr>
          <w:p w14:paraId="7A6A98A1" w14:textId="77777777" w:rsidR="004E2350" w:rsidRDefault="004E2350">
            <w:pPr>
              <w:jc w:val="left"/>
              <w:rPr>
                <w:color w:val="C4BC96" w:themeColor="background2" w:themeShade="BF"/>
                <w:sz w:val="20"/>
                <w:szCs w:val="20"/>
                <w:lang w:val="es-ES"/>
              </w:rPr>
            </w:pPr>
            <w:r>
              <w:rPr>
                <w:sz w:val="20"/>
                <w:szCs w:val="20"/>
                <w:lang w:val="es-ES"/>
              </w:rPr>
              <w:t>1.6. Aprobación del concepto de RWC y del plan de aplicación</w:t>
            </w:r>
          </w:p>
        </w:tc>
        <w:tc>
          <w:tcPr>
            <w:tcW w:w="3334" w:type="dxa"/>
            <w:tcBorders>
              <w:top w:val="single" w:sz="4" w:space="0" w:color="auto"/>
              <w:left w:val="single" w:sz="4" w:space="0" w:color="auto"/>
              <w:bottom w:val="single" w:sz="4" w:space="0" w:color="auto"/>
              <w:right w:val="single" w:sz="4" w:space="0" w:color="auto"/>
            </w:tcBorders>
            <w:hideMark/>
          </w:tcPr>
          <w:p w14:paraId="666E50F9" w14:textId="77777777" w:rsidR="004E2350" w:rsidRDefault="004E2350" w:rsidP="004E2350">
            <w:pPr>
              <w:numPr>
                <w:ilvl w:val="0"/>
                <w:numId w:val="63"/>
              </w:numPr>
              <w:tabs>
                <w:tab w:val="left" w:pos="720"/>
              </w:tabs>
              <w:ind w:left="169" w:hanging="169"/>
              <w:contextualSpacing/>
              <w:jc w:val="left"/>
              <w:rPr>
                <w:color w:val="C4BC96" w:themeColor="background2" w:themeShade="BF"/>
                <w:sz w:val="20"/>
                <w:szCs w:val="20"/>
              </w:rPr>
            </w:pPr>
            <w:r>
              <w:rPr>
                <w:color w:val="C4BC96" w:themeColor="background2" w:themeShade="BF"/>
                <w:sz w:val="20"/>
                <w:szCs w:val="20"/>
              </w:rPr>
              <w:t>RA VI MG</w:t>
            </w:r>
          </w:p>
        </w:tc>
        <w:tc>
          <w:tcPr>
            <w:tcW w:w="1966" w:type="dxa"/>
            <w:tcBorders>
              <w:top w:val="single" w:sz="4" w:space="0" w:color="auto"/>
              <w:left w:val="single" w:sz="4" w:space="0" w:color="auto"/>
              <w:bottom w:val="single" w:sz="4" w:space="0" w:color="auto"/>
              <w:right w:val="single" w:sz="4" w:space="0" w:color="auto"/>
            </w:tcBorders>
            <w:hideMark/>
          </w:tcPr>
          <w:p w14:paraId="31253D4B" w14:textId="77777777" w:rsidR="004E2350" w:rsidRDefault="004E2350">
            <w:pPr>
              <w:jc w:val="left"/>
              <w:rPr>
                <w:color w:val="C4BC96" w:themeColor="background2" w:themeShade="BF"/>
                <w:sz w:val="20"/>
                <w:szCs w:val="20"/>
              </w:rPr>
            </w:pPr>
            <w:r>
              <w:rPr>
                <w:color w:val="C4BC96" w:themeColor="background2" w:themeShade="BF"/>
                <w:sz w:val="20"/>
                <w:szCs w:val="20"/>
              </w:rPr>
              <w:t>Q2/Q3,2023</w:t>
            </w:r>
          </w:p>
        </w:tc>
        <w:tc>
          <w:tcPr>
            <w:tcW w:w="2274" w:type="dxa"/>
            <w:tcBorders>
              <w:top w:val="single" w:sz="4" w:space="0" w:color="auto"/>
              <w:left w:val="single" w:sz="4" w:space="0" w:color="auto"/>
              <w:bottom w:val="single" w:sz="4" w:space="0" w:color="auto"/>
              <w:right w:val="single" w:sz="4" w:space="0" w:color="auto"/>
            </w:tcBorders>
            <w:hideMark/>
          </w:tcPr>
          <w:p w14:paraId="7CAD421B" w14:textId="77777777" w:rsidR="004E2350" w:rsidRDefault="004E2350">
            <w:pPr>
              <w:jc w:val="left"/>
              <w:rPr>
                <w:color w:val="C4BC96" w:themeColor="background2" w:themeShade="BF"/>
                <w:sz w:val="20"/>
                <w:szCs w:val="20"/>
                <w:lang w:val="es-ES"/>
              </w:rPr>
            </w:pPr>
            <w:r>
              <w:rPr>
                <w:sz w:val="20"/>
                <w:szCs w:val="20"/>
                <w:lang w:val="es-ES"/>
              </w:rPr>
              <w:t>Presentación por el WG-INF, bajo la coordinación de la Secretaría de la OMM (ROE)</w:t>
            </w:r>
          </w:p>
        </w:tc>
      </w:tr>
      <w:tr w:rsidR="004E2350" w:rsidRPr="004E2350" w14:paraId="0D6BB57A" w14:textId="77777777" w:rsidTr="004E2350">
        <w:trPr>
          <w:trHeight w:val="285"/>
        </w:trPr>
        <w:tc>
          <w:tcPr>
            <w:tcW w:w="14176" w:type="dxa"/>
            <w:vMerge/>
            <w:tcBorders>
              <w:top w:val="single" w:sz="4" w:space="0" w:color="auto"/>
              <w:left w:val="single" w:sz="4" w:space="0" w:color="auto"/>
              <w:bottom w:val="single" w:sz="4" w:space="0" w:color="auto"/>
              <w:right w:val="single" w:sz="4" w:space="0" w:color="auto"/>
            </w:tcBorders>
            <w:vAlign w:val="center"/>
            <w:hideMark/>
          </w:tcPr>
          <w:p w14:paraId="02034746" w14:textId="77777777" w:rsidR="004E2350" w:rsidRDefault="004E2350">
            <w:pPr>
              <w:tabs>
                <w:tab w:val="clear" w:pos="1134"/>
              </w:tabs>
              <w:jc w:val="left"/>
              <w:rPr>
                <w:sz w:val="20"/>
                <w:szCs w:val="20"/>
                <w:lang w:val="es-ES"/>
              </w:rPr>
            </w:pPr>
          </w:p>
        </w:tc>
        <w:tc>
          <w:tcPr>
            <w:tcW w:w="3511" w:type="dxa"/>
            <w:tcBorders>
              <w:top w:val="single" w:sz="4" w:space="0" w:color="auto"/>
              <w:left w:val="single" w:sz="4" w:space="0" w:color="auto"/>
              <w:bottom w:val="single" w:sz="4" w:space="0" w:color="auto"/>
              <w:right w:val="single" w:sz="4" w:space="0" w:color="auto"/>
            </w:tcBorders>
            <w:hideMark/>
          </w:tcPr>
          <w:p w14:paraId="52D20160" w14:textId="77777777" w:rsidR="004E2350" w:rsidRDefault="004E2350">
            <w:pPr>
              <w:jc w:val="left"/>
              <w:rPr>
                <w:color w:val="A6A6A6" w:themeColor="background1" w:themeShade="A6"/>
                <w:sz w:val="20"/>
                <w:szCs w:val="20"/>
                <w:lang w:val="es-ES"/>
              </w:rPr>
            </w:pPr>
            <w:r>
              <w:rPr>
                <w:sz w:val="20"/>
                <w:szCs w:val="20"/>
                <w:lang w:val="es-ES"/>
              </w:rPr>
              <w:t>1.7. Solicitud oficial de los candidatos a CEE</w:t>
            </w:r>
          </w:p>
        </w:tc>
        <w:tc>
          <w:tcPr>
            <w:tcW w:w="3334" w:type="dxa"/>
            <w:tcBorders>
              <w:top w:val="single" w:sz="4" w:space="0" w:color="auto"/>
              <w:left w:val="single" w:sz="4" w:space="0" w:color="auto"/>
              <w:bottom w:val="single" w:sz="4" w:space="0" w:color="auto"/>
              <w:right w:val="single" w:sz="4" w:space="0" w:color="auto"/>
            </w:tcBorders>
            <w:hideMark/>
          </w:tcPr>
          <w:p w14:paraId="5D8B9B83" w14:textId="77777777" w:rsidR="004E2350" w:rsidRDefault="004E2350" w:rsidP="004E2350">
            <w:pPr>
              <w:numPr>
                <w:ilvl w:val="0"/>
                <w:numId w:val="63"/>
              </w:numPr>
              <w:tabs>
                <w:tab w:val="left" w:pos="720"/>
              </w:tabs>
              <w:ind w:left="169" w:hanging="169"/>
              <w:contextualSpacing/>
              <w:jc w:val="left"/>
              <w:rPr>
                <w:rFonts w:eastAsia="Calibri" w:cs="Times New Roman"/>
                <w:color w:val="A6A6A6" w:themeColor="background1" w:themeShade="A6"/>
                <w:sz w:val="20"/>
                <w:szCs w:val="20"/>
              </w:rPr>
            </w:pPr>
            <w:r>
              <w:rPr>
                <w:sz w:val="20"/>
                <w:szCs w:val="20"/>
                <w:lang w:val="es-ES"/>
              </w:rPr>
              <w:t>Miembros que crean CRM</w:t>
            </w:r>
          </w:p>
        </w:tc>
        <w:tc>
          <w:tcPr>
            <w:tcW w:w="1966" w:type="dxa"/>
            <w:tcBorders>
              <w:top w:val="single" w:sz="4" w:space="0" w:color="auto"/>
              <w:left w:val="single" w:sz="4" w:space="0" w:color="auto"/>
              <w:bottom w:val="single" w:sz="4" w:space="0" w:color="auto"/>
              <w:right w:val="single" w:sz="4" w:space="0" w:color="auto"/>
            </w:tcBorders>
            <w:hideMark/>
          </w:tcPr>
          <w:p w14:paraId="4FD9E70D" w14:textId="77777777" w:rsidR="004E2350" w:rsidRDefault="004E2350">
            <w:pPr>
              <w:jc w:val="left"/>
              <w:rPr>
                <w:color w:val="A6A6A6" w:themeColor="background1" w:themeShade="A6"/>
                <w:sz w:val="20"/>
                <w:szCs w:val="20"/>
              </w:rPr>
            </w:pPr>
            <w:r>
              <w:rPr>
                <w:color w:val="A6A6A6" w:themeColor="background1" w:themeShade="A6"/>
                <w:sz w:val="20"/>
                <w:szCs w:val="20"/>
              </w:rPr>
              <w:t>Q2/Q3, 2023</w:t>
            </w:r>
          </w:p>
        </w:tc>
        <w:tc>
          <w:tcPr>
            <w:tcW w:w="2274" w:type="dxa"/>
            <w:tcBorders>
              <w:top w:val="single" w:sz="4" w:space="0" w:color="auto"/>
              <w:left w:val="single" w:sz="4" w:space="0" w:color="auto"/>
              <w:bottom w:val="single" w:sz="4" w:space="0" w:color="auto"/>
              <w:right w:val="single" w:sz="4" w:space="0" w:color="auto"/>
            </w:tcBorders>
            <w:hideMark/>
          </w:tcPr>
          <w:p w14:paraId="7581BE3A" w14:textId="77777777" w:rsidR="004E2350" w:rsidRDefault="004E2350">
            <w:pPr>
              <w:jc w:val="left"/>
              <w:rPr>
                <w:color w:val="A6A6A6" w:themeColor="background1" w:themeShade="A6"/>
                <w:sz w:val="20"/>
                <w:szCs w:val="20"/>
                <w:lang w:val="es-ES"/>
              </w:rPr>
            </w:pPr>
            <w:r>
              <w:rPr>
                <w:sz w:val="20"/>
                <w:szCs w:val="20"/>
                <w:lang w:val="es-ES"/>
              </w:rPr>
              <w:t>Bajo la coordinación de la Secretaría de la OMM (ROE)</w:t>
            </w:r>
          </w:p>
        </w:tc>
      </w:tr>
      <w:tr w:rsidR="004E2350" w:rsidRPr="004E2350" w14:paraId="0935E8C3" w14:textId="77777777" w:rsidTr="004E2350">
        <w:trPr>
          <w:trHeight w:val="285"/>
        </w:trPr>
        <w:tc>
          <w:tcPr>
            <w:tcW w:w="14176" w:type="dxa"/>
            <w:vMerge/>
            <w:tcBorders>
              <w:top w:val="single" w:sz="4" w:space="0" w:color="auto"/>
              <w:left w:val="single" w:sz="4" w:space="0" w:color="auto"/>
              <w:bottom w:val="single" w:sz="4" w:space="0" w:color="auto"/>
              <w:right w:val="single" w:sz="4" w:space="0" w:color="auto"/>
            </w:tcBorders>
            <w:vAlign w:val="center"/>
            <w:hideMark/>
          </w:tcPr>
          <w:p w14:paraId="781DCD47" w14:textId="77777777" w:rsidR="004E2350" w:rsidRDefault="004E2350">
            <w:pPr>
              <w:tabs>
                <w:tab w:val="clear" w:pos="1134"/>
              </w:tabs>
              <w:jc w:val="left"/>
              <w:rPr>
                <w:sz w:val="20"/>
                <w:szCs w:val="20"/>
                <w:lang w:val="es-ES"/>
              </w:rPr>
            </w:pPr>
          </w:p>
        </w:tc>
        <w:tc>
          <w:tcPr>
            <w:tcW w:w="3511" w:type="dxa"/>
            <w:tcBorders>
              <w:top w:val="single" w:sz="4" w:space="0" w:color="auto"/>
              <w:left w:val="single" w:sz="4" w:space="0" w:color="auto"/>
              <w:bottom w:val="single" w:sz="4" w:space="0" w:color="auto"/>
              <w:right w:val="single" w:sz="4" w:space="0" w:color="auto"/>
            </w:tcBorders>
            <w:hideMark/>
          </w:tcPr>
          <w:p w14:paraId="2A591355" w14:textId="77777777" w:rsidR="004E2350" w:rsidRDefault="004E2350">
            <w:pPr>
              <w:jc w:val="left"/>
              <w:rPr>
                <w:color w:val="A6A6A6" w:themeColor="background1" w:themeShade="A6"/>
                <w:sz w:val="20"/>
                <w:szCs w:val="20"/>
              </w:rPr>
            </w:pPr>
            <w:r>
              <w:rPr>
                <w:sz w:val="20"/>
                <w:szCs w:val="20"/>
                <w:lang w:val="es-ES"/>
              </w:rPr>
              <w:t>1.8. Evaluation of applications</w:t>
            </w:r>
          </w:p>
        </w:tc>
        <w:tc>
          <w:tcPr>
            <w:tcW w:w="3334" w:type="dxa"/>
            <w:tcBorders>
              <w:top w:val="single" w:sz="4" w:space="0" w:color="auto"/>
              <w:left w:val="single" w:sz="4" w:space="0" w:color="auto"/>
              <w:bottom w:val="single" w:sz="4" w:space="0" w:color="auto"/>
              <w:right w:val="single" w:sz="4" w:space="0" w:color="auto"/>
            </w:tcBorders>
            <w:hideMark/>
          </w:tcPr>
          <w:p w14:paraId="36476524" w14:textId="77777777" w:rsidR="004E2350" w:rsidRDefault="004E2350" w:rsidP="004E2350">
            <w:pPr>
              <w:numPr>
                <w:ilvl w:val="0"/>
                <w:numId w:val="63"/>
              </w:numPr>
              <w:tabs>
                <w:tab w:val="left" w:pos="720"/>
              </w:tabs>
              <w:ind w:left="169" w:hanging="169"/>
              <w:contextualSpacing/>
              <w:jc w:val="left"/>
              <w:rPr>
                <w:rFonts w:eastAsia="Calibri" w:cs="Times New Roman"/>
                <w:color w:val="A6A6A6" w:themeColor="background1" w:themeShade="A6"/>
                <w:sz w:val="20"/>
                <w:szCs w:val="20"/>
              </w:rPr>
            </w:pPr>
            <w:r>
              <w:rPr>
                <w:color w:val="A6A6A6" w:themeColor="background1" w:themeShade="A6"/>
                <w:sz w:val="20"/>
                <w:szCs w:val="20"/>
              </w:rPr>
              <w:t>INFCOM President and RA VI President</w:t>
            </w:r>
          </w:p>
        </w:tc>
        <w:tc>
          <w:tcPr>
            <w:tcW w:w="1966" w:type="dxa"/>
            <w:tcBorders>
              <w:top w:val="single" w:sz="4" w:space="0" w:color="auto"/>
              <w:left w:val="single" w:sz="4" w:space="0" w:color="auto"/>
              <w:bottom w:val="single" w:sz="4" w:space="0" w:color="auto"/>
              <w:right w:val="single" w:sz="4" w:space="0" w:color="auto"/>
            </w:tcBorders>
            <w:hideMark/>
          </w:tcPr>
          <w:p w14:paraId="6BFFF7EF" w14:textId="77777777" w:rsidR="004E2350" w:rsidRDefault="004E2350">
            <w:pPr>
              <w:jc w:val="left"/>
              <w:rPr>
                <w:color w:val="A6A6A6" w:themeColor="background1" w:themeShade="A6"/>
                <w:sz w:val="20"/>
                <w:szCs w:val="20"/>
              </w:rPr>
            </w:pPr>
            <w:r>
              <w:rPr>
                <w:color w:val="A6A6A6" w:themeColor="background1" w:themeShade="A6"/>
                <w:sz w:val="20"/>
                <w:szCs w:val="20"/>
              </w:rPr>
              <w:t>Q3, 2023</w:t>
            </w:r>
          </w:p>
        </w:tc>
        <w:tc>
          <w:tcPr>
            <w:tcW w:w="2274" w:type="dxa"/>
            <w:tcBorders>
              <w:top w:val="single" w:sz="4" w:space="0" w:color="auto"/>
              <w:left w:val="single" w:sz="4" w:space="0" w:color="auto"/>
              <w:bottom w:val="single" w:sz="4" w:space="0" w:color="auto"/>
              <w:right w:val="single" w:sz="4" w:space="0" w:color="auto"/>
            </w:tcBorders>
            <w:hideMark/>
          </w:tcPr>
          <w:p w14:paraId="55D76E34" w14:textId="77777777" w:rsidR="004E2350" w:rsidRDefault="004E2350">
            <w:pPr>
              <w:jc w:val="left"/>
              <w:rPr>
                <w:color w:val="A6A6A6" w:themeColor="background1" w:themeShade="A6"/>
                <w:sz w:val="20"/>
                <w:szCs w:val="20"/>
                <w:lang w:val="es-ES"/>
              </w:rPr>
            </w:pPr>
            <w:r>
              <w:rPr>
                <w:sz w:val="20"/>
                <w:szCs w:val="20"/>
                <w:lang w:val="es-ES"/>
              </w:rPr>
              <w:t>Bajo la coordinación de la Secretaría de la OMM</w:t>
            </w:r>
          </w:p>
          <w:p w14:paraId="44ABADC3" w14:textId="77777777" w:rsidR="004E2350" w:rsidRDefault="004E2350">
            <w:pPr>
              <w:jc w:val="left"/>
              <w:rPr>
                <w:color w:val="A6A6A6" w:themeColor="background1" w:themeShade="A6"/>
                <w:sz w:val="20"/>
                <w:szCs w:val="20"/>
                <w:lang w:val="es-ES"/>
              </w:rPr>
            </w:pPr>
            <w:r>
              <w:rPr>
                <w:color w:val="A6A6A6" w:themeColor="background1" w:themeShade="A6"/>
                <w:sz w:val="20"/>
                <w:szCs w:val="20"/>
                <w:lang w:val="es-ES"/>
              </w:rPr>
              <w:t xml:space="preserve"> </w:t>
            </w:r>
          </w:p>
        </w:tc>
      </w:tr>
      <w:tr w:rsidR="004E2350" w14:paraId="4169C6B2" w14:textId="77777777" w:rsidTr="004E2350">
        <w:trPr>
          <w:trHeight w:val="285"/>
        </w:trPr>
        <w:tc>
          <w:tcPr>
            <w:tcW w:w="14176" w:type="dxa"/>
            <w:vMerge/>
            <w:tcBorders>
              <w:top w:val="single" w:sz="4" w:space="0" w:color="auto"/>
              <w:left w:val="single" w:sz="4" w:space="0" w:color="auto"/>
              <w:bottom w:val="single" w:sz="4" w:space="0" w:color="auto"/>
              <w:right w:val="single" w:sz="4" w:space="0" w:color="auto"/>
            </w:tcBorders>
            <w:vAlign w:val="center"/>
            <w:hideMark/>
          </w:tcPr>
          <w:p w14:paraId="742F28EC" w14:textId="77777777" w:rsidR="004E2350" w:rsidRDefault="004E2350">
            <w:pPr>
              <w:tabs>
                <w:tab w:val="clear" w:pos="1134"/>
              </w:tabs>
              <w:jc w:val="left"/>
              <w:rPr>
                <w:sz w:val="20"/>
                <w:szCs w:val="20"/>
                <w:lang w:val="es-ES"/>
              </w:rPr>
            </w:pPr>
          </w:p>
        </w:tc>
        <w:tc>
          <w:tcPr>
            <w:tcW w:w="3511" w:type="dxa"/>
            <w:tcBorders>
              <w:top w:val="single" w:sz="4" w:space="0" w:color="auto"/>
              <w:left w:val="single" w:sz="4" w:space="0" w:color="auto"/>
              <w:bottom w:val="single" w:sz="4" w:space="0" w:color="auto"/>
              <w:right w:val="single" w:sz="4" w:space="0" w:color="auto"/>
            </w:tcBorders>
            <w:hideMark/>
          </w:tcPr>
          <w:p w14:paraId="5041ECC1" w14:textId="77777777" w:rsidR="004E2350" w:rsidRDefault="004E2350">
            <w:pPr>
              <w:jc w:val="left"/>
              <w:rPr>
                <w:sz w:val="20"/>
                <w:szCs w:val="20"/>
              </w:rPr>
            </w:pPr>
            <w:r>
              <w:rPr>
                <w:sz w:val="20"/>
                <w:szCs w:val="20"/>
                <w:lang w:val="es-ES"/>
              </w:rPr>
              <w:t>1.9. Designation of RWCs</w:t>
            </w:r>
          </w:p>
        </w:tc>
        <w:tc>
          <w:tcPr>
            <w:tcW w:w="3334" w:type="dxa"/>
            <w:tcBorders>
              <w:top w:val="single" w:sz="4" w:space="0" w:color="auto"/>
              <w:left w:val="single" w:sz="4" w:space="0" w:color="auto"/>
              <w:bottom w:val="single" w:sz="4" w:space="0" w:color="auto"/>
              <w:right w:val="single" w:sz="4" w:space="0" w:color="auto"/>
            </w:tcBorders>
            <w:hideMark/>
          </w:tcPr>
          <w:p w14:paraId="0C248E3E" w14:textId="77777777" w:rsidR="004E2350" w:rsidRDefault="004E2350" w:rsidP="004E2350">
            <w:pPr>
              <w:numPr>
                <w:ilvl w:val="0"/>
                <w:numId w:val="63"/>
              </w:numPr>
              <w:tabs>
                <w:tab w:val="left" w:pos="720"/>
              </w:tabs>
              <w:ind w:left="169" w:hanging="169"/>
              <w:contextualSpacing/>
              <w:jc w:val="left"/>
              <w:rPr>
                <w:sz w:val="20"/>
                <w:szCs w:val="20"/>
              </w:rPr>
            </w:pPr>
            <w:r>
              <w:rPr>
                <w:sz w:val="20"/>
                <w:szCs w:val="20"/>
              </w:rPr>
              <w:t>RA VI MG</w:t>
            </w:r>
          </w:p>
        </w:tc>
        <w:tc>
          <w:tcPr>
            <w:tcW w:w="1966" w:type="dxa"/>
            <w:tcBorders>
              <w:top w:val="single" w:sz="4" w:space="0" w:color="auto"/>
              <w:left w:val="single" w:sz="4" w:space="0" w:color="auto"/>
              <w:bottom w:val="single" w:sz="4" w:space="0" w:color="auto"/>
              <w:right w:val="single" w:sz="4" w:space="0" w:color="auto"/>
            </w:tcBorders>
            <w:hideMark/>
          </w:tcPr>
          <w:p w14:paraId="7171AA1A" w14:textId="77777777" w:rsidR="004E2350" w:rsidRDefault="004E2350">
            <w:pPr>
              <w:jc w:val="left"/>
              <w:rPr>
                <w:sz w:val="20"/>
                <w:szCs w:val="20"/>
              </w:rPr>
            </w:pPr>
            <w:r>
              <w:rPr>
                <w:sz w:val="20"/>
                <w:szCs w:val="20"/>
              </w:rPr>
              <w:t>Q4, 2023</w:t>
            </w:r>
          </w:p>
        </w:tc>
        <w:tc>
          <w:tcPr>
            <w:tcW w:w="2274" w:type="dxa"/>
            <w:tcBorders>
              <w:top w:val="single" w:sz="4" w:space="0" w:color="auto"/>
              <w:left w:val="single" w:sz="4" w:space="0" w:color="auto"/>
              <w:bottom w:val="single" w:sz="4" w:space="0" w:color="auto"/>
              <w:right w:val="single" w:sz="4" w:space="0" w:color="auto"/>
            </w:tcBorders>
          </w:tcPr>
          <w:p w14:paraId="30978F86" w14:textId="77777777" w:rsidR="004E2350" w:rsidRDefault="004E2350">
            <w:pPr>
              <w:jc w:val="left"/>
              <w:rPr>
                <w:sz w:val="20"/>
                <w:szCs w:val="20"/>
              </w:rPr>
            </w:pPr>
          </w:p>
        </w:tc>
      </w:tr>
      <w:tr w:rsidR="004E2350" w:rsidRPr="004E2350" w14:paraId="20ECDF3D" w14:textId="77777777" w:rsidTr="004E2350">
        <w:trPr>
          <w:trHeight w:val="195"/>
        </w:trPr>
        <w:tc>
          <w:tcPr>
            <w:tcW w:w="3091" w:type="dxa"/>
            <w:vMerge w:val="restart"/>
            <w:tcBorders>
              <w:top w:val="single" w:sz="4" w:space="0" w:color="auto"/>
              <w:left w:val="single" w:sz="4" w:space="0" w:color="auto"/>
              <w:bottom w:val="single" w:sz="4" w:space="0" w:color="auto"/>
              <w:right w:val="single" w:sz="4" w:space="0" w:color="auto"/>
            </w:tcBorders>
            <w:vAlign w:val="center"/>
            <w:hideMark/>
          </w:tcPr>
          <w:p w14:paraId="11F86B4A" w14:textId="77777777" w:rsidR="004E2350" w:rsidRDefault="004E2350">
            <w:pPr>
              <w:jc w:val="left"/>
              <w:rPr>
                <w:sz w:val="20"/>
                <w:szCs w:val="20"/>
                <w:lang w:val="es-ES"/>
              </w:rPr>
            </w:pPr>
            <w:r>
              <w:rPr>
                <w:sz w:val="20"/>
                <w:szCs w:val="20"/>
                <w:lang w:val="es-ES"/>
              </w:rPr>
              <w:t xml:space="preserve">2. Fase de puesta en marcha/Actividades de preparación </w:t>
            </w:r>
          </w:p>
        </w:tc>
        <w:tc>
          <w:tcPr>
            <w:tcW w:w="3511" w:type="dxa"/>
            <w:tcBorders>
              <w:top w:val="single" w:sz="4" w:space="0" w:color="auto"/>
              <w:left w:val="single" w:sz="4" w:space="0" w:color="auto"/>
              <w:bottom w:val="single" w:sz="4" w:space="0" w:color="auto"/>
              <w:right w:val="single" w:sz="4" w:space="0" w:color="auto"/>
            </w:tcBorders>
            <w:vAlign w:val="center"/>
            <w:hideMark/>
          </w:tcPr>
          <w:p w14:paraId="0238BA72" w14:textId="77777777" w:rsidR="004E2350" w:rsidRDefault="004E2350">
            <w:pPr>
              <w:jc w:val="left"/>
              <w:rPr>
                <w:color w:val="A6A6A6" w:themeColor="background1" w:themeShade="A6"/>
                <w:sz w:val="20"/>
                <w:szCs w:val="20"/>
              </w:rPr>
            </w:pPr>
            <w:r>
              <w:rPr>
                <w:sz w:val="20"/>
                <w:szCs w:val="20"/>
                <w:lang w:val="es-ES"/>
              </w:rPr>
              <w:t>2.1. Asignar recursos humanos</w:t>
            </w:r>
          </w:p>
        </w:tc>
        <w:tc>
          <w:tcPr>
            <w:tcW w:w="3334" w:type="dxa"/>
            <w:vMerge w:val="restart"/>
            <w:tcBorders>
              <w:top w:val="single" w:sz="4" w:space="0" w:color="auto"/>
              <w:left w:val="single" w:sz="4" w:space="0" w:color="auto"/>
              <w:bottom w:val="single" w:sz="4" w:space="0" w:color="auto"/>
              <w:right w:val="single" w:sz="4" w:space="0" w:color="auto"/>
            </w:tcBorders>
            <w:vAlign w:val="center"/>
            <w:hideMark/>
          </w:tcPr>
          <w:p w14:paraId="5555629B" w14:textId="77777777" w:rsidR="004E2350" w:rsidRDefault="004E2350" w:rsidP="004E2350">
            <w:pPr>
              <w:numPr>
                <w:ilvl w:val="0"/>
                <w:numId w:val="63"/>
              </w:numPr>
              <w:tabs>
                <w:tab w:val="left" w:pos="720"/>
              </w:tabs>
              <w:ind w:left="169" w:hanging="169"/>
              <w:contextualSpacing/>
              <w:jc w:val="left"/>
              <w:rPr>
                <w:color w:val="A6A6A6" w:themeColor="background1" w:themeShade="A6"/>
                <w:sz w:val="20"/>
                <w:szCs w:val="20"/>
              </w:rPr>
            </w:pPr>
            <w:r>
              <w:rPr>
                <w:sz w:val="20"/>
                <w:szCs w:val="20"/>
                <w:lang w:val="es-ES"/>
              </w:rPr>
              <w:t>Miembros que crean CRM</w:t>
            </w:r>
          </w:p>
        </w:tc>
        <w:tc>
          <w:tcPr>
            <w:tcW w:w="1966" w:type="dxa"/>
            <w:vMerge w:val="restart"/>
            <w:tcBorders>
              <w:top w:val="single" w:sz="4" w:space="0" w:color="auto"/>
              <w:left w:val="single" w:sz="4" w:space="0" w:color="auto"/>
              <w:bottom w:val="single" w:sz="4" w:space="0" w:color="auto"/>
              <w:right w:val="single" w:sz="4" w:space="0" w:color="auto"/>
            </w:tcBorders>
            <w:vAlign w:val="center"/>
            <w:hideMark/>
          </w:tcPr>
          <w:p w14:paraId="47B4C12E" w14:textId="77777777" w:rsidR="004E2350" w:rsidRDefault="004E2350">
            <w:pPr>
              <w:jc w:val="left"/>
              <w:rPr>
                <w:color w:val="A6A6A6" w:themeColor="background1" w:themeShade="A6"/>
                <w:sz w:val="20"/>
                <w:szCs w:val="20"/>
              </w:rPr>
            </w:pPr>
            <w:r>
              <w:rPr>
                <w:color w:val="A6A6A6" w:themeColor="background1" w:themeShade="A6"/>
                <w:sz w:val="20"/>
                <w:szCs w:val="20"/>
              </w:rPr>
              <w:t>Q2/Q3 2023</w:t>
            </w:r>
          </w:p>
        </w:tc>
        <w:tc>
          <w:tcPr>
            <w:tcW w:w="2274" w:type="dxa"/>
            <w:vMerge w:val="restart"/>
            <w:tcBorders>
              <w:top w:val="single" w:sz="4" w:space="0" w:color="auto"/>
              <w:left w:val="single" w:sz="4" w:space="0" w:color="auto"/>
              <w:bottom w:val="single" w:sz="4" w:space="0" w:color="auto"/>
              <w:right w:val="single" w:sz="4" w:space="0" w:color="auto"/>
            </w:tcBorders>
            <w:vAlign w:val="center"/>
            <w:hideMark/>
          </w:tcPr>
          <w:p w14:paraId="7C63EFA1" w14:textId="77777777" w:rsidR="004E2350" w:rsidRDefault="004E2350">
            <w:pPr>
              <w:jc w:val="left"/>
              <w:rPr>
                <w:color w:val="A6A6A6" w:themeColor="background1" w:themeShade="A6"/>
                <w:sz w:val="20"/>
                <w:szCs w:val="20"/>
                <w:lang w:val="es-ES"/>
              </w:rPr>
            </w:pPr>
            <w:r>
              <w:rPr>
                <w:sz w:val="20"/>
                <w:szCs w:val="20"/>
                <w:lang w:val="es-ES"/>
              </w:rPr>
              <w:t>Orientación de la Secretaría, en caso necesario</w:t>
            </w:r>
          </w:p>
        </w:tc>
      </w:tr>
      <w:tr w:rsidR="004E2350" w14:paraId="5F97402D" w14:textId="77777777" w:rsidTr="004E2350">
        <w:trPr>
          <w:trHeight w:val="375"/>
        </w:trPr>
        <w:tc>
          <w:tcPr>
            <w:tcW w:w="14176" w:type="dxa"/>
            <w:vMerge/>
            <w:tcBorders>
              <w:top w:val="single" w:sz="4" w:space="0" w:color="auto"/>
              <w:left w:val="single" w:sz="4" w:space="0" w:color="auto"/>
              <w:bottom w:val="single" w:sz="4" w:space="0" w:color="auto"/>
              <w:right w:val="single" w:sz="4" w:space="0" w:color="auto"/>
            </w:tcBorders>
            <w:vAlign w:val="center"/>
            <w:hideMark/>
          </w:tcPr>
          <w:p w14:paraId="3A3CE26E" w14:textId="77777777" w:rsidR="004E2350" w:rsidRDefault="004E2350">
            <w:pPr>
              <w:tabs>
                <w:tab w:val="clear" w:pos="1134"/>
              </w:tabs>
              <w:jc w:val="left"/>
              <w:rPr>
                <w:sz w:val="20"/>
                <w:szCs w:val="20"/>
                <w:lang w:val="es-ES"/>
              </w:rPr>
            </w:pPr>
          </w:p>
        </w:tc>
        <w:tc>
          <w:tcPr>
            <w:tcW w:w="3511" w:type="dxa"/>
            <w:tcBorders>
              <w:top w:val="single" w:sz="4" w:space="0" w:color="auto"/>
              <w:left w:val="single" w:sz="4" w:space="0" w:color="auto"/>
              <w:bottom w:val="single" w:sz="4" w:space="0" w:color="auto"/>
              <w:right w:val="single" w:sz="4" w:space="0" w:color="auto"/>
            </w:tcBorders>
            <w:vAlign w:val="center"/>
            <w:hideMark/>
          </w:tcPr>
          <w:p w14:paraId="4CC76370" w14:textId="77777777" w:rsidR="004E2350" w:rsidRDefault="004E2350">
            <w:pPr>
              <w:jc w:val="left"/>
              <w:rPr>
                <w:color w:val="A6A6A6" w:themeColor="background1" w:themeShade="A6"/>
                <w:sz w:val="20"/>
                <w:szCs w:val="20"/>
              </w:rPr>
            </w:pPr>
            <w:r>
              <w:rPr>
                <w:sz w:val="20"/>
                <w:szCs w:val="20"/>
                <w:lang w:val="es-ES"/>
              </w:rPr>
              <w:t xml:space="preserve">2.2. Asignar recursos técnicos </w:t>
            </w:r>
          </w:p>
        </w:tc>
        <w:tc>
          <w:tcPr>
            <w:tcW w:w="3334" w:type="dxa"/>
            <w:vMerge/>
            <w:tcBorders>
              <w:top w:val="single" w:sz="4" w:space="0" w:color="auto"/>
              <w:left w:val="single" w:sz="4" w:space="0" w:color="auto"/>
              <w:bottom w:val="single" w:sz="4" w:space="0" w:color="auto"/>
              <w:right w:val="single" w:sz="4" w:space="0" w:color="auto"/>
            </w:tcBorders>
            <w:vAlign w:val="center"/>
            <w:hideMark/>
          </w:tcPr>
          <w:p w14:paraId="183E927C" w14:textId="77777777" w:rsidR="004E2350" w:rsidRDefault="004E2350">
            <w:pPr>
              <w:tabs>
                <w:tab w:val="clear" w:pos="1134"/>
              </w:tabs>
              <w:jc w:val="left"/>
              <w:rPr>
                <w:color w:val="A6A6A6" w:themeColor="background1" w:themeShade="A6"/>
                <w:sz w:val="20"/>
                <w:szCs w:val="20"/>
              </w:rPr>
            </w:pPr>
          </w:p>
        </w:tc>
        <w:tc>
          <w:tcPr>
            <w:tcW w:w="1966" w:type="dxa"/>
            <w:vMerge/>
            <w:tcBorders>
              <w:top w:val="single" w:sz="4" w:space="0" w:color="auto"/>
              <w:left w:val="single" w:sz="4" w:space="0" w:color="auto"/>
              <w:bottom w:val="single" w:sz="4" w:space="0" w:color="auto"/>
              <w:right w:val="single" w:sz="4" w:space="0" w:color="auto"/>
            </w:tcBorders>
            <w:vAlign w:val="center"/>
            <w:hideMark/>
          </w:tcPr>
          <w:p w14:paraId="33866DDF" w14:textId="77777777" w:rsidR="004E2350" w:rsidRDefault="004E2350">
            <w:pPr>
              <w:tabs>
                <w:tab w:val="clear" w:pos="1134"/>
              </w:tabs>
              <w:jc w:val="left"/>
              <w:rPr>
                <w:color w:val="A6A6A6" w:themeColor="background1" w:themeShade="A6"/>
                <w:sz w:val="20"/>
                <w:szCs w:val="20"/>
              </w:rPr>
            </w:pPr>
          </w:p>
        </w:tc>
        <w:tc>
          <w:tcPr>
            <w:tcW w:w="2274" w:type="dxa"/>
            <w:vMerge/>
            <w:tcBorders>
              <w:top w:val="single" w:sz="4" w:space="0" w:color="auto"/>
              <w:left w:val="single" w:sz="4" w:space="0" w:color="auto"/>
              <w:bottom w:val="single" w:sz="4" w:space="0" w:color="auto"/>
              <w:right w:val="single" w:sz="4" w:space="0" w:color="auto"/>
            </w:tcBorders>
            <w:vAlign w:val="center"/>
            <w:hideMark/>
          </w:tcPr>
          <w:p w14:paraId="4731E126" w14:textId="77777777" w:rsidR="004E2350" w:rsidRDefault="004E2350">
            <w:pPr>
              <w:tabs>
                <w:tab w:val="clear" w:pos="1134"/>
              </w:tabs>
              <w:jc w:val="left"/>
              <w:rPr>
                <w:color w:val="A6A6A6" w:themeColor="background1" w:themeShade="A6"/>
                <w:sz w:val="20"/>
                <w:szCs w:val="20"/>
                <w:lang w:val="es-ES"/>
              </w:rPr>
            </w:pPr>
          </w:p>
        </w:tc>
      </w:tr>
      <w:tr w:rsidR="004E2350" w14:paraId="522F5EFB" w14:textId="77777777" w:rsidTr="004E2350">
        <w:tc>
          <w:tcPr>
            <w:tcW w:w="14176" w:type="dxa"/>
            <w:vMerge/>
            <w:tcBorders>
              <w:top w:val="single" w:sz="4" w:space="0" w:color="auto"/>
              <w:left w:val="single" w:sz="4" w:space="0" w:color="auto"/>
              <w:bottom w:val="single" w:sz="4" w:space="0" w:color="auto"/>
              <w:right w:val="single" w:sz="4" w:space="0" w:color="auto"/>
            </w:tcBorders>
            <w:vAlign w:val="center"/>
            <w:hideMark/>
          </w:tcPr>
          <w:p w14:paraId="4885E23A" w14:textId="77777777" w:rsidR="004E2350" w:rsidRDefault="004E2350">
            <w:pPr>
              <w:tabs>
                <w:tab w:val="clear" w:pos="1134"/>
              </w:tabs>
              <w:jc w:val="left"/>
              <w:rPr>
                <w:sz w:val="20"/>
                <w:szCs w:val="20"/>
                <w:lang w:val="es-ES"/>
              </w:rPr>
            </w:pPr>
          </w:p>
        </w:tc>
        <w:tc>
          <w:tcPr>
            <w:tcW w:w="3511" w:type="dxa"/>
            <w:tcBorders>
              <w:top w:val="single" w:sz="4" w:space="0" w:color="auto"/>
              <w:left w:val="single" w:sz="4" w:space="0" w:color="auto"/>
              <w:bottom w:val="single" w:sz="4" w:space="0" w:color="auto"/>
              <w:right w:val="single" w:sz="4" w:space="0" w:color="auto"/>
            </w:tcBorders>
            <w:vAlign w:val="center"/>
            <w:hideMark/>
          </w:tcPr>
          <w:p w14:paraId="5344A9C7" w14:textId="77777777" w:rsidR="004E2350" w:rsidRDefault="004E2350">
            <w:pPr>
              <w:jc w:val="left"/>
              <w:rPr>
                <w:color w:val="A6A6A6" w:themeColor="background1" w:themeShade="A6"/>
                <w:sz w:val="20"/>
                <w:szCs w:val="20"/>
              </w:rPr>
            </w:pPr>
            <w:r>
              <w:rPr>
                <w:sz w:val="20"/>
                <w:szCs w:val="20"/>
                <w:lang w:val="es-ES"/>
              </w:rPr>
              <w:t>2.3. Allocate financial resources</w:t>
            </w:r>
          </w:p>
        </w:tc>
        <w:tc>
          <w:tcPr>
            <w:tcW w:w="3334" w:type="dxa"/>
            <w:vMerge/>
            <w:tcBorders>
              <w:top w:val="single" w:sz="4" w:space="0" w:color="auto"/>
              <w:left w:val="single" w:sz="4" w:space="0" w:color="auto"/>
              <w:bottom w:val="single" w:sz="4" w:space="0" w:color="auto"/>
              <w:right w:val="single" w:sz="4" w:space="0" w:color="auto"/>
            </w:tcBorders>
            <w:vAlign w:val="center"/>
            <w:hideMark/>
          </w:tcPr>
          <w:p w14:paraId="0C3227EA" w14:textId="77777777" w:rsidR="004E2350" w:rsidRDefault="004E2350">
            <w:pPr>
              <w:tabs>
                <w:tab w:val="clear" w:pos="1134"/>
              </w:tabs>
              <w:jc w:val="left"/>
              <w:rPr>
                <w:color w:val="A6A6A6" w:themeColor="background1" w:themeShade="A6"/>
                <w:sz w:val="20"/>
                <w:szCs w:val="20"/>
              </w:rPr>
            </w:pPr>
          </w:p>
        </w:tc>
        <w:tc>
          <w:tcPr>
            <w:tcW w:w="1966" w:type="dxa"/>
            <w:vMerge/>
            <w:tcBorders>
              <w:top w:val="single" w:sz="4" w:space="0" w:color="auto"/>
              <w:left w:val="single" w:sz="4" w:space="0" w:color="auto"/>
              <w:bottom w:val="single" w:sz="4" w:space="0" w:color="auto"/>
              <w:right w:val="single" w:sz="4" w:space="0" w:color="auto"/>
            </w:tcBorders>
            <w:vAlign w:val="center"/>
            <w:hideMark/>
          </w:tcPr>
          <w:p w14:paraId="7B31EFB4" w14:textId="77777777" w:rsidR="004E2350" w:rsidRDefault="004E2350">
            <w:pPr>
              <w:tabs>
                <w:tab w:val="clear" w:pos="1134"/>
              </w:tabs>
              <w:jc w:val="left"/>
              <w:rPr>
                <w:color w:val="A6A6A6" w:themeColor="background1" w:themeShade="A6"/>
                <w:sz w:val="20"/>
                <w:szCs w:val="20"/>
              </w:rPr>
            </w:pPr>
          </w:p>
        </w:tc>
        <w:tc>
          <w:tcPr>
            <w:tcW w:w="2274" w:type="dxa"/>
            <w:vMerge/>
            <w:tcBorders>
              <w:top w:val="single" w:sz="4" w:space="0" w:color="auto"/>
              <w:left w:val="single" w:sz="4" w:space="0" w:color="auto"/>
              <w:bottom w:val="single" w:sz="4" w:space="0" w:color="auto"/>
              <w:right w:val="single" w:sz="4" w:space="0" w:color="auto"/>
            </w:tcBorders>
            <w:vAlign w:val="center"/>
            <w:hideMark/>
          </w:tcPr>
          <w:p w14:paraId="45C5D955" w14:textId="77777777" w:rsidR="004E2350" w:rsidRDefault="004E2350">
            <w:pPr>
              <w:tabs>
                <w:tab w:val="clear" w:pos="1134"/>
              </w:tabs>
              <w:jc w:val="left"/>
              <w:rPr>
                <w:color w:val="A6A6A6" w:themeColor="background1" w:themeShade="A6"/>
                <w:sz w:val="20"/>
                <w:szCs w:val="20"/>
                <w:lang w:val="es-ES"/>
              </w:rPr>
            </w:pPr>
          </w:p>
        </w:tc>
      </w:tr>
      <w:tr w:rsidR="004E2350" w14:paraId="1816C33D" w14:textId="77777777" w:rsidTr="004E2350">
        <w:tc>
          <w:tcPr>
            <w:tcW w:w="14176" w:type="dxa"/>
            <w:vMerge/>
            <w:tcBorders>
              <w:top w:val="single" w:sz="4" w:space="0" w:color="auto"/>
              <w:left w:val="single" w:sz="4" w:space="0" w:color="auto"/>
              <w:bottom w:val="single" w:sz="4" w:space="0" w:color="auto"/>
              <w:right w:val="single" w:sz="4" w:space="0" w:color="auto"/>
            </w:tcBorders>
            <w:vAlign w:val="center"/>
            <w:hideMark/>
          </w:tcPr>
          <w:p w14:paraId="7E5B997F" w14:textId="77777777" w:rsidR="004E2350" w:rsidRDefault="004E2350">
            <w:pPr>
              <w:tabs>
                <w:tab w:val="clear" w:pos="1134"/>
              </w:tabs>
              <w:jc w:val="left"/>
              <w:rPr>
                <w:sz w:val="20"/>
                <w:szCs w:val="20"/>
                <w:lang w:val="es-ES"/>
              </w:rPr>
            </w:pPr>
          </w:p>
        </w:tc>
        <w:tc>
          <w:tcPr>
            <w:tcW w:w="3511" w:type="dxa"/>
            <w:tcBorders>
              <w:top w:val="single" w:sz="4" w:space="0" w:color="auto"/>
              <w:left w:val="single" w:sz="4" w:space="0" w:color="auto"/>
              <w:bottom w:val="single" w:sz="4" w:space="0" w:color="auto"/>
              <w:right w:val="single" w:sz="4" w:space="0" w:color="auto"/>
            </w:tcBorders>
            <w:vAlign w:val="center"/>
            <w:hideMark/>
          </w:tcPr>
          <w:p w14:paraId="1B1CA6EF" w14:textId="77777777" w:rsidR="004E2350" w:rsidRDefault="004E2350">
            <w:pPr>
              <w:jc w:val="left"/>
              <w:rPr>
                <w:sz w:val="20"/>
                <w:szCs w:val="20"/>
                <w:lang w:val="es-ES"/>
              </w:rPr>
            </w:pPr>
            <w:r>
              <w:rPr>
                <w:sz w:val="20"/>
                <w:szCs w:val="20"/>
                <w:lang w:val="es-ES"/>
              </w:rPr>
              <w:t>2.4. Nominación/actualización de PFN relacionados con WIGOS</w:t>
            </w:r>
          </w:p>
        </w:tc>
        <w:tc>
          <w:tcPr>
            <w:tcW w:w="3334" w:type="dxa"/>
            <w:tcBorders>
              <w:top w:val="single" w:sz="4" w:space="0" w:color="auto"/>
              <w:left w:val="single" w:sz="4" w:space="0" w:color="auto"/>
              <w:bottom w:val="single" w:sz="4" w:space="0" w:color="auto"/>
              <w:right w:val="single" w:sz="4" w:space="0" w:color="auto"/>
            </w:tcBorders>
            <w:vAlign w:val="center"/>
            <w:hideMark/>
          </w:tcPr>
          <w:p w14:paraId="353CD3CD" w14:textId="77777777" w:rsidR="004E2350" w:rsidRDefault="004E2350" w:rsidP="004E2350">
            <w:pPr>
              <w:numPr>
                <w:ilvl w:val="0"/>
                <w:numId w:val="63"/>
              </w:numPr>
              <w:tabs>
                <w:tab w:val="left" w:pos="720"/>
              </w:tabs>
              <w:ind w:left="169" w:hanging="169"/>
              <w:contextualSpacing/>
              <w:jc w:val="left"/>
              <w:rPr>
                <w:sz w:val="20"/>
                <w:szCs w:val="20"/>
              </w:rPr>
            </w:pPr>
            <w:r>
              <w:rPr>
                <w:sz w:val="20"/>
                <w:szCs w:val="20"/>
              </w:rPr>
              <w:t>RA VI Members with support from the WMO Secretariat</w:t>
            </w:r>
          </w:p>
        </w:tc>
        <w:tc>
          <w:tcPr>
            <w:tcW w:w="1966" w:type="dxa"/>
            <w:tcBorders>
              <w:top w:val="single" w:sz="4" w:space="0" w:color="auto"/>
              <w:left w:val="single" w:sz="4" w:space="0" w:color="auto"/>
              <w:bottom w:val="single" w:sz="4" w:space="0" w:color="auto"/>
              <w:right w:val="single" w:sz="4" w:space="0" w:color="auto"/>
            </w:tcBorders>
            <w:vAlign w:val="center"/>
            <w:hideMark/>
          </w:tcPr>
          <w:p w14:paraId="7996230E" w14:textId="77777777" w:rsidR="004E2350" w:rsidRDefault="004E2350">
            <w:pPr>
              <w:jc w:val="left"/>
              <w:rPr>
                <w:sz w:val="20"/>
                <w:szCs w:val="20"/>
              </w:rPr>
            </w:pPr>
            <w:r>
              <w:rPr>
                <w:sz w:val="20"/>
                <w:szCs w:val="20"/>
              </w:rPr>
              <w:t>Ongoing</w:t>
            </w:r>
          </w:p>
        </w:tc>
        <w:tc>
          <w:tcPr>
            <w:tcW w:w="2274" w:type="dxa"/>
            <w:tcBorders>
              <w:top w:val="single" w:sz="4" w:space="0" w:color="auto"/>
              <w:left w:val="single" w:sz="4" w:space="0" w:color="auto"/>
              <w:bottom w:val="single" w:sz="4" w:space="0" w:color="auto"/>
              <w:right w:val="single" w:sz="4" w:space="0" w:color="auto"/>
            </w:tcBorders>
            <w:hideMark/>
          </w:tcPr>
          <w:p w14:paraId="0FCBCA26" w14:textId="77777777" w:rsidR="004E2350" w:rsidRDefault="004E2350">
            <w:pPr>
              <w:jc w:val="left"/>
              <w:rPr>
                <w:sz w:val="20"/>
                <w:szCs w:val="20"/>
              </w:rPr>
            </w:pPr>
            <w:r>
              <w:rPr>
                <w:sz w:val="20"/>
                <w:szCs w:val="20"/>
              </w:rPr>
              <w:t>Monitored by WMO Secretariat</w:t>
            </w:r>
          </w:p>
        </w:tc>
      </w:tr>
      <w:tr w:rsidR="004E2350" w:rsidRPr="004E2350" w14:paraId="79FE75EF" w14:textId="77777777" w:rsidTr="004E2350">
        <w:tc>
          <w:tcPr>
            <w:tcW w:w="14176" w:type="dxa"/>
            <w:vMerge/>
            <w:tcBorders>
              <w:top w:val="single" w:sz="4" w:space="0" w:color="auto"/>
              <w:left w:val="single" w:sz="4" w:space="0" w:color="auto"/>
              <w:bottom w:val="single" w:sz="4" w:space="0" w:color="auto"/>
              <w:right w:val="single" w:sz="4" w:space="0" w:color="auto"/>
            </w:tcBorders>
            <w:vAlign w:val="center"/>
            <w:hideMark/>
          </w:tcPr>
          <w:p w14:paraId="3C4CADD0" w14:textId="77777777" w:rsidR="004E2350" w:rsidRDefault="004E2350">
            <w:pPr>
              <w:tabs>
                <w:tab w:val="clear" w:pos="1134"/>
              </w:tabs>
              <w:jc w:val="left"/>
              <w:rPr>
                <w:sz w:val="20"/>
                <w:szCs w:val="20"/>
                <w:lang w:val="es-ES"/>
              </w:rPr>
            </w:pPr>
          </w:p>
        </w:tc>
        <w:tc>
          <w:tcPr>
            <w:tcW w:w="3511" w:type="dxa"/>
            <w:tcBorders>
              <w:top w:val="single" w:sz="4" w:space="0" w:color="auto"/>
              <w:left w:val="single" w:sz="4" w:space="0" w:color="auto"/>
              <w:bottom w:val="single" w:sz="4" w:space="0" w:color="auto"/>
              <w:right w:val="single" w:sz="4" w:space="0" w:color="auto"/>
            </w:tcBorders>
            <w:vAlign w:val="center"/>
            <w:hideMark/>
          </w:tcPr>
          <w:p w14:paraId="64B4D64F" w14:textId="77777777" w:rsidR="004E2350" w:rsidRDefault="004E2350">
            <w:pPr>
              <w:jc w:val="left"/>
              <w:rPr>
                <w:sz w:val="20"/>
                <w:szCs w:val="20"/>
                <w:lang w:val="es-ES"/>
              </w:rPr>
            </w:pPr>
            <w:r>
              <w:rPr>
                <w:sz w:val="20"/>
                <w:szCs w:val="20"/>
                <w:lang w:val="es-ES"/>
              </w:rPr>
              <w:t>2.5 Registro de WDQMS-NFP en IMS</w:t>
            </w:r>
          </w:p>
        </w:tc>
        <w:tc>
          <w:tcPr>
            <w:tcW w:w="3334" w:type="dxa"/>
            <w:tcBorders>
              <w:top w:val="single" w:sz="4" w:space="0" w:color="auto"/>
              <w:left w:val="single" w:sz="4" w:space="0" w:color="auto"/>
              <w:bottom w:val="single" w:sz="4" w:space="0" w:color="auto"/>
              <w:right w:val="single" w:sz="4" w:space="0" w:color="auto"/>
            </w:tcBorders>
            <w:vAlign w:val="center"/>
            <w:hideMark/>
          </w:tcPr>
          <w:p w14:paraId="088E7510" w14:textId="77777777" w:rsidR="004E2350" w:rsidRDefault="004E2350" w:rsidP="004E2350">
            <w:pPr>
              <w:numPr>
                <w:ilvl w:val="0"/>
                <w:numId w:val="63"/>
              </w:numPr>
              <w:tabs>
                <w:tab w:val="left" w:pos="720"/>
              </w:tabs>
              <w:ind w:left="169" w:hanging="169"/>
              <w:contextualSpacing/>
              <w:jc w:val="left"/>
              <w:rPr>
                <w:sz w:val="20"/>
                <w:szCs w:val="20"/>
              </w:rPr>
            </w:pPr>
            <w:r>
              <w:rPr>
                <w:sz w:val="20"/>
                <w:szCs w:val="20"/>
              </w:rPr>
              <w:t>WMO Secretariat</w:t>
            </w:r>
          </w:p>
        </w:tc>
        <w:tc>
          <w:tcPr>
            <w:tcW w:w="1966" w:type="dxa"/>
            <w:tcBorders>
              <w:top w:val="single" w:sz="4" w:space="0" w:color="auto"/>
              <w:left w:val="single" w:sz="4" w:space="0" w:color="auto"/>
              <w:bottom w:val="single" w:sz="4" w:space="0" w:color="auto"/>
              <w:right w:val="single" w:sz="4" w:space="0" w:color="auto"/>
            </w:tcBorders>
            <w:vAlign w:val="center"/>
            <w:hideMark/>
          </w:tcPr>
          <w:p w14:paraId="5C2D8A8D" w14:textId="77777777" w:rsidR="004E2350" w:rsidRDefault="004E2350">
            <w:pPr>
              <w:jc w:val="left"/>
              <w:rPr>
                <w:sz w:val="20"/>
                <w:szCs w:val="20"/>
              </w:rPr>
            </w:pPr>
            <w:r>
              <w:rPr>
                <w:sz w:val="20"/>
                <w:szCs w:val="20"/>
              </w:rPr>
              <w:t>Q2/Q3 2023</w:t>
            </w:r>
          </w:p>
        </w:tc>
        <w:tc>
          <w:tcPr>
            <w:tcW w:w="2274" w:type="dxa"/>
            <w:tcBorders>
              <w:top w:val="single" w:sz="4" w:space="0" w:color="auto"/>
              <w:left w:val="single" w:sz="4" w:space="0" w:color="auto"/>
              <w:bottom w:val="single" w:sz="4" w:space="0" w:color="auto"/>
              <w:right w:val="single" w:sz="4" w:space="0" w:color="auto"/>
            </w:tcBorders>
            <w:vAlign w:val="center"/>
            <w:hideMark/>
          </w:tcPr>
          <w:p w14:paraId="5A2935B6" w14:textId="77777777" w:rsidR="004E2350" w:rsidRDefault="004E2350">
            <w:pPr>
              <w:jc w:val="left"/>
              <w:rPr>
                <w:sz w:val="20"/>
                <w:szCs w:val="20"/>
                <w:lang w:val="es-ES"/>
              </w:rPr>
            </w:pPr>
            <w:r>
              <w:rPr>
                <w:sz w:val="20"/>
                <w:szCs w:val="20"/>
                <w:lang w:val="es-ES"/>
              </w:rPr>
              <w:t xml:space="preserve">Se necesitan candidaturas de los diputados; será un proceso continuo mantener </w:t>
            </w:r>
            <w:r>
              <w:rPr>
                <w:sz w:val="20"/>
                <w:szCs w:val="20"/>
                <w:lang w:val="es-ES"/>
              </w:rPr>
              <w:lastRenderedPageBreak/>
              <w:t>actualizados los WDQMS-NFP</w:t>
            </w:r>
          </w:p>
        </w:tc>
      </w:tr>
      <w:tr w:rsidR="004E2350" w14:paraId="0BB14A08" w14:textId="77777777" w:rsidTr="004E2350">
        <w:tc>
          <w:tcPr>
            <w:tcW w:w="3091" w:type="dxa"/>
            <w:vMerge w:val="restart"/>
            <w:tcBorders>
              <w:top w:val="single" w:sz="4" w:space="0" w:color="auto"/>
              <w:left w:val="single" w:sz="4" w:space="0" w:color="auto"/>
              <w:bottom w:val="single" w:sz="4" w:space="0" w:color="auto"/>
              <w:right w:val="single" w:sz="4" w:space="0" w:color="auto"/>
            </w:tcBorders>
            <w:vAlign w:val="center"/>
            <w:hideMark/>
          </w:tcPr>
          <w:p w14:paraId="31FF4477" w14:textId="77777777" w:rsidR="004E2350" w:rsidRDefault="004E2350">
            <w:pPr>
              <w:jc w:val="left"/>
              <w:rPr>
                <w:sz w:val="20"/>
                <w:szCs w:val="20"/>
              </w:rPr>
            </w:pPr>
            <w:r>
              <w:rPr>
                <w:sz w:val="20"/>
                <w:szCs w:val="20"/>
                <w:lang w:val="es-ES"/>
              </w:rPr>
              <w:lastRenderedPageBreak/>
              <w:t>3. Fase de formación</w:t>
            </w:r>
          </w:p>
        </w:tc>
        <w:tc>
          <w:tcPr>
            <w:tcW w:w="3511" w:type="dxa"/>
            <w:tcBorders>
              <w:top w:val="single" w:sz="4" w:space="0" w:color="auto"/>
              <w:left w:val="single" w:sz="4" w:space="0" w:color="auto"/>
              <w:bottom w:val="single" w:sz="4" w:space="0" w:color="auto"/>
              <w:right w:val="single" w:sz="4" w:space="0" w:color="auto"/>
            </w:tcBorders>
            <w:vAlign w:val="center"/>
            <w:hideMark/>
          </w:tcPr>
          <w:p w14:paraId="28F25FC6" w14:textId="77777777" w:rsidR="004E2350" w:rsidRDefault="004E2350">
            <w:pPr>
              <w:jc w:val="left"/>
              <w:rPr>
                <w:color w:val="C4BC96" w:themeColor="background2" w:themeShade="BF"/>
                <w:sz w:val="20"/>
                <w:szCs w:val="20"/>
                <w:lang w:val="es-ES"/>
              </w:rPr>
            </w:pPr>
            <w:r>
              <w:rPr>
                <w:sz w:val="20"/>
                <w:szCs w:val="20"/>
                <w:lang w:val="es-ES"/>
              </w:rPr>
              <w:t>3.1 Formación sobre el WDQMS y el IMS para el personal de los RWC y los WDQMS-NFP.</w:t>
            </w:r>
          </w:p>
        </w:tc>
        <w:tc>
          <w:tcPr>
            <w:tcW w:w="3334" w:type="dxa"/>
            <w:tcBorders>
              <w:top w:val="single" w:sz="4" w:space="0" w:color="auto"/>
              <w:left w:val="single" w:sz="4" w:space="0" w:color="auto"/>
              <w:bottom w:val="single" w:sz="4" w:space="0" w:color="auto"/>
              <w:right w:val="single" w:sz="4" w:space="0" w:color="auto"/>
            </w:tcBorders>
            <w:vAlign w:val="center"/>
            <w:hideMark/>
          </w:tcPr>
          <w:p w14:paraId="755100E6" w14:textId="77777777" w:rsidR="004E2350" w:rsidRDefault="004E2350" w:rsidP="004E2350">
            <w:pPr>
              <w:numPr>
                <w:ilvl w:val="0"/>
                <w:numId w:val="63"/>
              </w:numPr>
              <w:tabs>
                <w:tab w:val="left" w:pos="720"/>
              </w:tabs>
              <w:ind w:left="169" w:hanging="169"/>
              <w:contextualSpacing/>
              <w:jc w:val="left"/>
              <w:rPr>
                <w:color w:val="C4BC96" w:themeColor="background2" w:themeShade="BF"/>
                <w:sz w:val="20"/>
                <w:szCs w:val="20"/>
                <w:lang w:val="es-ES"/>
              </w:rPr>
            </w:pPr>
            <w:r>
              <w:rPr>
                <w:sz w:val="20"/>
                <w:szCs w:val="20"/>
                <w:lang w:val="es-ES"/>
              </w:rPr>
              <w:t>Secretaría de la OMM (rama WIGOS con el apoyo de la ROE)</w:t>
            </w:r>
          </w:p>
        </w:tc>
        <w:tc>
          <w:tcPr>
            <w:tcW w:w="1966" w:type="dxa"/>
            <w:tcBorders>
              <w:top w:val="single" w:sz="4" w:space="0" w:color="auto"/>
              <w:left w:val="single" w:sz="4" w:space="0" w:color="auto"/>
              <w:bottom w:val="single" w:sz="4" w:space="0" w:color="auto"/>
              <w:right w:val="single" w:sz="4" w:space="0" w:color="auto"/>
            </w:tcBorders>
            <w:vAlign w:val="center"/>
            <w:hideMark/>
          </w:tcPr>
          <w:p w14:paraId="3F9C6CD1" w14:textId="77777777" w:rsidR="004E2350" w:rsidRDefault="004E2350">
            <w:pPr>
              <w:jc w:val="left"/>
              <w:rPr>
                <w:rFonts w:eastAsia="Calibri" w:cs="Calibri"/>
                <w:color w:val="C4BC96" w:themeColor="background2" w:themeShade="BF"/>
                <w:sz w:val="20"/>
                <w:szCs w:val="20"/>
              </w:rPr>
            </w:pPr>
            <w:r>
              <w:rPr>
                <w:color w:val="C4BC96" w:themeColor="background2" w:themeShade="BF"/>
                <w:sz w:val="20"/>
                <w:szCs w:val="20"/>
              </w:rPr>
              <w:t>Q3/Q4 2023</w:t>
            </w:r>
          </w:p>
        </w:tc>
        <w:tc>
          <w:tcPr>
            <w:tcW w:w="2274" w:type="dxa"/>
            <w:tcBorders>
              <w:top w:val="single" w:sz="4" w:space="0" w:color="auto"/>
              <w:left w:val="single" w:sz="4" w:space="0" w:color="auto"/>
              <w:bottom w:val="single" w:sz="4" w:space="0" w:color="auto"/>
              <w:right w:val="single" w:sz="4" w:space="0" w:color="auto"/>
            </w:tcBorders>
            <w:vAlign w:val="center"/>
            <w:hideMark/>
          </w:tcPr>
          <w:p w14:paraId="6F07721A" w14:textId="77777777" w:rsidR="004E2350" w:rsidRDefault="004E2350">
            <w:pPr>
              <w:jc w:val="left"/>
              <w:rPr>
                <w:color w:val="C4BC96" w:themeColor="background2" w:themeShade="BF"/>
                <w:sz w:val="20"/>
                <w:szCs w:val="20"/>
              </w:rPr>
            </w:pPr>
            <w:r>
              <w:rPr>
                <w:color w:val="C4BC96" w:themeColor="background2" w:themeShade="BF"/>
                <w:sz w:val="20"/>
                <w:szCs w:val="20"/>
              </w:rPr>
              <w:t xml:space="preserve">Training workshop (hybrid) </w:t>
            </w:r>
          </w:p>
        </w:tc>
      </w:tr>
      <w:tr w:rsidR="004E2350" w:rsidRPr="004E2350" w14:paraId="7B0463DE" w14:textId="77777777" w:rsidTr="004E2350">
        <w:tc>
          <w:tcPr>
            <w:tcW w:w="14176" w:type="dxa"/>
            <w:vMerge/>
            <w:tcBorders>
              <w:top w:val="single" w:sz="4" w:space="0" w:color="auto"/>
              <w:left w:val="single" w:sz="4" w:space="0" w:color="auto"/>
              <w:bottom w:val="single" w:sz="4" w:space="0" w:color="auto"/>
              <w:right w:val="single" w:sz="4" w:space="0" w:color="auto"/>
            </w:tcBorders>
            <w:vAlign w:val="center"/>
            <w:hideMark/>
          </w:tcPr>
          <w:p w14:paraId="2B71CEAD" w14:textId="77777777" w:rsidR="004E2350" w:rsidRDefault="004E2350">
            <w:pPr>
              <w:tabs>
                <w:tab w:val="clear" w:pos="1134"/>
              </w:tabs>
              <w:jc w:val="left"/>
              <w:rPr>
                <w:sz w:val="20"/>
                <w:szCs w:val="20"/>
              </w:rPr>
            </w:pPr>
          </w:p>
        </w:tc>
        <w:tc>
          <w:tcPr>
            <w:tcW w:w="3511" w:type="dxa"/>
            <w:tcBorders>
              <w:top w:val="single" w:sz="4" w:space="0" w:color="auto"/>
              <w:left w:val="single" w:sz="4" w:space="0" w:color="auto"/>
              <w:bottom w:val="single" w:sz="4" w:space="0" w:color="auto"/>
              <w:right w:val="single" w:sz="4" w:space="0" w:color="auto"/>
            </w:tcBorders>
            <w:vAlign w:val="center"/>
            <w:hideMark/>
          </w:tcPr>
          <w:p w14:paraId="48129E69" w14:textId="77777777" w:rsidR="004E2350" w:rsidRDefault="004E2350">
            <w:pPr>
              <w:jc w:val="left"/>
              <w:rPr>
                <w:sz w:val="20"/>
                <w:szCs w:val="20"/>
              </w:rPr>
            </w:pPr>
            <w:r>
              <w:rPr>
                <w:sz w:val="20"/>
                <w:szCs w:val="20"/>
                <w:lang w:val="es-ES"/>
              </w:rPr>
              <w:t>3.2 Other capacity development activities</w:t>
            </w:r>
          </w:p>
        </w:tc>
        <w:tc>
          <w:tcPr>
            <w:tcW w:w="3334" w:type="dxa"/>
            <w:tcBorders>
              <w:top w:val="single" w:sz="4" w:space="0" w:color="auto"/>
              <w:left w:val="single" w:sz="4" w:space="0" w:color="auto"/>
              <w:bottom w:val="single" w:sz="4" w:space="0" w:color="auto"/>
              <w:right w:val="single" w:sz="4" w:space="0" w:color="auto"/>
            </w:tcBorders>
            <w:vAlign w:val="center"/>
            <w:hideMark/>
          </w:tcPr>
          <w:p w14:paraId="0D53FAA3" w14:textId="77777777" w:rsidR="004E2350" w:rsidRDefault="004E2350" w:rsidP="004E2350">
            <w:pPr>
              <w:numPr>
                <w:ilvl w:val="0"/>
                <w:numId w:val="63"/>
              </w:numPr>
              <w:tabs>
                <w:tab w:val="left" w:pos="720"/>
              </w:tabs>
              <w:ind w:left="169" w:hanging="169"/>
              <w:contextualSpacing/>
              <w:jc w:val="left"/>
              <w:rPr>
                <w:rFonts w:eastAsia="Calibri" w:cs="Calibri"/>
                <w:sz w:val="20"/>
                <w:szCs w:val="20"/>
              </w:rPr>
            </w:pPr>
            <w:r>
              <w:rPr>
                <w:sz w:val="20"/>
                <w:szCs w:val="20"/>
                <w:lang w:val="es-ES"/>
              </w:rPr>
              <w:t>PD</w:t>
            </w:r>
          </w:p>
        </w:tc>
        <w:tc>
          <w:tcPr>
            <w:tcW w:w="1966" w:type="dxa"/>
            <w:tcBorders>
              <w:top w:val="single" w:sz="4" w:space="0" w:color="auto"/>
              <w:left w:val="single" w:sz="4" w:space="0" w:color="auto"/>
              <w:bottom w:val="single" w:sz="4" w:space="0" w:color="auto"/>
              <w:right w:val="single" w:sz="4" w:space="0" w:color="auto"/>
            </w:tcBorders>
            <w:vAlign w:val="center"/>
            <w:hideMark/>
          </w:tcPr>
          <w:p w14:paraId="69C3068B" w14:textId="77777777" w:rsidR="004E2350" w:rsidRDefault="004E2350">
            <w:pPr>
              <w:jc w:val="left"/>
              <w:rPr>
                <w:sz w:val="20"/>
                <w:szCs w:val="20"/>
              </w:rPr>
            </w:pPr>
            <w:r>
              <w:rPr>
                <w:sz w:val="20"/>
                <w:szCs w:val="20"/>
                <w:lang w:val="es-ES"/>
              </w:rPr>
              <w:t>PD</w:t>
            </w:r>
          </w:p>
        </w:tc>
        <w:tc>
          <w:tcPr>
            <w:tcW w:w="2274" w:type="dxa"/>
            <w:tcBorders>
              <w:top w:val="single" w:sz="4" w:space="0" w:color="auto"/>
              <w:left w:val="single" w:sz="4" w:space="0" w:color="auto"/>
              <w:bottom w:val="single" w:sz="4" w:space="0" w:color="auto"/>
              <w:right w:val="single" w:sz="4" w:space="0" w:color="auto"/>
            </w:tcBorders>
            <w:vAlign w:val="center"/>
            <w:hideMark/>
          </w:tcPr>
          <w:p w14:paraId="79DEFFB3" w14:textId="77777777" w:rsidR="004E2350" w:rsidRDefault="004E2350">
            <w:pPr>
              <w:jc w:val="left"/>
              <w:rPr>
                <w:sz w:val="20"/>
                <w:szCs w:val="20"/>
                <w:lang w:val="es-ES"/>
              </w:rPr>
            </w:pPr>
            <w:r>
              <w:rPr>
                <w:sz w:val="20"/>
                <w:szCs w:val="20"/>
                <w:lang w:val="es-ES"/>
              </w:rPr>
              <w:t>En función de las necesidades de los diputados</w:t>
            </w:r>
          </w:p>
        </w:tc>
      </w:tr>
      <w:tr w:rsidR="004E2350" w:rsidRPr="004E2350" w14:paraId="0FD74B8E" w14:textId="77777777" w:rsidTr="004E2350">
        <w:tc>
          <w:tcPr>
            <w:tcW w:w="3091" w:type="dxa"/>
            <w:vMerge w:val="restart"/>
            <w:tcBorders>
              <w:top w:val="single" w:sz="4" w:space="0" w:color="auto"/>
              <w:left w:val="single" w:sz="4" w:space="0" w:color="auto"/>
              <w:bottom w:val="single" w:sz="4" w:space="0" w:color="auto"/>
              <w:right w:val="single" w:sz="4" w:space="0" w:color="auto"/>
            </w:tcBorders>
            <w:vAlign w:val="center"/>
            <w:hideMark/>
          </w:tcPr>
          <w:p w14:paraId="727846F0" w14:textId="77777777" w:rsidR="004E2350" w:rsidRDefault="004E2350">
            <w:pPr>
              <w:jc w:val="left"/>
              <w:rPr>
                <w:sz w:val="20"/>
                <w:szCs w:val="20"/>
                <w:lang w:val="es-ES"/>
              </w:rPr>
            </w:pPr>
            <w:r>
              <w:rPr>
                <w:sz w:val="20"/>
                <w:szCs w:val="20"/>
                <w:lang w:val="es-ES"/>
              </w:rPr>
              <w:t>4. Funcionamiento en modo piloto/Inicio de las operaciones de los CRM piloto</w:t>
            </w:r>
          </w:p>
        </w:tc>
        <w:tc>
          <w:tcPr>
            <w:tcW w:w="3511" w:type="dxa"/>
            <w:tcBorders>
              <w:top w:val="single" w:sz="4" w:space="0" w:color="auto"/>
              <w:left w:val="single" w:sz="4" w:space="0" w:color="auto"/>
              <w:bottom w:val="single" w:sz="4" w:space="0" w:color="auto"/>
              <w:right w:val="single" w:sz="4" w:space="0" w:color="auto"/>
            </w:tcBorders>
            <w:vAlign w:val="center"/>
            <w:hideMark/>
          </w:tcPr>
          <w:p w14:paraId="0B4658CE" w14:textId="77777777" w:rsidR="004E2350" w:rsidRDefault="004E2350">
            <w:pPr>
              <w:jc w:val="left"/>
              <w:rPr>
                <w:sz w:val="20"/>
                <w:szCs w:val="20"/>
                <w:lang w:val="es-ES"/>
              </w:rPr>
            </w:pPr>
            <w:r>
              <w:rPr>
                <w:sz w:val="20"/>
                <w:szCs w:val="20"/>
                <w:lang w:val="es-ES"/>
              </w:rPr>
              <w:t>4.1. Buscar "luz verde" para la puesta en marcha e informar a todos los miembros de la AR VI</w:t>
            </w:r>
          </w:p>
        </w:tc>
        <w:tc>
          <w:tcPr>
            <w:tcW w:w="3334" w:type="dxa"/>
            <w:tcBorders>
              <w:top w:val="single" w:sz="4" w:space="0" w:color="auto"/>
              <w:left w:val="single" w:sz="4" w:space="0" w:color="auto"/>
              <w:bottom w:val="single" w:sz="4" w:space="0" w:color="auto"/>
              <w:right w:val="single" w:sz="4" w:space="0" w:color="auto"/>
            </w:tcBorders>
            <w:vAlign w:val="center"/>
            <w:hideMark/>
          </w:tcPr>
          <w:p w14:paraId="24C994CE" w14:textId="77777777" w:rsidR="004E2350" w:rsidRDefault="004E2350" w:rsidP="004E2350">
            <w:pPr>
              <w:numPr>
                <w:ilvl w:val="0"/>
                <w:numId w:val="63"/>
              </w:numPr>
              <w:tabs>
                <w:tab w:val="left" w:pos="720"/>
              </w:tabs>
              <w:ind w:left="169" w:hanging="169"/>
              <w:contextualSpacing/>
              <w:jc w:val="left"/>
              <w:rPr>
                <w:sz w:val="20"/>
                <w:szCs w:val="20"/>
                <w:lang w:val="es-ES"/>
              </w:rPr>
            </w:pPr>
            <w:r>
              <w:rPr>
                <w:sz w:val="20"/>
                <w:szCs w:val="20"/>
                <w:lang w:val="es-ES"/>
              </w:rPr>
              <w:t xml:space="preserve">El WG-INF (o TT-WIGOS) informa al MG del éxito de la aplicación del plan y solicita confirmación para su puesta en marcha. </w:t>
            </w:r>
          </w:p>
        </w:tc>
        <w:tc>
          <w:tcPr>
            <w:tcW w:w="1966" w:type="dxa"/>
            <w:tcBorders>
              <w:top w:val="single" w:sz="4" w:space="0" w:color="auto"/>
              <w:left w:val="single" w:sz="4" w:space="0" w:color="auto"/>
              <w:bottom w:val="single" w:sz="4" w:space="0" w:color="auto"/>
              <w:right w:val="single" w:sz="4" w:space="0" w:color="auto"/>
            </w:tcBorders>
            <w:vAlign w:val="center"/>
            <w:hideMark/>
          </w:tcPr>
          <w:p w14:paraId="645E5EA0" w14:textId="77777777" w:rsidR="004E2350" w:rsidRDefault="004E2350">
            <w:pPr>
              <w:jc w:val="left"/>
              <w:rPr>
                <w:sz w:val="20"/>
                <w:szCs w:val="20"/>
              </w:rPr>
            </w:pPr>
            <w:r>
              <w:rPr>
                <w:sz w:val="20"/>
                <w:szCs w:val="20"/>
              </w:rPr>
              <w:t>Q4, 2023/Q1, 2024</w:t>
            </w:r>
          </w:p>
        </w:tc>
        <w:tc>
          <w:tcPr>
            <w:tcW w:w="2274" w:type="dxa"/>
            <w:tcBorders>
              <w:top w:val="single" w:sz="4" w:space="0" w:color="auto"/>
              <w:left w:val="single" w:sz="4" w:space="0" w:color="auto"/>
              <w:bottom w:val="single" w:sz="4" w:space="0" w:color="auto"/>
              <w:right w:val="single" w:sz="4" w:space="0" w:color="auto"/>
            </w:tcBorders>
            <w:hideMark/>
          </w:tcPr>
          <w:p w14:paraId="13611E62" w14:textId="77777777" w:rsidR="004E2350" w:rsidRDefault="004E2350">
            <w:pPr>
              <w:jc w:val="left"/>
              <w:rPr>
                <w:sz w:val="20"/>
                <w:szCs w:val="20"/>
                <w:lang w:val="es-ES"/>
              </w:rPr>
            </w:pPr>
            <w:r>
              <w:rPr>
                <w:sz w:val="20"/>
                <w:szCs w:val="20"/>
                <w:lang w:val="es-ES"/>
              </w:rPr>
              <w:t>Tras superar con éxito la evaluación técnica y el proceso de designación, se iniciará el funcionamiento en modo piloto; Bajo la coordinación de la Secretaría de la OMM (ROE)</w:t>
            </w:r>
          </w:p>
        </w:tc>
      </w:tr>
      <w:tr w:rsidR="004E2350" w:rsidRPr="004E2350" w14:paraId="684A304B" w14:textId="77777777" w:rsidTr="004E2350">
        <w:tc>
          <w:tcPr>
            <w:tcW w:w="14176" w:type="dxa"/>
            <w:vMerge/>
            <w:tcBorders>
              <w:top w:val="single" w:sz="4" w:space="0" w:color="auto"/>
              <w:left w:val="single" w:sz="4" w:space="0" w:color="auto"/>
              <w:bottom w:val="single" w:sz="4" w:space="0" w:color="auto"/>
              <w:right w:val="single" w:sz="4" w:space="0" w:color="auto"/>
            </w:tcBorders>
            <w:vAlign w:val="center"/>
            <w:hideMark/>
          </w:tcPr>
          <w:p w14:paraId="517A31AB" w14:textId="77777777" w:rsidR="004E2350" w:rsidRDefault="004E2350">
            <w:pPr>
              <w:tabs>
                <w:tab w:val="clear" w:pos="1134"/>
              </w:tabs>
              <w:jc w:val="left"/>
              <w:rPr>
                <w:sz w:val="20"/>
                <w:szCs w:val="20"/>
                <w:lang w:val="es-ES"/>
              </w:rPr>
            </w:pPr>
          </w:p>
        </w:tc>
        <w:tc>
          <w:tcPr>
            <w:tcW w:w="3511" w:type="dxa"/>
            <w:tcBorders>
              <w:top w:val="single" w:sz="4" w:space="0" w:color="auto"/>
              <w:left w:val="single" w:sz="4" w:space="0" w:color="auto"/>
              <w:bottom w:val="single" w:sz="4" w:space="0" w:color="auto"/>
              <w:right w:val="single" w:sz="4" w:space="0" w:color="auto"/>
            </w:tcBorders>
            <w:vAlign w:val="center"/>
            <w:hideMark/>
          </w:tcPr>
          <w:p w14:paraId="57D057F8" w14:textId="77777777" w:rsidR="004E2350" w:rsidRDefault="004E2350">
            <w:pPr>
              <w:jc w:val="left"/>
              <w:rPr>
                <w:sz w:val="20"/>
                <w:szCs w:val="20"/>
                <w:lang w:val="es-ES"/>
              </w:rPr>
            </w:pPr>
            <w:r>
              <w:rPr>
                <w:sz w:val="20"/>
                <w:szCs w:val="20"/>
                <w:lang w:val="es-ES"/>
              </w:rPr>
              <w:t>4.2. Inicio real de las operaciones de los CRM en modo piloto</w:t>
            </w:r>
          </w:p>
        </w:tc>
        <w:tc>
          <w:tcPr>
            <w:tcW w:w="3334" w:type="dxa"/>
            <w:tcBorders>
              <w:top w:val="single" w:sz="4" w:space="0" w:color="auto"/>
              <w:left w:val="single" w:sz="4" w:space="0" w:color="auto"/>
              <w:bottom w:val="single" w:sz="4" w:space="0" w:color="auto"/>
              <w:right w:val="single" w:sz="4" w:space="0" w:color="auto"/>
            </w:tcBorders>
            <w:vAlign w:val="center"/>
            <w:hideMark/>
          </w:tcPr>
          <w:p w14:paraId="6ECB9FAE" w14:textId="77777777" w:rsidR="004E2350" w:rsidRDefault="004E2350" w:rsidP="004E2350">
            <w:pPr>
              <w:numPr>
                <w:ilvl w:val="0"/>
                <w:numId w:val="63"/>
              </w:numPr>
              <w:tabs>
                <w:tab w:val="left" w:pos="720"/>
              </w:tabs>
              <w:ind w:left="169" w:hanging="169"/>
              <w:contextualSpacing/>
              <w:jc w:val="left"/>
              <w:rPr>
                <w:sz w:val="20"/>
                <w:szCs w:val="20"/>
                <w:lang w:val="es-ES"/>
              </w:rPr>
            </w:pPr>
            <w:r>
              <w:rPr>
                <w:sz w:val="20"/>
                <w:szCs w:val="20"/>
                <w:lang w:val="es-ES"/>
              </w:rPr>
              <w:t>Miembros anfitriones de las VI RWC</w:t>
            </w:r>
          </w:p>
        </w:tc>
        <w:tc>
          <w:tcPr>
            <w:tcW w:w="1966" w:type="dxa"/>
            <w:tcBorders>
              <w:top w:val="single" w:sz="4" w:space="0" w:color="auto"/>
              <w:left w:val="single" w:sz="4" w:space="0" w:color="auto"/>
              <w:bottom w:val="single" w:sz="4" w:space="0" w:color="auto"/>
              <w:right w:val="single" w:sz="4" w:space="0" w:color="auto"/>
            </w:tcBorders>
            <w:vAlign w:val="center"/>
            <w:hideMark/>
          </w:tcPr>
          <w:p w14:paraId="14B9C735" w14:textId="77777777" w:rsidR="004E2350" w:rsidRDefault="004E2350">
            <w:pPr>
              <w:jc w:val="left"/>
              <w:rPr>
                <w:sz w:val="20"/>
                <w:szCs w:val="20"/>
              </w:rPr>
            </w:pPr>
            <w:r>
              <w:rPr>
                <w:sz w:val="20"/>
                <w:szCs w:val="20"/>
              </w:rPr>
              <w:t>Q4, 2023/Q1, 2024</w:t>
            </w:r>
          </w:p>
        </w:tc>
        <w:tc>
          <w:tcPr>
            <w:tcW w:w="2274" w:type="dxa"/>
            <w:tcBorders>
              <w:top w:val="single" w:sz="4" w:space="0" w:color="auto"/>
              <w:left w:val="single" w:sz="4" w:space="0" w:color="auto"/>
              <w:bottom w:val="single" w:sz="4" w:space="0" w:color="auto"/>
              <w:right w:val="single" w:sz="4" w:space="0" w:color="auto"/>
            </w:tcBorders>
            <w:hideMark/>
          </w:tcPr>
          <w:p w14:paraId="361BEC6F" w14:textId="77777777" w:rsidR="004E2350" w:rsidRDefault="004E2350">
            <w:pPr>
              <w:jc w:val="left"/>
              <w:rPr>
                <w:sz w:val="20"/>
                <w:szCs w:val="20"/>
                <w:lang w:val="es-ES"/>
              </w:rPr>
            </w:pPr>
            <w:r>
              <w:rPr>
                <w:sz w:val="20"/>
                <w:szCs w:val="20"/>
                <w:lang w:val="es-ES"/>
              </w:rPr>
              <w:t xml:space="preserve">En colaboración con la Secretaría de la OMM </w:t>
            </w:r>
          </w:p>
        </w:tc>
      </w:tr>
      <w:tr w:rsidR="004E2350" w:rsidRPr="004E2350" w14:paraId="07E7E14F" w14:textId="77777777" w:rsidTr="004E2350">
        <w:trPr>
          <w:trHeight w:val="580"/>
        </w:trPr>
        <w:tc>
          <w:tcPr>
            <w:tcW w:w="3091" w:type="dxa"/>
            <w:vMerge w:val="restart"/>
            <w:tcBorders>
              <w:top w:val="single" w:sz="4" w:space="0" w:color="auto"/>
              <w:left w:val="single" w:sz="4" w:space="0" w:color="auto"/>
              <w:bottom w:val="single" w:sz="4" w:space="0" w:color="auto"/>
              <w:right w:val="single" w:sz="4" w:space="0" w:color="auto"/>
            </w:tcBorders>
            <w:vAlign w:val="center"/>
            <w:hideMark/>
          </w:tcPr>
          <w:p w14:paraId="012BA283" w14:textId="77777777" w:rsidR="004E2350" w:rsidRDefault="004E2350">
            <w:pPr>
              <w:jc w:val="left"/>
              <w:rPr>
                <w:sz w:val="20"/>
                <w:szCs w:val="20"/>
                <w:lang w:val="es-ES"/>
              </w:rPr>
            </w:pPr>
            <w:r>
              <w:rPr>
                <w:sz w:val="20"/>
                <w:szCs w:val="20"/>
                <w:lang w:val="es-ES"/>
              </w:rPr>
              <w:t>5. Funcionamiento en modo piloto/Desarrollar un plan de transición hacia un RWC plenamente operativo</w:t>
            </w:r>
          </w:p>
        </w:tc>
        <w:tc>
          <w:tcPr>
            <w:tcW w:w="3511" w:type="dxa"/>
            <w:tcBorders>
              <w:top w:val="single" w:sz="4" w:space="0" w:color="auto"/>
              <w:left w:val="single" w:sz="4" w:space="0" w:color="auto"/>
              <w:bottom w:val="single" w:sz="4" w:space="0" w:color="auto"/>
              <w:right w:val="single" w:sz="4" w:space="0" w:color="auto"/>
            </w:tcBorders>
            <w:vAlign w:val="center"/>
            <w:hideMark/>
          </w:tcPr>
          <w:p w14:paraId="02063956" w14:textId="77777777" w:rsidR="004E2350" w:rsidRDefault="004E2350">
            <w:pPr>
              <w:jc w:val="left"/>
              <w:rPr>
                <w:sz w:val="20"/>
                <w:szCs w:val="20"/>
                <w:lang w:val="es-ES"/>
              </w:rPr>
            </w:pPr>
            <w:r>
              <w:rPr>
                <w:sz w:val="20"/>
                <w:szCs w:val="20"/>
                <w:lang w:val="es-ES"/>
              </w:rPr>
              <w:t>5.1 Reuniones de coordinación entre los CAB</w:t>
            </w:r>
          </w:p>
        </w:tc>
        <w:tc>
          <w:tcPr>
            <w:tcW w:w="3334" w:type="dxa"/>
            <w:tcBorders>
              <w:top w:val="single" w:sz="4" w:space="0" w:color="auto"/>
              <w:left w:val="single" w:sz="4" w:space="0" w:color="auto"/>
              <w:bottom w:val="single" w:sz="4" w:space="0" w:color="auto"/>
              <w:right w:val="single" w:sz="4" w:space="0" w:color="auto"/>
            </w:tcBorders>
            <w:vAlign w:val="center"/>
            <w:hideMark/>
          </w:tcPr>
          <w:p w14:paraId="43D23F22" w14:textId="77777777" w:rsidR="004E2350" w:rsidRDefault="004E2350" w:rsidP="004E2350">
            <w:pPr>
              <w:numPr>
                <w:ilvl w:val="0"/>
                <w:numId w:val="63"/>
              </w:numPr>
              <w:tabs>
                <w:tab w:val="left" w:pos="720"/>
              </w:tabs>
              <w:ind w:left="169" w:hanging="169"/>
              <w:contextualSpacing/>
              <w:jc w:val="left"/>
              <w:rPr>
                <w:sz w:val="20"/>
                <w:szCs w:val="20"/>
                <w:lang w:val="es-ES"/>
              </w:rPr>
            </w:pPr>
            <w:r>
              <w:rPr>
                <w:sz w:val="20"/>
                <w:szCs w:val="20"/>
                <w:lang w:val="es-ES"/>
              </w:rPr>
              <w:t>Miembros anfitriones de las VI RWC con el apoyo de la Secretaría</w:t>
            </w:r>
          </w:p>
        </w:tc>
        <w:tc>
          <w:tcPr>
            <w:tcW w:w="1966" w:type="dxa"/>
            <w:tcBorders>
              <w:top w:val="single" w:sz="4" w:space="0" w:color="auto"/>
              <w:left w:val="single" w:sz="4" w:space="0" w:color="auto"/>
              <w:bottom w:val="single" w:sz="4" w:space="0" w:color="auto"/>
              <w:right w:val="single" w:sz="4" w:space="0" w:color="auto"/>
            </w:tcBorders>
            <w:vAlign w:val="center"/>
          </w:tcPr>
          <w:p w14:paraId="73CCC4BD" w14:textId="77777777" w:rsidR="004E2350" w:rsidRDefault="004E2350">
            <w:pPr>
              <w:jc w:val="left"/>
              <w:rPr>
                <w:sz w:val="20"/>
                <w:szCs w:val="20"/>
              </w:rPr>
            </w:pPr>
            <w:r>
              <w:rPr>
                <w:sz w:val="20"/>
                <w:szCs w:val="20"/>
                <w:lang w:val="es-ES"/>
              </w:rPr>
              <w:t>2024</w:t>
            </w:r>
          </w:p>
          <w:p w14:paraId="11A47FE6" w14:textId="77777777" w:rsidR="004E2350" w:rsidRDefault="004E2350">
            <w:pPr>
              <w:jc w:val="left"/>
              <w:rPr>
                <w:sz w:val="20"/>
                <w:szCs w:val="20"/>
              </w:rPr>
            </w:pPr>
          </w:p>
        </w:tc>
        <w:tc>
          <w:tcPr>
            <w:tcW w:w="2274" w:type="dxa"/>
            <w:tcBorders>
              <w:top w:val="single" w:sz="4" w:space="0" w:color="auto"/>
              <w:left w:val="single" w:sz="4" w:space="0" w:color="auto"/>
              <w:bottom w:val="single" w:sz="4" w:space="0" w:color="auto"/>
              <w:right w:val="single" w:sz="4" w:space="0" w:color="auto"/>
            </w:tcBorders>
            <w:hideMark/>
          </w:tcPr>
          <w:p w14:paraId="6ECB4A22" w14:textId="77777777" w:rsidR="004E2350" w:rsidRDefault="004E2350">
            <w:pPr>
              <w:jc w:val="left"/>
              <w:rPr>
                <w:sz w:val="20"/>
                <w:szCs w:val="20"/>
                <w:lang w:val="es-ES"/>
              </w:rPr>
            </w:pPr>
            <w:r>
              <w:rPr>
                <w:sz w:val="20"/>
                <w:szCs w:val="20"/>
                <w:lang w:val="es-ES"/>
              </w:rPr>
              <w:t>Bajo la coordinación de la Secretaría de la OMM (ROE)</w:t>
            </w:r>
          </w:p>
        </w:tc>
      </w:tr>
      <w:tr w:rsidR="004E2350" w:rsidRPr="004E2350" w14:paraId="4B4F71E0" w14:textId="77777777" w:rsidTr="004E2350">
        <w:trPr>
          <w:trHeight w:val="301"/>
        </w:trPr>
        <w:tc>
          <w:tcPr>
            <w:tcW w:w="14176" w:type="dxa"/>
            <w:vMerge/>
            <w:tcBorders>
              <w:top w:val="single" w:sz="4" w:space="0" w:color="auto"/>
              <w:left w:val="single" w:sz="4" w:space="0" w:color="auto"/>
              <w:bottom w:val="single" w:sz="4" w:space="0" w:color="auto"/>
              <w:right w:val="single" w:sz="4" w:space="0" w:color="auto"/>
            </w:tcBorders>
            <w:vAlign w:val="center"/>
            <w:hideMark/>
          </w:tcPr>
          <w:p w14:paraId="65BB36FD" w14:textId="77777777" w:rsidR="004E2350" w:rsidRDefault="004E2350">
            <w:pPr>
              <w:tabs>
                <w:tab w:val="clear" w:pos="1134"/>
              </w:tabs>
              <w:jc w:val="left"/>
              <w:rPr>
                <w:sz w:val="20"/>
                <w:szCs w:val="20"/>
                <w:lang w:val="es-ES"/>
              </w:rPr>
            </w:pPr>
          </w:p>
        </w:tc>
        <w:tc>
          <w:tcPr>
            <w:tcW w:w="3511" w:type="dxa"/>
            <w:tcBorders>
              <w:top w:val="single" w:sz="4" w:space="0" w:color="auto"/>
              <w:left w:val="single" w:sz="4" w:space="0" w:color="auto"/>
              <w:bottom w:val="single" w:sz="4" w:space="0" w:color="auto"/>
              <w:right w:val="single" w:sz="4" w:space="0" w:color="auto"/>
            </w:tcBorders>
            <w:vAlign w:val="center"/>
            <w:hideMark/>
          </w:tcPr>
          <w:p w14:paraId="5A3976F4" w14:textId="77777777" w:rsidR="004E2350" w:rsidRDefault="004E2350">
            <w:pPr>
              <w:jc w:val="left"/>
              <w:rPr>
                <w:sz w:val="20"/>
                <w:szCs w:val="20"/>
              </w:rPr>
            </w:pPr>
            <w:r>
              <w:rPr>
                <w:sz w:val="20"/>
                <w:szCs w:val="20"/>
                <w:lang w:val="es-ES"/>
              </w:rPr>
              <w:t>5.2. Elaborar informes periódicos</w:t>
            </w:r>
          </w:p>
        </w:tc>
        <w:tc>
          <w:tcPr>
            <w:tcW w:w="3334" w:type="dxa"/>
            <w:tcBorders>
              <w:top w:val="single" w:sz="4" w:space="0" w:color="auto"/>
              <w:left w:val="single" w:sz="4" w:space="0" w:color="auto"/>
              <w:bottom w:val="single" w:sz="4" w:space="0" w:color="auto"/>
              <w:right w:val="single" w:sz="4" w:space="0" w:color="auto"/>
            </w:tcBorders>
            <w:vAlign w:val="center"/>
            <w:hideMark/>
          </w:tcPr>
          <w:p w14:paraId="69954FD2" w14:textId="77777777" w:rsidR="004E2350" w:rsidRDefault="004E2350" w:rsidP="004E2350">
            <w:pPr>
              <w:numPr>
                <w:ilvl w:val="0"/>
                <w:numId w:val="63"/>
              </w:numPr>
              <w:tabs>
                <w:tab w:val="left" w:pos="720"/>
              </w:tabs>
              <w:ind w:left="169" w:hanging="169"/>
              <w:contextualSpacing/>
              <w:jc w:val="left"/>
              <w:rPr>
                <w:sz w:val="20"/>
                <w:szCs w:val="20"/>
              </w:rPr>
            </w:pPr>
            <w:r>
              <w:rPr>
                <w:sz w:val="20"/>
                <w:szCs w:val="20"/>
              </w:rPr>
              <w:t xml:space="preserve">RWCs </w:t>
            </w:r>
          </w:p>
        </w:tc>
        <w:tc>
          <w:tcPr>
            <w:tcW w:w="1966" w:type="dxa"/>
            <w:tcBorders>
              <w:top w:val="single" w:sz="4" w:space="0" w:color="auto"/>
              <w:left w:val="single" w:sz="4" w:space="0" w:color="auto"/>
              <w:bottom w:val="single" w:sz="4" w:space="0" w:color="auto"/>
              <w:right w:val="single" w:sz="4" w:space="0" w:color="auto"/>
            </w:tcBorders>
            <w:vAlign w:val="center"/>
            <w:hideMark/>
          </w:tcPr>
          <w:p w14:paraId="20241BAF" w14:textId="77777777" w:rsidR="004E2350" w:rsidRDefault="004E2350">
            <w:pPr>
              <w:jc w:val="left"/>
              <w:rPr>
                <w:sz w:val="20"/>
                <w:szCs w:val="20"/>
              </w:rPr>
            </w:pPr>
            <w:r>
              <w:rPr>
                <w:sz w:val="20"/>
                <w:szCs w:val="20"/>
                <w:lang w:val="es-ES"/>
              </w:rPr>
              <w:t>2024</w:t>
            </w:r>
          </w:p>
        </w:tc>
        <w:tc>
          <w:tcPr>
            <w:tcW w:w="2274" w:type="dxa"/>
            <w:tcBorders>
              <w:top w:val="single" w:sz="4" w:space="0" w:color="auto"/>
              <w:left w:val="single" w:sz="4" w:space="0" w:color="auto"/>
              <w:bottom w:val="single" w:sz="4" w:space="0" w:color="auto"/>
              <w:right w:val="single" w:sz="4" w:space="0" w:color="auto"/>
            </w:tcBorders>
            <w:vAlign w:val="center"/>
            <w:hideMark/>
          </w:tcPr>
          <w:p w14:paraId="2446CDBC" w14:textId="77777777" w:rsidR="004E2350" w:rsidRDefault="004E2350">
            <w:pPr>
              <w:jc w:val="left"/>
              <w:rPr>
                <w:sz w:val="20"/>
                <w:szCs w:val="20"/>
                <w:lang w:val="es-ES"/>
              </w:rPr>
            </w:pPr>
            <w:r>
              <w:rPr>
                <w:sz w:val="20"/>
                <w:szCs w:val="20"/>
                <w:lang w:val="es-ES"/>
              </w:rPr>
              <w:t>A RA VI MG y a la Secretaría de la OMM</w:t>
            </w:r>
          </w:p>
        </w:tc>
      </w:tr>
      <w:tr w:rsidR="004E2350" w:rsidRPr="004E2350" w14:paraId="63FF7137" w14:textId="77777777" w:rsidTr="004E2350">
        <w:trPr>
          <w:trHeight w:val="301"/>
        </w:trPr>
        <w:tc>
          <w:tcPr>
            <w:tcW w:w="14176" w:type="dxa"/>
            <w:vMerge/>
            <w:tcBorders>
              <w:top w:val="single" w:sz="4" w:space="0" w:color="auto"/>
              <w:left w:val="single" w:sz="4" w:space="0" w:color="auto"/>
              <w:bottom w:val="single" w:sz="4" w:space="0" w:color="auto"/>
              <w:right w:val="single" w:sz="4" w:space="0" w:color="auto"/>
            </w:tcBorders>
            <w:vAlign w:val="center"/>
            <w:hideMark/>
          </w:tcPr>
          <w:p w14:paraId="41D06A47" w14:textId="77777777" w:rsidR="004E2350" w:rsidRDefault="004E2350">
            <w:pPr>
              <w:tabs>
                <w:tab w:val="clear" w:pos="1134"/>
              </w:tabs>
              <w:jc w:val="left"/>
              <w:rPr>
                <w:sz w:val="20"/>
                <w:szCs w:val="20"/>
                <w:lang w:val="es-ES"/>
              </w:rPr>
            </w:pPr>
          </w:p>
        </w:tc>
        <w:tc>
          <w:tcPr>
            <w:tcW w:w="3511" w:type="dxa"/>
            <w:tcBorders>
              <w:top w:val="single" w:sz="4" w:space="0" w:color="auto"/>
              <w:left w:val="single" w:sz="4" w:space="0" w:color="auto"/>
              <w:bottom w:val="single" w:sz="4" w:space="0" w:color="auto"/>
              <w:right w:val="single" w:sz="4" w:space="0" w:color="auto"/>
            </w:tcBorders>
            <w:vAlign w:val="center"/>
            <w:hideMark/>
          </w:tcPr>
          <w:p w14:paraId="7389FFB4" w14:textId="77777777" w:rsidR="004E2350" w:rsidRDefault="004E2350">
            <w:pPr>
              <w:jc w:val="left"/>
              <w:rPr>
                <w:sz w:val="20"/>
                <w:szCs w:val="20"/>
                <w:lang w:val="es-ES"/>
              </w:rPr>
            </w:pPr>
            <w:r>
              <w:rPr>
                <w:sz w:val="20"/>
                <w:szCs w:val="20"/>
                <w:lang w:val="es-ES"/>
              </w:rPr>
              <w:t xml:space="preserve">5.3. Desarrollo del plan de transición, incluida la auditoría </w:t>
            </w:r>
          </w:p>
        </w:tc>
        <w:tc>
          <w:tcPr>
            <w:tcW w:w="3334" w:type="dxa"/>
            <w:tcBorders>
              <w:top w:val="single" w:sz="4" w:space="0" w:color="auto"/>
              <w:left w:val="single" w:sz="4" w:space="0" w:color="auto"/>
              <w:bottom w:val="single" w:sz="4" w:space="0" w:color="auto"/>
              <w:right w:val="single" w:sz="4" w:space="0" w:color="auto"/>
            </w:tcBorders>
            <w:vAlign w:val="center"/>
            <w:hideMark/>
          </w:tcPr>
          <w:p w14:paraId="10239B66" w14:textId="77777777" w:rsidR="004E2350" w:rsidRDefault="004E2350" w:rsidP="004E2350">
            <w:pPr>
              <w:numPr>
                <w:ilvl w:val="0"/>
                <w:numId w:val="63"/>
              </w:numPr>
              <w:tabs>
                <w:tab w:val="left" w:pos="720"/>
              </w:tabs>
              <w:ind w:left="169" w:hanging="169"/>
              <w:contextualSpacing/>
              <w:jc w:val="left"/>
              <w:rPr>
                <w:sz w:val="20"/>
                <w:szCs w:val="20"/>
              </w:rPr>
            </w:pPr>
            <w:r>
              <w:rPr>
                <w:sz w:val="20"/>
                <w:szCs w:val="20"/>
              </w:rPr>
              <w:t>RWCs</w:t>
            </w:r>
          </w:p>
        </w:tc>
        <w:tc>
          <w:tcPr>
            <w:tcW w:w="1966" w:type="dxa"/>
            <w:tcBorders>
              <w:top w:val="single" w:sz="4" w:space="0" w:color="auto"/>
              <w:left w:val="single" w:sz="4" w:space="0" w:color="auto"/>
              <w:bottom w:val="single" w:sz="4" w:space="0" w:color="auto"/>
              <w:right w:val="single" w:sz="4" w:space="0" w:color="auto"/>
            </w:tcBorders>
            <w:vAlign w:val="center"/>
            <w:hideMark/>
          </w:tcPr>
          <w:p w14:paraId="410D4709" w14:textId="77777777" w:rsidR="004E2350" w:rsidRDefault="004E2350">
            <w:pPr>
              <w:jc w:val="left"/>
              <w:rPr>
                <w:sz w:val="20"/>
                <w:szCs w:val="20"/>
              </w:rPr>
            </w:pPr>
            <w:r>
              <w:rPr>
                <w:sz w:val="20"/>
                <w:szCs w:val="20"/>
              </w:rPr>
              <w:t>Q1/Q2 2025</w:t>
            </w:r>
          </w:p>
        </w:tc>
        <w:tc>
          <w:tcPr>
            <w:tcW w:w="2274" w:type="dxa"/>
            <w:tcBorders>
              <w:top w:val="single" w:sz="4" w:space="0" w:color="auto"/>
              <w:left w:val="single" w:sz="4" w:space="0" w:color="auto"/>
              <w:bottom w:val="single" w:sz="4" w:space="0" w:color="auto"/>
              <w:right w:val="single" w:sz="4" w:space="0" w:color="auto"/>
            </w:tcBorders>
            <w:vAlign w:val="center"/>
            <w:hideMark/>
          </w:tcPr>
          <w:p w14:paraId="356AF9D7" w14:textId="77777777" w:rsidR="004E2350" w:rsidRDefault="004E2350">
            <w:pPr>
              <w:jc w:val="left"/>
              <w:rPr>
                <w:sz w:val="20"/>
                <w:szCs w:val="20"/>
                <w:lang w:val="es-ES"/>
              </w:rPr>
            </w:pPr>
            <w:r>
              <w:rPr>
                <w:sz w:val="20"/>
                <w:szCs w:val="20"/>
                <w:lang w:val="es-ES"/>
              </w:rPr>
              <w:t xml:space="preserve">En colaboración con la Secretaría de la OMM </w:t>
            </w:r>
          </w:p>
        </w:tc>
      </w:tr>
    </w:tbl>
    <w:p w14:paraId="59A72917" w14:textId="77777777" w:rsidR="004E2350" w:rsidRDefault="004E2350" w:rsidP="004E2350">
      <w:pPr>
        <w:rPr>
          <w:rFonts w:eastAsia="Calibri" w:cs="Times New Roman"/>
          <w:b/>
          <w:bCs/>
          <w:lang w:val="es-ES"/>
        </w:rPr>
      </w:pPr>
    </w:p>
    <w:p w14:paraId="26635A33" w14:textId="77777777" w:rsidR="001A25F0" w:rsidRPr="004E2350" w:rsidRDefault="001A25F0" w:rsidP="004E2350">
      <w:pPr>
        <w:pStyle w:val="WMOBodyText"/>
        <w:ind w:left="3969" w:hanging="3969"/>
        <w:rPr>
          <w:lang w:val="es-ES"/>
        </w:rPr>
      </w:pPr>
    </w:p>
    <w:sectPr w:rsidR="001A25F0" w:rsidRPr="004E2350" w:rsidSect="004E2350">
      <w:headerReference w:type="default" r:id="rId34"/>
      <w:pgSz w:w="16840" w:h="11907" w:orient="landscape"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C2244" w14:textId="77777777" w:rsidR="00413E2A" w:rsidRDefault="00413E2A">
      <w:r>
        <w:separator/>
      </w:r>
    </w:p>
    <w:p w14:paraId="372B34D0" w14:textId="77777777" w:rsidR="00413E2A" w:rsidRDefault="00413E2A"/>
    <w:p w14:paraId="0F95EC8D" w14:textId="77777777" w:rsidR="00413E2A" w:rsidRDefault="00413E2A"/>
  </w:endnote>
  <w:endnote w:type="continuationSeparator" w:id="0">
    <w:p w14:paraId="7E403926" w14:textId="77777777" w:rsidR="00413E2A" w:rsidRDefault="00413E2A">
      <w:r>
        <w:continuationSeparator/>
      </w:r>
    </w:p>
    <w:p w14:paraId="00DD6B22" w14:textId="77777777" w:rsidR="00413E2A" w:rsidRDefault="00413E2A"/>
    <w:p w14:paraId="4963A26F" w14:textId="77777777" w:rsidR="00413E2A" w:rsidRDefault="00413E2A"/>
  </w:endnote>
  <w:endnote w:type="continuationNotice" w:id="1">
    <w:p w14:paraId="6391E909" w14:textId="77777777" w:rsidR="00413E2A" w:rsidRDefault="00413E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919B0" w14:textId="77777777" w:rsidR="00413E2A" w:rsidRDefault="00413E2A">
      <w:r>
        <w:separator/>
      </w:r>
    </w:p>
  </w:footnote>
  <w:footnote w:type="continuationSeparator" w:id="0">
    <w:p w14:paraId="5C7FBFDB" w14:textId="77777777" w:rsidR="00413E2A" w:rsidRDefault="00413E2A">
      <w:r>
        <w:continuationSeparator/>
      </w:r>
    </w:p>
    <w:p w14:paraId="2BF02028" w14:textId="77777777" w:rsidR="00413E2A" w:rsidRDefault="00413E2A"/>
    <w:p w14:paraId="360E7214" w14:textId="77777777" w:rsidR="00413E2A" w:rsidRDefault="00413E2A"/>
  </w:footnote>
  <w:footnote w:type="continuationNotice" w:id="1">
    <w:p w14:paraId="70D573A5" w14:textId="77777777" w:rsidR="00413E2A" w:rsidRDefault="00413E2A"/>
  </w:footnote>
  <w:footnote w:id="2">
    <w:p w14:paraId="7CE03696" w14:textId="77777777" w:rsidR="004E2350" w:rsidRDefault="004E2350" w:rsidP="004E2350">
      <w:pPr>
        <w:pStyle w:val="FootnoteText"/>
        <w:rPr>
          <w:lang w:val="es-ES"/>
        </w:rPr>
      </w:pPr>
      <w:r>
        <w:rPr>
          <w:rStyle w:val="FootnoteReference"/>
          <w:lang w:val="es-ES"/>
        </w:rPr>
        <w:footnoteRef/>
      </w:r>
      <w:r>
        <w:rPr>
          <w:lang w:val="es-ES"/>
        </w:rPr>
        <w:t xml:space="preserve"> El programa EUCOS es gestionado actualmente por la Met Office del Reino Unido a partir de marzo de 2023.</w:t>
      </w:r>
    </w:p>
  </w:footnote>
  <w:footnote w:id="3">
    <w:p w14:paraId="409B1386" w14:textId="77777777" w:rsidR="004E2350" w:rsidRDefault="004E2350" w:rsidP="004E2350">
      <w:pPr>
        <w:pStyle w:val="FootnoteText"/>
        <w:spacing w:before="0"/>
        <w:rPr>
          <w:lang w:val="es-ES"/>
        </w:rPr>
      </w:pPr>
      <w:r>
        <w:rPr>
          <w:rStyle w:val="FootnoteReference"/>
          <w:lang w:val="es-ES"/>
        </w:rPr>
        <w:footnoteRef/>
      </w:r>
      <w:r>
        <w:rPr>
          <w:lang w:val="es-ES"/>
        </w:rPr>
        <w:t xml:space="preserve"> La versión anterior de la Guía de WIGOS está disponible en el enlace por ahora. La versión actualizada aprobada por EC-76 que se utiliza como referencia para este documento conceptual estará disponible en este enlace en breve.</w:t>
      </w:r>
    </w:p>
  </w:footnote>
  <w:footnote w:id="4">
    <w:p w14:paraId="1848DF69" w14:textId="77777777" w:rsidR="004E2350" w:rsidRDefault="004E2350" w:rsidP="004E2350">
      <w:pPr>
        <w:pStyle w:val="FootnoteText"/>
        <w:spacing w:before="0"/>
        <w:rPr>
          <w:lang w:val="es-ES"/>
        </w:rPr>
      </w:pPr>
      <w:r>
        <w:rPr>
          <w:rStyle w:val="FootnoteReference"/>
          <w:lang w:val="es-ES"/>
        </w:rPr>
        <w:footnoteRef/>
      </w:r>
      <w:r>
        <w:rPr>
          <w:lang w:val="es-ES"/>
        </w:rPr>
        <w:t xml:space="preserve"> En la fase actual hay cuatro centros mundiales de NWP que proporcionan resultados de vigilancia de la calidad como WQMC: </w:t>
      </w:r>
    </w:p>
    <w:p w14:paraId="3EAF8FEB" w14:textId="77777777" w:rsidR="004E2350" w:rsidRDefault="004E2350" w:rsidP="004E2350">
      <w:pPr>
        <w:numPr>
          <w:ilvl w:val="0"/>
          <w:numId w:val="64"/>
        </w:numPr>
        <w:tabs>
          <w:tab w:val="left" w:pos="720"/>
        </w:tabs>
        <w:jc w:val="left"/>
        <w:rPr>
          <w:sz w:val="18"/>
          <w:szCs w:val="18"/>
        </w:rPr>
      </w:pPr>
      <w:r>
        <w:rPr>
          <w:sz w:val="18"/>
          <w:szCs w:val="18"/>
        </w:rPr>
        <w:t>The European Centre for Medium-Range Weather Forecasts (ECMWF)</w:t>
      </w:r>
    </w:p>
    <w:p w14:paraId="7030FCDD" w14:textId="77777777" w:rsidR="004E2350" w:rsidRDefault="004E2350" w:rsidP="004E2350">
      <w:pPr>
        <w:numPr>
          <w:ilvl w:val="0"/>
          <w:numId w:val="64"/>
        </w:numPr>
        <w:tabs>
          <w:tab w:val="left" w:pos="720"/>
        </w:tabs>
        <w:jc w:val="left"/>
        <w:rPr>
          <w:sz w:val="18"/>
          <w:szCs w:val="18"/>
          <w:lang w:val="es-ES"/>
        </w:rPr>
      </w:pPr>
      <w:r>
        <w:rPr>
          <w:lang w:val="es-ES"/>
        </w:rPr>
        <w:t>Servicio Meteorológico Alemán (Deutscher Wetterdienst) (DWD)</w:t>
      </w:r>
    </w:p>
    <w:p w14:paraId="2261A9F7" w14:textId="77777777" w:rsidR="004E2350" w:rsidRDefault="004E2350" w:rsidP="004E2350">
      <w:pPr>
        <w:numPr>
          <w:ilvl w:val="0"/>
          <w:numId w:val="64"/>
        </w:numPr>
        <w:tabs>
          <w:tab w:val="left" w:pos="720"/>
        </w:tabs>
        <w:jc w:val="left"/>
        <w:rPr>
          <w:sz w:val="18"/>
          <w:szCs w:val="18"/>
        </w:rPr>
      </w:pPr>
      <w:r>
        <w:rPr>
          <w:sz w:val="18"/>
          <w:szCs w:val="18"/>
        </w:rPr>
        <w:t>The Japan Meteorological Agency (JMA)</w:t>
      </w:r>
    </w:p>
    <w:p w14:paraId="17C22FFD" w14:textId="77777777" w:rsidR="004E2350" w:rsidRDefault="004E2350" w:rsidP="004E2350">
      <w:pPr>
        <w:numPr>
          <w:ilvl w:val="0"/>
          <w:numId w:val="64"/>
        </w:numPr>
        <w:tabs>
          <w:tab w:val="left" w:pos="720"/>
        </w:tabs>
        <w:jc w:val="left"/>
        <w:rPr>
          <w:sz w:val="18"/>
          <w:szCs w:val="18"/>
        </w:rPr>
      </w:pPr>
      <w:r>
        <w:rPr>
          <w:sz w:val="18"/>
          <w:szCs w:val="18"/>
        </w:rPr>
        <w:t>The US National Centres for Environmental Prediction (NCEP).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EB4BC" w14:textId="77777777" w:rsidR="003143C9" w:rsidRPr="00472D8C" w:rsidRDefault="00FC2996" w:rsidP="00B72444">
    <w:pPr>
      <w:pStyle w:val="Header"/>
      <w:rPr>
        <w:sz w:val="18"/>
        <w:szCs w:val="18"/>
        <w:lang w:val="it-IT"/>
      </w:rPr>
    </w:pPr>
    <w:r w:rsidRPr="003D423B">
      <w:rPr>
        <w:sz w:val="18"/>
        <w:szCs w:val="18"/>
        <w:lang w:val="it-IT"/>
      </w:rPr>
      <w:t>A</w:t>
    </w:r>
    <w:r w:rsidR="0069167A">
      <w:rPr>
        <w:sz w:val="18"/>
        <w:szCs w:val="18"/>
        <w:lang w:val="it-IT"/>
      </w:rPr>
      <w:t>R</w:t>
    </w:r>
    <w:r w:rsidRPr="003D423B">
      <w:rPr>
        <w:sz w:val="18"/>
        <w:szCs w:val="18"/>
        <w:lang w:val="it-IT"/>
      </w:rPr>
      <w:t xml:space="preserve"> </w:t>
    </w:r>
    <w:r w:rsidR="0069167A">
      <w:rPr>
        <w:sz w:val="18"/>
        <w:szCs w:val="18"/>
        <w:lang w:val="it-IT"/>
      </w:rPr>
      <w:t>V</w:t>
    </w:r>
    <w:r w:rsidRPr="003D423B">
      <w:rPr>
        <w:sz w:val="18"/>
        <w:szCs w:val="18"/>
        <w:lang w:val="it-IT"/>
      </w:rPr>
      <w:t>I-1</w:t>
    </w:r>
    <w:r w:rsidR="00EA6A2D" w:rsidRPr="003D423B">
      <w:rPr>
        <w:sz w:val="18"/>
        <w:szCs w:val="18"/>
        <w:lang w:val="it-IT"/>
      </w:rPr>
      <w:t>9(I)</w:t>
    </w:r>
    <w:r w:rsidRPr="003D423B">
      <w:rPr>
        <w:sz w:val="18"/>
        <w:szCs w:val="18"/>
        <w:lang w:val="it-IT"/>
      </w:rPr>
      <w:t xml:space="preserve">/Doc. </w:t>
    </w:r>
    <w:r w:rsidR="00595ED4" w:rsidRPr="008C11BE">
      <w:rPr>
        <w:sz w:val="18"/>
        <w:szCs w:val="18"/>
        <w:lang w:val="it-IT"/>
      </w:rPr>
      <w:t>XX</w:t>
    </w:r>
    <w:r w:rsidR="003143C9" w:rsidRPr="003D423B">
      <w:rPr>
        <w:sz w:val="18"/>
        <w:szCs w:val="18"/>
        <w:lang w:val="it-IT"/>
      </w:rPr>
      <w:t xml:space="preserve">, </w:t>
    </w:r>
    <w:r w:rsidR="00595ED4" w:rsidRPr="008C11BE">
      <w:rPr>
        <w:sz w:val="18"/>
        <w:szCs w:val="18"/>
        <w:lang w:val="it-IT"/>
      </w:rPr>
      <w:t>VERSI</w:t>
    </w:r>
    <w:r w:rsidR="00472D8C">
      <w:rPr>
        <w:sz w:val="18"/>
        <w:szCs w:val="18"/>
        <w:lang w:val="it-IT"/>
      </w:rPr>
      <w:t>Ó</w:t>
    </w:r>
    <w:r w:rsidR="00595ED4" w:rsidRPr="008C11BE">
      <w:rPr>
        <w:sz w:val="18"/>
        <w:szCs w:val="18"/>
        <w:lang w:val="it-IT"/>
      </w:rPr>
      <w:t>N</w:t>
    </w:r>
    <w:r w:rsidR="003143C9" w:rsidRPr="003D423B">
      <w:rPr>
        <w:sz w:val="18"/>
        <w:szCs w:val="18"/>
        <w:lang w:val="it-IT"/>
      </w:rPr>
      <w:t xml:space="preserve"> 1, p. </w:t>
    </w:r>
    <w:r w:rsidR="003143C9" w:rsidRPr="00595ED4">
      <w:rPr>
        <w:rStyle w:val="PageNumber"/>
        <w:sz w:val="18"/>
        <w:szCs w:val="18"/>
      </w:rPr>
      <w:fldChar w:fldCharType="begin"/>
    </w:r>
    <w:r w:rsidR="003143C9" w:rsidRPr="003D423B">
      <w:rPr>
        <w:rStyle w:val="PageNumber"/>
        <w:sz w:val="18"/>
        <w:szCs w:val="18"/>
        <w:lang w:val="it-IT"/>
      </w:rPr>
      <w:instrText xml:space="preserve"> PAGE </w:instrText>
    </w:r>
    <w:r w:rsidR="003143C9" w:rsidRPr="00595ED4">
      <w:rPr>
        <w:rStyle w:val="PageNumber"/>
        <w:sz w:val="18"/>
        <w:szCs w:val="18"/>
      </w:rPr>
      <w:fldChar w:fldCharType="separate"/>
    </w:r>
    <w:r w:rsidR="003143C9" w:rsidRPr="00472D8C">
      <w:rPr>
        <w:rStyle w:val="PageNumber"/>
        <w:noProof/>
        <w:sz w:val="18"/>
        <w:szCs w:val="18"/>
        <w:lang w:val="it-IT"/>
      </w:rPr>
      <w:t>6</w:t>
    </w:r>
    <w:r w:rsidR="003143C9" w:rsidRPr="00595ED4">
      <w:rPr>
        <w:rStyle w:val="PageNumber"/>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5CA92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6D4119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95C74E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91A8EE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5AEDC3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1228F6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D44C2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450A7A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8C459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D2E6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B4D94"/>
    <w:multiLevelType w:val="hybridMultilevel"/>
    <w:tmpl w:val="7C124602"/>
    <w:lvl w:ilvl="0" w:tplc="B38A5EA0">
      <w:start w:val="2"/>
      <w:numFmt w:val="bullet"/>
      <w:lvlText w:val="-"/>
      <w:lvlJc w:val="left"/>
      <w:pPr>
        <w:tabs>
          <w:tab w:val="num" w:pos="2271"/>
        </w:tabs>
        <w:ind w:left="2271" w:hanging="570"/>
      </w:pPr>
      <w:rPr>
        <w:rFonts w:ascii="Arial" w:eastAsia="Arial" w:hAnsi="Arial" w:cs="Arial" w:hint="default"/>
      </w:rPr>
    </w:lvl>
    <w:lvl w:ilvl="1" w:tplc="04190003" w:tentative="1">
      <w:start w:val="1"/>
      <w:numFmt w:val="bullet"/>
      <w:lvlText w:val="o"/>
      <w:lvlJc w:val="left"/>
      <w:pPr>
        <w:tabs>
          <w:tab w:val="num" w:pos="2781"/>
        </w:tabs>
        <w:ind w:left="2781" w:hanging="360"/>
      </w:pPr>
      <w:rPr>
        <w:rFonts w:ascii="Courier New" w:hAnsi="Courier New" w:cs="MS Mincho" w:hint="default"/>
      </w:rPr>
    </w:lvl>
    <w:lvl w:ilvl="2" w:tplc="04190005" w:tentative="1">
      <w:start w:val="1"/>
      <w:numFmt w:val="bullet"/>
      <w:lvlText w:val=""/>
      <w:lvlJc w:val="left"/>
      <w:pPr>
        <w:tabs>
          <w:tab w:val="num" w:pos="3501"/>
        </w:tabs>
        <w:ind w:left="3501" w:hanging="360"/>
      </w:pPr>
      <w:rPr>
        <w:rFonts w:ascii="Wingdings" w:hAnsi="Wingdings" w:hint="default"/>
      </w:rPr>
    </w:lvl>
    <w:lvl w:ilvl="3" w:tplc="04190001" w:tentative="1">
      <w:start w:val="1"/>
      <w:numFmt w:val="bullet"/>
      <w:lvlText w:val=""/>
      <w:lvlJc w:val="left"/>
      <w:pPr>
        <w:tabs>
          <w:tab w:val="num" w:pos="4221"/>
        </w:tabs>
        <w:ind w:left="4221" w:hanging="360"/>
      </w:pPr>
      <w:rPr>
        <w:rFonts w:ascii="Symbol" w:hAnsi="Symbol" w:hint="default"/>
      </w:rPr>
    </w:lvl>
    <w:lvl w:ilvl="4" w:tplc="04190003" w:tentative="1">
      <w:start w:val="1"/>
      <w:numFmt w:val="bullet"/>
      <w:lvlText w:val="o"/>
      <w:lvlJc w:val="left"/>
      <w:pPr>
        <w:tabs>
          <w:tab w:val="num" w:pos="4941"/>
        </w:tabs>
        <w:ind w:left="4941" w:hanging="360"/>
      </w:pPr>
      <w:rPr>
        <w:rFonts w:ascii="Courier New" w:hAnsi="Courier New" w:cs="MS Mincho" w:hint="default"/>
      </w:rPr>
    </w:lvl>
    <w:lvl w:ilvl="5" w:tplc="04190005" w:tentative="1">
      <w:start w:val="1"/>
      <w:numFmt w:val="bullet"/>
      <w:lvlText w:val=""/>
      <w:lvlJc w:val="left"/>
      <w:pPr>
        <w:tabs>
          <w:tab w:val="num" w:pos="5661"/>
        </w:tabs>
        <w:ind w:left="5661" w:hanging="360"/>
      </w:pPr>
      <w:rPr>
        <w:rFonts w:ascii="Wingdings" w:hAnsi="Wingdings" w:hint="default"/>
      </w:rPr>
    </w:lvl>
    <w:lvl w:ilvl="6" w:tplc="04190001" w:tentative="1">
      <w:start w:val="1"/>
      <w:numFmt w:val="bullet"/>
      <w:lvlText w:val=""/>
      <w:lvlJc w:val="left"/>
      <w:pPr>
        <w:tabs>
          <w:tab w:val="num" w:pos="6381"/>
        </w:tabs>
        <w:ind w:left="6381" w:hanging="360"/>
      </w:pPr>
      <w:rPr>
        <w:rFonts w:ascii="Symbol" w:hAnsi="Symbol" w:hint="default"/>
      </w:rPr>
    </w:lvl>
    <w:lvl w:ilvl="7" w:tplc="04190003" w:tentative="1">
      <w:start w:val="1"/>
      <w:numFmt w:val="bullet"/>
      <w:lvlText w:val="o"/>
      <w:lvlJc w:val="left"/>
      <w:pPr>
        <w:tabs>
          <w:tab w:val="num" w:pos="7101"/>
        </w:tabs>
        <w:ind w:left="7101" w:hanging="360"/>
      </w:pPr>
      <w:rPr>
        <w:rFonts w:ascii="Courier New" w:hAnsi="Courier New" w:cs="MS Mincho" w:hint="default"/>
      </w:rPr>
    </w:lvl>
    <w:lvl w:ilvl="8" w:tplc="04190005" w:tentative="1">
      <w:start w:val="1"/>
      <w:numFmt w:val="bullet"/>
      <w:lvlText w:val=""/>
      <w:lvlJc w:val="left"/>
      <w:pPr>
        <w:tabs>
          <w:tab w:val="num" w:pos="7821"/>
        </w:tabs>
        <w:ind w:left="7821" w:hanging="360"/>
      </w:pPr>
      <w:rPr>
        <w:rFonts w:ascii="Wingdings" w:hAnsi="Wingdings" w:hint="default"/>
      </w:rPr>
    </w:lvl>
  </w:abstractNum>
  <w:abstractNum w:abstractNumId="11" w15:restartNumberingAfterBreak="0">
    <w:nsid w:val="036A2A9A"/>
    <w:multiLevelType w:val="hybridMultilevel"/>
    <w:tmpl w:val="71506B2A"/>
    <w:lvl w:ilvl="0" w:tplc="20000011">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2" w15:restartNumberingAfterBreak="0">
    <w:nsid w:val="076F5571"/>
    <w:multiLevelType w:val="hybridMultilevel"/>
    <w:tmpl w:val="8A127716"/>
    <w:lvl w:ilvl="0" w:tplc="9EF6D55E">
      <w:start w:val="1"/>
      <w:numFmt w:val="decimal"/>
      <w:lvlText w:val="%1)"/>
      <w:lvlJc w:val="left"/>
      <w:pPr>
        <w:ind w:left="1080" w:hanging="360"/>
      </w:pPr>
    </w:lvl>
    <w:lvl w:ilvl="1" w:tplc="20000011">
      <w:start w:val="1"/>
      <w:numFmt w:val="decimal"/>
      <w:lvlText w:val="%2)"/>
      <w:lvlJc w:val="left"/>
      <w:pPr>
        <w:ind w:left="1080" w:hanging="360"/>
      </w:pPr>
    </w:lvl>
    <w:lvl w:ilvl="2" w:tplc="A7DC3320">
      <w:numFmt w:val="bullet"/>
      <w:lvlText w:val="•"/>
      <w:lvlJc w:val="left"/>
      <w:pPr>
        <w:ind w:left="2700" w:hanging="360"/>
      </w:pPr>
      <w:rPr>
        <w:rFonts w:ascii="Verdana" w:eastAsiaTheme="minorHAnsi" w:hAnsi="Verdana" w:cstheme="minorBidi" w:hint="default"/>
      </w:r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3" w15:restartNumberingAfterBreak="0">
    <w:nsid w:val="08387BD2"/>
    <w:multiLevelType w:val="hybridMultilevel"/>
    <w:tmpl w:val="FADED1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8653072"/>
    <w:multiLevelType w:val="hybridMultilevel"/>
    <w:tmpl w:val="5F98B5B2"/>
    <w:lvl w:ilvl="0" w:tplc="B180137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0BA157DF"/>
    <w:multiLevelType w:val="hybridMultilevel"/>
    <w:tmpl w:val="E63E9576"/>
    <w:lvl w:ilvl="0" w:tplc="BF7C7906">
      <w:start w:val="1"/>
      <w:numFmt w:val="decimal"/>
      <w:lvlText w:val="%1."/>
      <w:lvlJc w:val="left"/>
      <w:pPr>
        <w:tabs>
          <w:tab w:val="num" w:pos="1440"/>
        </w:tabs>
        <w:ind w:left="1440" w:hanging="108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0C750681"/>
    <w:multiLevelType w:val="hybridMultilevel"/>
    <w:tmpl w:val="5B08B382"/>
    <w:lvl w:ilvl="0" w:tplc="20000011">
      <w:start w:val="1"/>
      <w:numFmt w:val="decimal"/>
      <w:lvlText w:val="%1)"/>
      <w:lvlJc w:val="left"/>
      <w:pPr>
        <w:ind w:left="1429" w:hanging="360"/>
      </w:pPr>
    </w:lvl>
    <w:lvl w:ilvl="1" w:tplc="FFFFFFFF">
      <w:start w:val="1"/>
      <w:numFmt w:val="bullet"/>
      <w:lvlText w:val="o"/>
      <w:lvlJc w:val="left"/>
      <w:pPr>
        <w:ind w:left="2149" w:hanging="360"/>
      </w:pPr>
      <w:rPr>
        <w:rFonts w:ascii="Courier New" w:hAnsi="Courier New" w:cs="Courier New"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start w:val="1"/>
      <w:numFmt w:val="bullet"/>
      <w:lvlText w:val="o"/>
      <w:lvlJc w:val="left"/>
      <w:pPr>
        <w:ind w:left="4309" w:hanging="360"/>
      </w:pPr>
      <w:rPr>
        <w:rFonts w:ascii="Courier New" w:hAnsi="Courier New" w:cs="Courier New" w:hint="default"/>
      </w:rPr>
    </w:lvl>
    <w:lvl w:ilvl="5" w:tplc="FFFFFFFF">
      <w:start w:val="1"/>
      <w:numFmt w:val="bullet"/>
      <w:lvlText w:val=""/>
      <w:lvlJc w:val="left"/>
      <w:pPr>
        <w:ind w:left="5029" w:hanging="360"/>
      </w:pPr>
      <w:rPr>
        <w:rFonts w:ascii="Wingdings" w:hAnsi="Wingdings" w:hint="default"/>
      </w:rPr>
    </w:lvl>
    <w:lvl w:ilvl="6" w:tplc="FFFFFFFF">
      <w:start w:val="1"/>
      <w:numFmt w:val="bullet"/>
      <w:lvlText w:val=""/>
      <w:lvlJc w:val="left"/>
      <w:pPr>
        <w:ind w:left="5749" w:hanging="360"/>
      </w:pPr>
      <w:rPr>
        <w:rFonts w:ascii="Symbol" w:hAnsi="Symbol" w:hint="default"/>
      </w:rPr>
    </w:lvl>
    <w:lvl w:ilvl="7" w:tplc="FFFFFFFF">
      <w:start w:val="1"/>
      <w:numFmt w:val="bullet"/>
      <w:lvlText w:val="o"/>
      <w:lvlJc w:val="left"/>
      <w:pPr>
        <w:ind w:left="6469" w:hanging="360"/>
      </w:pPr>
      <w:rPr>
        <w:rFonts w:ascii="Courier New" w:hAnsi="Courier New" w:cs="Courier New" w:hint="default"/>
      </w:rPr>
    </w:lvl>
    <w:lvl w:ilvl="8" w:tplc="FFFFFFFF">
      <w:start w:val="1"/>
      <w:numFmt w:val="bullet"/>
      <w:lvlText w:val=""/>
      <w:lvlJc w:val="left"/>
      <w:pPr>
        <w:ind w:left="7189" w:hanging="360"/>
      </w:pPr>
      <w:rPr>
        <w:rFonts w:ascii="Wingdings" w:hAnsi="Wingdings" w:hint="default"/>
      </w:rPr>
    </w:lvl>
  </w:abstractNum>
  <w:abstractNum w:abstractNumId="17" w15:restartNumberingAfterBreak="0">
    <w:nsid w:val="120A3A9D"/>
    <w:multiLevelType w:val="hybridMultilevel"/>
    <w:tmpl w:val="BE96FE06"/>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1A46158D"/>
    <w:multiLevelType w:val="hybridMultilevel"/>
    <w:tmpl w:val="0BF0528C"/>
    <w:lvl w:ilvl="0" w:tplc="FFFFFFFF">
      <w:start w:val="1"/>
      <w:numFmt w:val="lowerLetter"/>
      <w:lvlText w:val="(%1)"/>
      <w:lvlJc w:val="left"/>
      <w:pPr>
        <w:ind w:left="2280" w:hanging="360"/>
      </w:pPr>
    </w:lvl>
    <w:lvl w:ilvl="1" w:tplc="FFFFFFFF">
      <w:start w:val="1"/>
      <w:numFmt w:val="lowerLetter"/>
      <w:lvlText w:val="%2."/>
      <w:lvlJc w:val="left"/>
      <w:pPr>
        <w:ind w:left="3000" w:hanging="360"/>
      </w:pPr>
    </w:lvl>
    <w:lvl w:ilvl="2" w:tplc="20000017">
      <w:start w:val="1"/>
      <w:numFmt w:val="lowerLetter"/>
      <w:lvlText w:val="%3)"/>
      <w:lvlJc w:val="left"/>
      <w:pPr>
        <w:ind w:left="3900" w:hanging="360"/>
      </w:pPr>
    </w:lvl>
    <w:lvl w:ilvl="3" w:tplc="FFFFFFFF">
      <w:start w:val="1"/>
      <w:numFmt w:val="decimal"/>
      <w:lvlText w:val="%4."/>
      <w:lvlJc w:val="left"/>
      <w:pPr>
        <w:ind w:left="4440" w:hanging="360"/>
      </w:pPr>
    </w:lvl>
    <w:lvl w:ilvl="4" w:tplc="FFFFFFFF">
      <w:start w:val="1"/>
      <w:numFmt w:val="lowerLetter"/>
      <w:lvlText w:val="%5."/>
      <w:lvlJc w:val="left"/>
      <w:pPr>
        <w:ind w:left="5160" w:hanging="360"/>
      </w:pPr>
    </w:lvl>
    <w:lvl w:ilvl="5" w:tplc="FFFFFFFF">
      <w:start w:val="1"/>
      <w:numFmt w:val="lowerRoman"/>
      <w:lvlText w:val="%6."/>
      <w:lvlJc w:val="right"/>
      <w:pPr>
        <w:ind w:left="5880" w:hanging="180"/>
      </w:pPr>
    </w:lvl>
    <w:lvl w:ilvl="6" w:tplc="FFFFFFFF">
      <w:start w:val="1"/>
      <w:numFmt w:val="decimal"/>
      <w:lvlText w:val="%7."/>
      <w:lvlJc w:val="left"/>
      <w:pPr>
        <w:ind w:left="6600" w:hanging="360"/>
      </w:pPr>
    </w:lvl>
    <w:lvl w:ilvl="7" w:tplc="FFFFFFFF">
      <w:start w:val="1"/>
      <w:numFmt w:val="lowerLetter"/>
      <w:lvlText w:val="%8."/>
      <w:lvlJc w:val="left"/>
      <w:pPr>
        <w:ind w:left="7320" w:hanging="360"/>
      </w:pPr>
    </w:lvl>
    <w:lvl w:ilvl="8" w:tplc="FFFFFFFF">
      <w:start w:val="1"/>
      <w:numFmt w:val="lowerRoman"/>
      <w:lvlText w:val="%9."/>
      <w:lvlJc w:val="right"/>
      <w:pPr>
        <w:ind w:left="8040" w:hanging="180"/>
      </w:pPr>
    </w:lvl>
  </w:abstractNum>
  <w:abstractNum w:abstractNumId="19" w15:restartNumberingAfterBreak="0">
    <w:nsid w:val="1B704B7B"/>
    <w:multiLevelType w:val="hybridMultilevel"/>
    <w:tmpl w:val="D974F67E"/>
    <w:lvl w:ilvl="0" w:tplc="BF7C7906">
      <w:start w:val="1"/>
      <w:numFmt w:val="decimal"/>
      <w:lvlText w:val="%1."/>
      <w:lvlJc w:val="left"/>
      <w:pPr>
        <w:tabs>
          <w:tab w:val="num" w:pos="1440"/>
        </w:tabs>
        <w:ind w:left="1440" w:hanging="10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225E18D4"/>
    <w:multiLevelType w:val="hybridMultilevel"/>
    <w:tmpl w:val="62E2D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2AE2FE2"/>
    <w:multiLevelType w:val="hybridMultilevel"/>
    <w:tmpl w:val="0CCA19F2"/>
    <w:lvl w:ilvl="0" w:tplc="20000011">
      <w:start w:val="1"/>
      <w:numFmt w:val="decimal"/>
      <w:lvlText w:val="%1)"/>
      <w:lvlJc w:val="left"/>
      <w:pPr>
        <w:ind w:left="720" w:hanging="360"/>
      </w:pPr>
      <w:rPr>
        <w:color w:val="auto"/>
      </w:rPr>
    </w:lvl>
    <w:lvl w:ilvl="1" w:tplc="24000019">
      <w:start w:val="1"/>
      <w:numFmt w:val="lowerLetter"/>
      <w:lvlText w:val="%2."/>
      <w:lvlJc w:val="left"/>
      <w:pPr>
        <w:ind w:left="1440" w:hanging="360"/>
      </w:pPr>
    </w:lvl>
    <w:lvl w:ilvl="2" w:tplc="2400001B">
      <w:start w:val="1"/>
      <w:numFmt w:val="lowerRoman"/>
      <w:lvlText w:val="%3."/>
      <w:lvlJc w:val="right"/>
      <w:pPr>
        <w:ind w:left="2160" w:hanging="180"/>
      </w:pPr>
    </w:lvl>
    <w:lvl w:ilvl="3" w:tplc="2400000F">
      <w:start w:val="1"/>
      <w:numFmt w:val="decimal"/>
      <w:lvlText w:val="%4."/>
      <w:lvlJc w:val="left"/>
      <w:pPr>
        <w:ind w:left="2880" w:hanging="360"/>
      </w:pPr>
    </w:lvl>
    <w:lvl w:ilvl="4" w:tplc="24000019">
      <w:start w:val="1"/>
      <w:numFmt w:val="lowerLetter"/>
      <w:lvlText w:val="%5."/>
      <w:lvlJc w:val="left"/>
      <w:pPr>
        <w:ind w:left="3600" w:hanging="360"/>
      </w:pPr>
    </w:lvl>
    <w:lvl w:ilvl="5" w:tplc="2400001B">
      <w:start w:val="1"/>
      <w:numFmt w:val="lowerRoman"/>
      <w:lvlText w:val="%6."/>
      <w:lvlJc w:val="right"/>
      <w:pPr>
        <w:ind w:left="4320" w:hanging="180"/>
      </w:pPr>
    </w:lvl>
    <w:lvl w:ilvl="6" w:tplc="2400000F">
      <w:start w:val="1"/>
      <w:numFmt w:val="decimal"/>
      <w:lvlText w:val="%7."/>
      <w:lvlJc w:val="left"/>
      <w:pPr>
        <w:ind w:left="5040" w:hanging="360"/>
      </w:pPr>
    </w:lvl>
    <w:lvl w:ilvl="7" w:tplc="24000019">
      <w:start w:val="1"/>
      <w:numFmt w:val="lowerLetter"/>
      <w:lvlText w:val="%8."/>
      <w:lvlJc w:val="left"/>
      <w:pPr>
        <w:ind w:left="5760" w:hanging="360"/>
      </w:pPr>
    </w:lvl>
    <w:lvl w:ilvl="8" w:tplc="2400001B">
      <w:start w:val="1"/>
      <w:numFmt w:val="lowerRoman"/>
      <w:lvlText w:val="%9."/>
      <w:lvlJc w:val="right"/>
      <w:pPr>
        <w:ind w:left="6480" w:hanging="180"/>
      </w:pPr>
    </w:lvl>
  </w:abstractNum>
  <w:abstractNum w:abstractNumId="22" w15:restartNumberingAfterBreak="0">
    <w:nsid w:val="23187F76"/>
    <w:multiLevelType w:val="hybridMultilevel"/>
    <w:tmpl w:val="44782832"/>
    <w:lvl w:ilvl="0" w:tplc="FFFFFFFF">
      <w:start w:val="1"/>
      <w:numFmt w:val="decimal"/>
      <w:lvlText w:val="(%1)"/>
      <w:lvlJc w:val="left"/>
      <w:pPr>
        <w:tabs>
          <w:tab w:val="num" w:pos="720"/>
        </w:tabs>
        <w:ind w:left="720" w:hanging="360"/>
      </w:pPr>
      <w:rPr>
        <w:rFonts w:hint="default"/>
      </w:rPr>
    </w:lvl>
    <w:lvl w:ilvl="1" w:tplc="FFFFFFFF" w:tentative="1">
      <w:start w:val="1"/>
      <w:numFmt w:val="bullet"/>
      <w:lvlText w:val="o"/>
      <w:lvlJc w:val="left"/>
      <w:pPr>
        <w:ind w:left="1440" w:hanging="360"/>
      </w:pPr>
      <w:rPr>
        <w:rFonts w:ascii="Courier New" w:hAnsi="Courier New" w:cs="MS Mincho"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MS Mincho"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MS Mincho"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5A55827"/>
    <w:multiLevelType w:val="multilevel"/>
    <w:tmpl w:val="C444E976"/>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1.%2.%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25E45B11"/>
    <w:multiLevelType w:val="hybridMultilevel"/>
    <w:tmpl w:val="9AECE8FA"/>
    <w:lvl w:ilvl="0" w:tplc="82BAAB3C">
      <w:start w:val="1"/>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6C626AC"/>
    <w:multiLevelType w:val="hybridMultilevel"/>
    <w:tmpl w:val="8D740D96"/>
    <w:lvl w:ilvl="0" w:tplc="0409000F">
      <w:start w:val="1"/>
      <w:numFmt w:val="decimal"/>
      <w:lvlText w:val="%1."/>
      <w:lvlJc w:val="left"/>
      <w:pPr>
        <w:tabs>
          <w:tab w:val="num" w:pos="777"/>
        </w:tabs>
        <w:ind w:left="777" w:hanging="360"/>
      </w:pPr>
    </w:lvl>
    <w:lvl w:ilvl="1" w:tplc="04090019" w:tentative="1">
      <w:start w:val="1"/>
      <w:numFmt w:val="lowerLetter"/>
      <w:lvlText w:val="%2."/>
      <w:lvlJc w:val="left"/>
      <w:pPr>
        <w:tabs>
          <w:tab w:val="num" w:pos="1497"/>
        </w:tabs>
        <w:ind w:left="1497" w:hanging="360"/>
      </w:pPr>
    </w:lvl>
    <w:lvl w:ilvl="2" w:tplc="0409001B" w:tentative="1">
      <w:start w:val="1"/>
      <w:numFmt w:val="lowerRoman"/>
      <w:lvlText w:val="%3."/>
      <w:lvlJc w:val="right"/>
      <w:pPr>
        <w:tabs>
          <w:tab w:val="num" w:pos="2217"/>
        </w:tabs>
        <w:ind w:left="2217" w:hanging="180"/>
      </w:pPr>
    </w:lvl>
    <w:lvl w:ilvl="3" w:tplc="0409000F" w:tentative="1">
      <w:start w:val="1"/>
      <w:numFmt w:val="decimal"/>
      <w:lvlText w:val="%4."/>
      <w:lvlJc w:val="left"/>
      <w:pPr>
        <w:tabs>
          <w:tab w:val="num" w:pos="2937"/>
        </w:tabs>
        <w:ind w:left="2937" w:hanging="360"/>
      </w:pPr>
    </w:lvl>
    <w:lvl w:ilvl="4" w:tplc="04090019" w:tentative="1">
      <w:start w:val="1"/>
      <w:numFmt w:val="lowerLetter"/>
      <w:lvlText w:val="%5."/>
      <w:lvlJc w:val="left"/>
      <w:pPr>
        <w:tabs>
          <w:tab w:val="num" w:pos="3657"/>
        </w:tabs>
        <w:ind w:left="3657" w:hanging="360"/>
      </w:pPr>
    </w:lvl>
    <w:lvl w:ilvl="5" w:tplc="0409001B" w:tentative="1">
      <w:start w:val="1"/>
      <w:numFmt w:val="lowerRoman"/>
      <w:lvlText w:val="%6."/>
      <w:lvlJc w:val="right"/>
      <w:pPr>
        <w:tabs>
          <w:tab w:val="num" w:pos="4377"/>
        </w:tabs>
        <w:ind w:left="4377" w:hanging="180"/>
      </w:pPr>
    </w:lvl>
    <w:lvl w:ilvl="6" w:tplc="0409000F" w:tentative="1">
      <w:start w:val="1"/>
      <w:numFmt w:val="decimal"/>
      <w:lvlText w:val="%7."/>
      <w:lvlJc w:val="left"/>
      <w:pPr>
        <w:tabs>
          <w:tab w:val="num" w:pos="5097"/>
        </w:tabs>
        <w:ind w:left="5097" w:hanging="360"/>
      </w:pPr>
    </w:lvl>
    <w:lvl w:ilvl="7" w:tplc="04090019" w:tentative="1">
      <w:start w:val="1"/>
      <w:numFmt w:val="lowerLetter"/>
      <w:lvlText w:val="%8."/>
      <w:lvlJc w:val="left"/>
      <w:pPr>
        <w:tabs>
          <w:tab w:val="num" w:pos="5817"/>
        </w:tabs>
        <w:ind w:left="5817" w:hanging="360"/>
      </w:pPr>
    </w:lvl>
    <w:lvl w:ilvl="8" w:tplc="0409001B" w:tentative="1">
      <w:start w:val="1"/>
      <w:numFmt w:val="lowerRoman"/>
      <w:lvlText w:val="%9."/>
      <w:lvlJc w:val="right"/>
      <w:pPr>
        <w:tabs>
          <w:tab w:val="num" w:pos="6537"/>
        </w:tabs>
        <w:ind w:left="6537" w:hanging="180"/>
      </w:pPr>
    </w:lvl>
  </w:abstractNum>
  <w:abstractNum w:abstractNumId="26" w15:restartNumberingAfterBreak="0">
    <w:nsid w:val="27B16F14"/>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2A280CB1"/>
    <w:multiLevelType w:val="hybridMultilevel"/>
    <w:tmpl w:val="2468F01C"/>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MS Mincho"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MS Mincho"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MS Mincho"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28" w15:restartNumberingAfterBreak="0">
    <w:nsid w:val="2BC60D83"/>
    <w:multiLevelType w:val="multilevel"/>
    <w:tmpl w:val="F81498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2D4A2043"/>
    <w:multiLevelType w:val="hybridMultilevel"/>
    <w:tmpl w:val="E60E3380"/>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2DA12EC1"/>
    <w:multiLevelType w:val="hybridMultilevel"/>
    <w:tmpl w:val="28D49B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E301148"/>
    <w:multiLevelType w:val="hybridMultilevel"/>
    <w:tmpl w:val="E45A0036"/>
    <w:lvl w:ilvl="0" w:tplc="20000011">
      <w:start w:val="1"/>
      <w:numFmt w:val="decimal"/>
      <w:lvlText w:val="%1)"/>
      <w:lvlJc w:val="left"/>
      <w:pPr>
        <w:ind w:left="1069" w:hanging="360"/>
      </w:pPr>
      <w:rPr>
        <w:b w:val="0"/>
        <w:bCs/>
        <w:sz w:val="20"/>
        <w:szCs w:val="20"/>
      </w:r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32" w15:restartNumberingAfterBreak="0">
    <w:nsid w:val="2E6A5BF6"/>
    <w:multiLevelType w:val="hybridMultilevel"/>
    <w:tmpl w:val="A1862C18"/>
    <w:lvl w:ilvl="0" w:tplc="20000011">
      <w:start w:val="1"/>
      <w:numFmt w:val="decimal"/>
      <w:lvlText w:val="%1)"/>
      <w:lvlJc w:val="left"/>
      <w:pPr>
        <w:ind w:left="1416" w:hanging="360"/>
      </w:pPr>
    </w:lvl>
    <w:lvl w:ilvl="1" w:tplc="FFFFFFFF">
      <w:start w:val="1"/>
      <w:numFmt w:val="lowerLetter"/>
      <w:lvlText w:val="%2."/>
      <w:lvlJc w:val="left"/>
      <w:pPr>
        <w:ind w:left="2136" w:hanging="360"/>
      </w:pPr>
    </w:lvl>
    <w:lvl w:ilvl="2" w:tplc="FFFFFFFF">
      <w:start w:val="1"/>
      <w:numFmt w:val="lowerRoman"/>
      <w:lvlText w:val="%3."/>
      <w:lvlJc w:val="right"/>
      <w:pPr>
        <w:ind w:left="2856" w:hanging="180"/>
      </w:pPr>
    </w:lvl>
    <w:lvl w:ilvl="3" w:tplc="FFFFFFFF">
      <w:start w:val="1"/>
      <w:numFmt w:val="decimal"/>
      <w:lvlText w:val="%4."/>
      <w:lvlJc w:val="left"/>
      <w:pPr>
        <w:ind w:left="3576" w:hanging="360"/>
      </w:pPr>
    </w:lvl>
    <w:lvl w:ilvl="4" w:tplc="FFFFFFFF">
      <w:start w:val="1"/>
      <w:numFmt w:val="lowerLetter"/>
      <w:lvlText w:val="%5."/>
      <w:lvlJc w:val="left"/>
      <w:pPr>
        <w:ind w:left="4296" w:hanging="360"/>
      </w:pPr>
    </w:lvl>
    <w:lvl w:ilvl="5" w:tplc="FFFFFFFF">
      <w:start w:val="1"/>
      <w:numFmt w:val="lowerRoman"/>
      <w:lvlText w:val="%6."/>
      <w:lvlJc w:val="right"/>
      <w:pPr>
        <w:ind w:left="5016" w:hanging="180"/>
      </w:pPr>
    </w:lvl>
    <w:lvl w:ilvl="6" w:tplc="FFFFFFFF">
      <w:start w:val="1"/>
      <w:numFmt w:val="decimal"/>
      <w:lvlText w:val="%7."/>
      <w:lvlJc w:val="left"/>
      <w:pPr>
        <w:ind w:left="5736" w:hanging="360"/>
      </w:pPr>
    </w:lvl>
    <w:lvl w:ilvl="7" w:tplc="FFFFFFFF">
      <w:start w:val="1"/>
      <w:numFmt w:val="lowerLetter"/>
      <w:lvlText w:val="%8."/>
      <w:lvlJc w:val="left"/>
      <w:pPr>
        <w:ind w:left="6456" w:hanging="360"/>
      </w:pPr>
    </w:lvl>
    <w:lvl w:ilvl="8" w:tplc="FFFFFFFF">
      <w:start w:val="1"/>
      <w:numFmt w:val="lowerRoman"/>
      <w:lvlText w:val="%9."/>
      <w:lvlJc w:val="right"/>
      <w:pPr>
        <w:ind w:left="7176" w:hanging="180"/>
      </w:pPr>
    </w:lvl>
  </w:abstractNum>
  <w:abstractNum w:abstractNumId="33" w15:restartNumberingAfterBreak="0">
    <w:nsid w:val="2F644352"/>
    <w:multiLevelType w:val="hybridMultilevel"/>
    <w:tmpl w:val="439AF892"/>
    <w:lvl w:ilvl="0" w:tplc="20000011">
      <w:start w:val="1"/>
      <w:numFmt w:val="decimal"/>
      <w:lvlText w:val="%1)"/>
      <w:lvlJc w:val="left"/>
      <w:pPr>
        <w:ind w:left="1080" w:hanging="360"/>
      </w:pPr>
    </w:lvl>
    <w:lvl w:ilvl="1" w:tplc="FFFFFFFF">
      <w:start w:val="1"/>
      <w:numFmt w:val="decimal"/>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4" w15:restartNumberingAfterBreak="0">
    <w:nsid w:val="333F259F"/>
    <w:multiLevelType w:val="hybridMultilevel"/>
    <w:tmpl w:val="EFBEFC76"/>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36FC1CD9"/>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3A841AC9"/>
    <w:multiLevelType w:val="hybridMultilevel"/>
    <w:tmpl w:val="9E1C2B42"/>
    <w:lvl w:ilvl="0" w:tplc="100C0001">
      <w:start w:val="1"/>
      <w:numFmt w:val="bullet"/>
      <w:lvlText w:val=""/>
      <w:lvlJc w:val="left"/>
      <w:pPr>
        <w:ind w:left="748" w:hanging="360"/>
      </w:pPr>
      <w:rPr>
        <w:rFonts w:ascii="Symbol" w:hAnsi="Symbol" w:hint="default"/>
      </w:rPr>
    </w:lvl>
    <w:lvl w:ilvl="1" w:tplc="08090003">
      <w:start w:val="1"/>
      <w:numFmt w:val="bullet"/>
      <w:lvlText w:val="o"/>
      <w:lvlJc w:val="left"/>
      <w:pPr>
        <w:ind w:left="1468" w:hanging="360"/>
      </w:pPr>
      <w:rPr>
        <w:rFonts w:ascii="Courier New" w:hAnsi="Courier New" w:cs="Courier New" w:hint="default"/>
      </w:rPr>
    </w:lvl>
    <w:lvl w:ilvl="2" w:tplc="08090005">
      <w:start w:val="1"/>
      <w:numFmt w:val="bullet"/>
      <w:lvlText w:val=""/>
      <w:lvlJc w:val="left"/>
      <w:pPr>
        <w:ind w:left="2188" w:hanging="360"/>
      </w:pPr>
      <w:rPr>
        <w:rFonts w:ascii="Wingdings" w:hAnsi="Wingdings" w:hint="default"/>
      </w:rPr>
    </w:lvl>
    <w:lvl w:ilvl="3" w:tplc="08090001">
      <w:start w:val="1"/>
      <w:numFmt w:val="bullet"/>
      <w:lvlText w:val=""/>
      <w:lvlJc w:val="left"/>
      <w:pPr>
        <w:ind w:left="2908" w:hanging="360"/>
      </w:pPr>
      <w:rPr>
        <w:rFonts w:ascii="Symbol" w:hAnsi="Symbol" w:hint="default"/>
      </w:rPr>
    </w:lvl>
    <w:lvl w:ilvl="4" w:tplc="08090003">
      <w:start w:val="1"/>
      <w:numFmt w:val="bullet"/>
      <w:lvlText w:val="o"/>
      <w:lvlJc w:val="left"/>
      <w:pPr>
        <w:ind w:left="3628" w:hanging="360"/>
      </w:pPr>
      <w:rPr>
        <w:rFonts w:ascii="Courier New" w:hAnsi="Courier New" w:cs="Courier New" w:hint="default"/>
      </w:rPr>
    </w:lvl>
    <w:lvl w:ilvl="5" w:tplc="08090005">
      <w:start w:val="1"/>
      <w:numFmt w:val="bullet"/>
      <w:lvlText w:val=""/>
      <w:lvlJc w:val="left"/>
      <w:pPr>
        <w:ind w:left="4348" w:hanging="360"/>
      </w:pPr>
      <w:rPr>
        <w:rFonts w:ascii="Wingdings" w:hAnsi="Wingdings" w:hint="default"/>
      </w:rPr>
    </w:lvl>
    <w:lvl w:ilvl="6" w:tplc="08090001">
      <w:start w:val="1"/>
      <w:numFmt w:val="bullet"/>
      <w:lvlText w:val=""/>
      <w:lvlJc w:val="left"/>
      <w:pPr>
        <w:ind w:left="5068" w:hanging="360"/>
      </w:pPr>
      <w:rPr>
        <w:rFonts w:ascii="Symbol" w:hAnsi="Symbol" w:hint="default"/>
      </w:rPr>
    </w:lvl>
    <w:lvl w:ilvl="7" w:tplc="08090003">
      <w:start w:val="1"/>
      <w:numFmt w:val="bullet"/>
      <w:lvlText w:val="o"/>
      <w:lvlJc w:val="left"/>
      <w:pPr>
        <w:ind w:left="5788" w:hanging="360"/>
      </w:pPr>
      <w:rPr>
        <w:rFonts w:ascii="Courier New" w:hAnsi="Courier New" w:cs="Courier New" w:hint="default"/>
      </w:rPr>
    </w:lvl>
    <w:lvl w:ilvl="8" w:tplc="08090005">
      <w:start w:val="1"/>
      <w:numFmt w:val="bullet"/>
      <w:lvlText w:val=""/>
      <w:lvlJc w:val="left"/>
      <w:pPr>
        <w:ind w:left="6508" w:hanging="360"/>
      </w:pPr>
      <w:rPr>
        <w:rFonts w:ascii="Wingdings" w:hAnsi="Wingdings" w:hint="default"/>
      </w:rPr>
    </w:lvl>
  </w:abstractNum>
  <w:abstractNum w:abstractNumId="37" w15:restartNumberingAfterBreak="0">
    <w:nsid w:val="3F026439"/>
    <w:multiLevelType w:val="hybridMultilevel"/>
    <w:tmpl w:val="42D2BD44"/>
    <w:lvl w:ilvl="0" w:tplc="797C27D0">
      <w:start w:val="1"/>
      <w:numFmt w:val="decimal"/>
      <w:lvlText w:val="(%1)"/>
      <w:lvlJc w:val="left"/>
      <w:pPr>
        <w:ind w:left="720" w:hanging="360"/>
      </w:pPr>
      <w:rPr>
        <w:rFonts w:hint="default"/>
      </w:rPr>
    </w:lvl>
    <w:lvl w:ilvl="1" w:tplc="5196696A">
      <w:start w:val="1"/>
      <w:numFmt w:val="lowerRoman"/>
      <w:lvlText w:val="(%2)"/>
      <w:lvlJc w:val="left"/>
      <w:pPr>
        <w:ind w:left="2220" w:hanging="114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FC12217"/>
    <w:multiLevelType w:val="multilevel"/>
    <w:tmpl w:val="1C707D50"/>
    <w:lvl w:ilvl="0">
      <w:start w:val="1"/>
      <w:numFmt w:val="decimal"/>
      <w:lvlText w:val="%1)"/>
      <w:lvlJc w:val="left"/>
      <w:pPr>
        <w:ind w:left="420" w:hanging="420"/>
      </w:pPr>
      <w:rPr>
        <w:b w:val="0"/>
        <w:bCs w:val="0"/>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9" w15:restartNumberingAfterBreak="0">
    <w:nsid w:val="41755C97"/>
    <w:multiLevelType w:val="multilevel"/>
    <w:tmpl w:val="B040FFB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43C650C"/>
    <w:multiLevelType w:val="hybridMultilevel"/>
    <w:tmpl w:val="BFA489E2"/>
    <w:lvl w:ilvl="0" w:tplc="20000011">
      <w:start w:val="1"/>
      <w:numFmt w:val="decimal"/>
      <w:lvlText w:val="%1)"/>
      <w:lvlJc w:val="left"/>
      <w:pPr>
        <w:ind w:left="1440" w:hanging="360"/>
      </w:p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41" w15:restartNumberingAfterBreak="0">
    <w:nsid w:val="449C667C"/>
    <w:multiLevelType w:val="hybridMultilevel"/>
    <w:tmpl w:val="8974B1B6"/>
    <w:lvl w:ilvl="0" w:tplc="EE640F8A">
      <w:start w:val="1"/>
      <w:numFmt w:val="bullet"/>
      <w:lvlText w:val=""/>
      <w:lvlJc w:val="left"/>
      <w:pPr>
        <w:tabs>
          <w:tab w:val="num" w:pos="644"/>
        </w:tabs>
        <w:ind w:left="567" w:hanging="283"/>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46EA4781"/>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482D1F54"/>
    <w:multiLevelType w:val="hybridMultilevel"/>
    <w:tmpl w:val="93D6E79E"/>
    <w:lvl w:ilvl="0" w:tplc="20000011">
      <w:start w:val="1"/>
      <w:numFmt w:val="decimal"/>
      <w:lvlText w:val="%1)"/>
      <w:lvlJc w:val="left"/>
      <w:pPr>
        <w:ind w:left="2138" w:hanging="360"/>
      </w:pPr>
    </w:lvl>
    <w:lvl w:ilvl="1" w:tplc="FFFFFFFF">
      <w:start w:val="1"/>
      <w:numFmt w:val="lowerLetter"/>
      <w:lvlText w:val="%2."/>
      <w:lvlJc w:val="left"/>
      <w:pPr>
        <w:ind w:left="2858" w:hanging="360"/>
      </w:pPr>
    </w:lvl>
    <w:lvl w:ilvl="2" w:tplc="FFFFFFFF">
      <w:start w:val="1"/>
      <w:numFmt w:val="lowerRoman"/>
      <w:lvlText w:val="%3."/>
      <w:lvlJc w:val="right"/>
      <w:pPr>
        <w:ind w:left="3578" w:hanging="180"/>
      </w:pPr>
    </w:lvl>
    <w:lvl w:ilvl="3" w:tplc="FFFFFFFF">
      <w:start w:val="1"/>
      <w:numFmt w:val="decimal"/>
      <w:lvlText w:val="%4."/>
      <w:lvlJc w:val="left"/>
      <w:pPr>
        <w:ind w:left="4298" w:hanging="360"/>
      </w:pPr>
    </w:lvl>
    <w:lvl w:ilvl="4" w:tplc="FFFFFFFF">
      <w:start w:val="1"/>
      <w:numFmt w:val="lowerLetter"/>
      <w:lvlText w:val="%5."/>
      <w:lvlJc w:val="left"/>
      <w:pPr>
        <w:ind w:left="5018" w:hanging="360"/>
      </w:pPr>
    </w:lvl>
    <w:lvl w:ilvl="5" w:tplc="FFFFFFFF">
      <w:start w:val="1"/>
      <w:numFmt w:val="lowerRoman"/>
      <w:lvlText w:val="%6."/>
      <w:lvlJc w:val="right"/>
      <w:pPr>
        <w:ind w:left="5738" w:hanging="180"/>
      </w:pPr>
    </w:lvl>
    <w:lvl w:ilvl="6" w:tplc="FFFFFFFF">
      <w:start w:val="1"/>
      <w:numFmt w:val="decimal"/>
      <w:lvlText w:val="%7."/>
      <w:lvlJc w:val="left"/>
      <w:pPr>
        <w:ind w:left="6458" w:hanging="360"/>
      </w:pPr>
    </w:lvl>
    <w:lvl w:ilvl="7" w:tplc="FFFFFFFF">
      <w:start w:val="1"/>
      <w:numFmt w:val="lowerLetter"/>
      <w:lvlText w:val="%8."/>
      <w:lvlJc w:val="left"/>
      <w:pPr>
        <w:ind w:left="7178" w:hanging="360"/>
      </w:pPr>
    </w:lvl>
    <w:lvl w:ilvl="8" w:tplc="FFFFFFFF">
      <w:start w:val="1"/>
      <w:numFmt w:val="lowerRoman"/>
      <w:lvlText w:val="%9."/>
      <w:lvlJc w:val="right"/>
      <w:pPr>
        <w:ind w:left="7898" w:hanging="180"/>
      </w:pPr>
    </w:lvl>
  </w:abstractNum>
  <w:abstractNum w:abstractNumId="44" w15:restartNumberingAfterBreak="0">
    <w:nsid w:val="48760E7D"/>
    <w:multiLevelType w:val="hybridMultilevel"/>
    <w:tmpl w:val="21226E44"/>
    <w:lvl w:ilvl="0" w:tplc="B180137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4CDB3222"/>
    <w:multiLevelType w:val="hybridMultilevel"/>
    <w:tmpl w:val="9D8A5304"/>
    <w:lvl w:ilvl="0" w:tplc="B1801378">
      <w:start w:val="1"/>
      <w:numFmt w:val="decimal"/>
      <w:lvlText w:val="%1."/>
      <w:lvlJc w:val="left"/>
      <w:pPr>
        <w:tabs>
          <w:tab w:val="num" w:pos="720"/>
        </w:tabs>
        <w:ind w:left="720" w:hanging="360"/>
      </w:pPr>
      <w:rPr>
        <w:rFonts w:hint="default"/>
      </w:rPr>
    </w:lvl>
    <w:lvl w:ilvl="1" w:tplc="3C7E3152">
      <w:start w:val="1"/>
      <w:numFmt w:val="lowerLetter"/>
      <w:lvlText w:val="(%2)"/>
      <w:lvlJc w:val="left"/>
      <w:pPr>
        <w:ind w:left="1440" w:hanging="360"/>
      </w:pPr>
      <w:rPr>
        <w:rFonts w:cs="Times New Roman" w:hint="default"/>
        <w:b w:val="0"/>
        <w:bCs w:val="0"/>
        <w:i w:val="0"/>
        <w:iCs w:val="0"/>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4F2D3592"/>
    <w:multiLevelType w:val="multilevel"/>
    <w:tmpl w:val="FEB4DF5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50D54EFE"/>
    <w:multiLevelType w:val="multilevel"/>
    <w:tmpl w:val="9F7A7A90"/>
    <w:lvl w:ilvl="0">
      <w:start w:val="1"/>
      <w:numFmt w:val="lowerLetter"/>
      <w:lvlText w:val="(%1)"/>
      <w:lvlJc w:val="left"/>
      <w:pPr>
        <w:ind w:left="360" w:hanging="360"/>
      </w:pPr>
      <w:rPr>
        <w:rFonts w:cs="Times New Roman" w:hint="default"/>
        <w:b w:val="0"/>
        <w:bCs w:val="0"/>
        <w:i w:val="0"/>
        <w:iCs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52D20D90"/>
    <w:multiLevelType w:val="multilevel"/>
    <w:tmpl w:val="C8C24910"/>
    <w:lvl w:ilvl="0">
      <w:start w:val="1"/>
      <w:numFmt w:val="decimal"/>
      <w:lvlText w:val="%1."/>
      <w:lvlJc w:val="left"/>
      <w:pPr>
        <w:ind w:left="436" w:hanging="360"/>
      </w:pPr>
      <w:rPr>
        <w:b/>
        <w:bCs/>
      </w:rPr>
    </w:lvl>
    <w:lvl w:ilvl="1">
      <w:start w:val="1"/>
      <w:numFmt w:val="decimal"/>
      <w:isLgl/>
      <w:lvlText w:val="%1.%2."/>
      <w:lvlJc w:val="left"/>
      <w:pPr>
        <w:ind w:left="1156" w:hanging="720"/>
      </w:pPr>
      <w:rPr>
        <w:b/>
        <w:bCs/>
      </w:rPr>
    </w:lvl>
    <w:lvl w:ilvl="2">
      <w:start w:val="1"/>
      <w:numFmt w:val="decimal"/>
      <w:isLgl/>
      <w:lvlText w:val="%1.%2.%3."/>
      <w:lvlJc w:val="left"/>
      <w:pPr>
        <w:ind w:left="1516" w:hanging="720"/>
      </w:pPr>
    </w:lvl>
    <w:lvl w:ilvl="3">
      <w:start w:val="1"/>
      <w:numFmt w:val="decimal"/>
      <w:isLgl/>
      <w:lvlText w:val="%1.%2.%3.%4."/>
      <w:lvlJc w:val="left"/>
      <w:pPr>
        <w:ind w:left="2236" w:hanging="1080"/>
      </w:pPr>
    </w:lvl>
    <w:lvl w:ilvl="4">
      <w:start w:val="1"/>
      <w:numFmt w:val="decimal"/>
      <w:isLgl/>
      <w:lvlText w:val="%1.%2.%3.%4.%5."/>
      <w:lvlJc w:val="left"/>
      <w:pPr>
        <w:ind w:left="2956" w:hanging="1440"/>
      </w:pPr>
    </w:lvl>
    <w:lvl w:ilvl="5">
      <w:start w:val="1"/>
      <w:numFmt w:val="decimal"/>
      <w:isLgl/>
      <w:lvlText w:val="%1.%2.%3.%4.%5.%6."/>
      <w:lvlJc w:val="left"/>
      <w:pPr>
        <w:ind w:left="3316" w:hanging="1440"/>
      </w:pPr>
    </w:lvl>
    <w:lvl w:ilvl="6">
      <w:start w:val="1"/>
      <w:numFmt w:val="decimal"/>
      <w:isLgl/>
      <w:lvlText w:val="%1.%2.%3.%4.%5.%6.%7."/>
      <w:lvlJc w:val="left"/>
      <w:pPr>
        <w:ind w:left="4036" w:hanging="1800"/>
      </w:pPr>
    </w:lvl>
    <w:lvl w:ilvl="7">
      <w:start w:val="1"/>
      <w:numFmt w:val="decimal"/>
      <w:isLgl/>
      <w:lvlText w:val="%1.%2.%3.%4.%5.%6.%7.%8."/>
      <w:lvlJc w:val="left"/>
      <w:pPr>
        <w:ind w:left="4756" w:hanging="2160"/>
      </w:pPr>
    </w:lvl>
    <w:lvl w:ilvl="8">
      <w:start w:val="1"/>
      <w:numFmt w:val="decimal"/>
      <w:isLgl/>
      <w:lvlText w:val="%1.%2.%3.%4.%5.%6.%7.%8.%9."/>
      <w:lvlJc w:val="left"/>
      <w:pPr>
        <w:ind w:left="5116" w:hanging="2160"/>
      </w:pPr>
    </w:lvl>
  </w:abstractNum>
  <w:abstractNum w:abstractNumId="49" w15:restartNumberingAfterBreak="0">
    <w:nsid w:val="572B6062"/>
    <w:multiLevelType w:val="hybridMultilevel"/>
    <w:tmpl w:val="20666EAC"/>
    <w:lvl w:ilvl="0" w:tplc="BBECDEBE">
      <w:start w:val="1"/>
      <w:numFmt w:val="lowerLetter"/>
      <w:lvlText w:val="(%1)"/>
      <w:lvlJc w:val="left"/>
      <w:pPr>
        <w:tabs>
          <w:tab w:val="num" w:pos="1125"/>
        </w:tabs>
        <w:ind w:left="1125" w:hanging="1005"/>
      </w:pPr>
      <w:rPr>
        <w:rFonts w:hint="default"/>
      </w:rPr>
    </w:lvl>
    <w:lvl w:ilvl="1" w:tplc="04090019" w:tentative="1">
      <w:start w:val="1"/>
      <w:numFmt w:val="lowerLetter"/>
      <w:lvlText w:val="%2."/>
      <w:lvlJc w:val="left"/>
      <w:pPr>
        <w:tabs>
          <w:tab w:val="num" w:pos="1137"/>
        </w:tabs>
        <w:ind w:left="1137" w:hanging="360"/>
      </w:pPr>
    </w:lvl>
    <w:lvl w:ilvl="2" w:tplc="0409001B" w:tentative="1">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50" w15:restartNumberingAfterBreak="0">
    <w:nsid w:val="57FF0767"/>
    <w:multiLevelType w:val="hybridMultilevel"/>
    <w:tmpl w:val="4FE80C0C"/>
    <w:lvl w:ilvl="0" w:tplc="685C3162">
      <w:start w:val="1"/>
      <w:numFmt w:val="bullet"/>
      <w:lvlText w:val=""/>
      <w:lvlJc w:val="left"/>
      <w:pPr>
        <w:ind w:left="720" w:hanging="360"/>
      </w:pPr>
      <w:rPr>
        <w:rFonts w:ascii="Symbol" w:hAnsi="Symbol" w:hint="default"/>
        <w:sz w:val="14"/>
        <w:szCs w:val="1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5C6F451C"/>
    <w:multiLevelType w:val="hybridMultilevel"/>
    <w:tmpl w:val="106AFE40"/>
    <w:lvl w:ilvl="0" w:tplc="FFFFFFFF">
      <w:start w:val="1"/>
      <w:numFmt w:val="decimal"/>
      <w:lvlText w:val="%1."/>
      <w:lvlJc w:val="left"/>
      <w:pPr>
        <w:tabs>
          <w:tab w:val="num" w:pos="890"/>
        </w:tabs>
        <w:ind w:left="89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15:restartNumberingAfterBreak="0">
    <w:nsid w:val="61E60BA3"/>
    <w:multiLevelType w:val="multilevel"/>
    <w:tmpl w:val="315ACC9C"/>
    <w:lvl w:ilvl="0">
      <w:start w:val="1"/>
      <w:numFmt w:val="lowerLetter"/>
      <w:lvlText w:val="(%1)"/>
      <w:lvlJc w:val="left"/>
      <w:pPr>
        <w:ind w:left="360" w:hanging="360"/>
      </w:pPr>
      <w:rPr>
        <w:rFonts w:cs="Times New Roman" w:hint="default"/>
        <w:b w:val="0"/>
        <w:bCs w:val="0"/>
        <w:i w:val="0"/>
        <w:iCs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61F07044"/>
    <w:multiLevelType w:val="hybridMultilevel"/>
    <w:tmpl w:val="4C76DEBE"/>
    <w:lvl w:ilvl="0" w:tplc="9CA035CE">
      <w:start w:val="1"/>
      <w:numFmt w:val="lowerLetter"/>
      <w:lvlText w:val="(%1)"/>
      <w:lvlJc w:val="left"/>
      <w:pPr>
        <w:ind w:left="1128" w:hanging="84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4" w15:restartNumberingAfterBreak="0">
    <w:nsid w:val="63DE1896"/>
    <w:multiLevelType w:val="hybridMultilevel"/>
    <w:tmpl w:val="7570DF60"/>
    <w:lvl w:ilvl="0" w:tplc="20000011">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55" w15:restartNumberingAfterBreak="0">
    <w:nsid w:val="66B742B0"/>
    <w:multiLevelType w:val="hybridMultilevel"/>
    <w:tmpl w:val="315ACC9C"/>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15:restartNumberingAfterBreak="0">
    <w:nsid w:val="681D6571"/>
    <w:multiLevelType w:val="hybridMultilevel"/>
    <w:tmpl w:val="951E3954"/>
    <w:lvl w:ilvl="0" w:tplc="20000011">
      <w:start w:val="1"/>
      <w:numFmt w:val="decimal"/>
      <w:lvlText w:val="%1)"/>
      <w:lvlJc w:val="left"/>
      <w:pPr>
        <w:ind w:left="720" w:hanging="720"/>
      </w:pPr>
      <w:rPr>
        <w:b w:val="0"/>
        <w:b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7" w15:restartNumberingAfterBreak="0">
    <w:nsid w:val="69FC4442"/>
    <w:multiLevelType w:val="hybridMultilevel"/>
    <w:tmpl w:val="CA5807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6FE02364"/>
    <w:multiLevelType w:val="hybridMultilevel"/>
    <w:tmpl w:val="806C1F56"/>
    <w:lvl w:ilvl="0" w:tplc="8C065970">
      <w:start w:val="1"/>
      <w:numFmt w:val="lowerLetter"/>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12B3EDB"/>
    <w:multiLevelType w:val="hybridMultilevel"/>
    <w:tmpl w:val="59707F4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15:restartNumberingAfterBreak="0">
    <w:nsid w:val="751C124D"/>
    <w:multiLevelType w:val="hybridMultilevel"/>
    <w:tmpl w:val="465EDB06"/>
    <w:lvl w:ilvl="0" w:tplc="B1801378">
      <w:start w:val="1"/>
      <w:numFmt w:val="decimal"/>
      <w:lvlText w:val="%1."/>
      <w:lvlJc w:val="left"/>
      <w:pPr>
        <w:tabs>
          <w:tab w:val="num" w:pos="360"/>
        </w:tabs>
        <w:ind w:left="360" w:hanging="360"/>
      </w:pPr>
      <w:rPr>
        <w:rFonts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15:restartNumberingAfterBreak="0">
    <w:nsid w:val="79725354"/>
    <w:multiLevelType w:val="multilevel"/>
    <w:tmpl w:val="39ACEA8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7D086D7D"/>
    <w:multiLevelType w:val="multilevel"/>
    <w:tmpl w:val="4D2E5A82"/>
    <w:lvl w:ilvl="0">
      <w:start w:val="1"/>
      <w:numFmt w:val="decimal"/>
      <w:lvlText w:val="%1."/>
      <w:lvlJc w:val="left"/>
      <w:pPr>
        <w:ind w:left="720" w:hanging="360"/>
      </w:pPr>
    </w:lvl>
    <w:lvl w:ilvl="1">
      <w:start w:val="1"/>
      <w:numFmt w:val="decimal"/>
      <w:isLgl/>
      <w:lvlText w:val="%1.%2."/>
      <w:lvlJc w:val="left"/>
      <w:pPr>
        <w:ind w:left="1004" w:hanging="720"/>
      </w:pPr>
      <w:rPr>
        <w:b/>
        <w:bCs/>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520" w:hanging="2160"/>
      </w:pPr>
    </w:lvl>
  </w:abstractNum>
  <w:abstractNum w:abstractNumId="63" w15:restartNumberingAfterBreak="0">
    <w:nsid w:val="7EF306A9"/>
    <w:multiLevelType w:val="hybridMultilevel"/>
    <w:tmpl w:val="9D30BFA0"/>
    <w:lvl w:ilvl="0" w:tplc="FFFFFFFF">
      <w:start w:val="1"/>
      <w:numFmt w:val="upperLetter"/>
      <w:lvlText w:val="%1."/>
      <w:lvlJc w:val="left"/>
      <w:pPr>
        <w:tabs>
          <w:tab w:val="num" w:pos="1080"/>
        </w:tabs>
        <w:ind w:left="1080" w:hanging="720"/>
      </w:pPr>
      <w:rPr>
        <w:rFonts w:cs="Arial" w:hint="default"/>
        <w:b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408117710">
    <w:abstractNumId w:val="41"/>
  </w:num>
  <w:num w:numId="2" w16cid:durableId="395132351">
    <w:abstractNumId w:val="63"/>
  </w:num>
  <w:num w:numId="3" w16cid:durableId="683485111">
    <w:abstractNumId w:val="35"/>
  </w:num>
  <w:num w:numId="4" w16cid:durableId="888303166">
    <w:abstractNumId w:val="51"/>
  </w:num>
  <w:num w:numId="5" w16cid:durableId="937755136">
    <w:abstractNumId w:val="22"/>
  </w:num>
  <w:num w:numId="6" w16cid:durableId="770706160">
    <w:abstractNumId w:val="27"/>
  </w:num>
  <w:num w:numId="7" w16cid:durableId="1912621405">
    <w:abstractNumId w:val="23"/>
  </w:num>
  <w:num w:numId="8" w16cid:durableId="180946254">
    <w:abstractNumId w:val="42"/>
  </w:num>
  <w:num w:numId="9" w16cid:durableId="483395811">
    <w:abstractNumId w:val="26"/>
  </w:num>
  <w:num w:numId="10" w16cid:durableId="843129939">
    <w:abstractNumId w:val="25"/>
  </w:num>
  <w:num w:numId="11" w16cid:durableId="829566723">
    <w:abstractNumId w:val="49"/>
  </w:num>
  <w:num w:numId="12" w16cid:durableId="439373003">
    <w:abstractNumId w:val="13"/>
  </w:num>
  <w:num w:numId="13" w16cid:durableId="1394966300">
    <w:abstractNumId w:val="30"/>
  </w:num>
  <w:num w:numId="14" w16cid:durableId="1083793167">
    <w:abstractNumId w:val="57"/>
  </w:num>
  <w:num w:numId="15" w16cid:durableId="41289554">
    <w:abstractNumId w:val="24"/>
  </w:num>
  <w:num w:numId="16" w16cid:durableId="79370841">
    <w:abstractNumId w:val="9"/>
  </w:num>
  <w:num w:numId="17" w16cid:durableId="1571118888">
    <w:abstractNumId w:val="7"/>
  </w:num>
  <w:num w:numId="18" w16cid:durableId="2116052669">
    <w:abstractNumId w:val="6"/>
  </w:num>
  <w:num w:numId="19" w16cid:durableId="817764028">
    <w:abstractNumId w:val="5"/>
  </w:num>
  <w:num w:numId="20" w16cid:durableId="230042971">
    <w:abstractNumId w:val="4"/>
  </w:num>
  <w:num w:numId="21" w16cid:durableId="1769546142">
    <w:abstractNumId w:val="8"/>
  </w:num>
  <w:num w:numId="22" w16cid:durableId="2098364357">
    <w:abstractNumId w:val="3"/>
  </w:num>
  <w:num w:numId="23" w16cid:durableId="45028411">
    <w:abstractNumId w:val="2"/>
  </w:num>
  <w:num w:numId="24" w16cid:durableId="899246484">
    <w:abstractNumId w:val="1"/>
  </w:num>
  <w:num w:numId="25" w16cid:durableId="976648262">
    <w:abstractNumId w:val="0"/>
  </w:num>
  <w:num w:numId="26" w16cid:durableId="1624851051">
    <w:abstractNumId w:val="59"/>
  </w:num>
  <w:num w:numId="27" w16cid:durableId="284893697">
    <w:abstractNumId w:val="44"/>
  </w:num>
  <w:num w:numId="28" w16cid:durableId="112556197">
    <w:abstractNumId w:val="28"/>
  </w:num>
  <w:num w:numId="29" w16cid:durableId="1826781198">
    <w:abstractNumId w:val="45"/>
  </w:num>
  <w:num w:numId="30" w16cid:durableId="40599064">
    <w:abstractNumId w:val="46"/>
  </w:num>
  <w:num w:numId="31" w16cid:durableId="874587545">
    <w:abstractNumId w:val="17"/>
  </w:num>
  <w:num w:numId="32" w16cid:durableId="1794666580">
    <w:abstractNumId w:val="55"/>
  </w:num>
  <w:num w:numId="33" w16cid:durableId="614749954">
    <w:abstractNumId w:val="52"/>
  </w:num>
  <w:num w:numId="34" w16cid:durableId="2077586355">
    <w:abstractNumId w:val="29"/>
  </w:num>
  <w:num w:numId="35" w16cid:durableId="1884560045">
    <w:abstractNumId w:val="34"/>
  </w:num>
  <w:num w:numId="36" w16cid:durableId="1154374151">
    <w:abstractNumId w:val="60"/>
  </w:num>
  <w:num w:numId="37" w16cid:durableId="1827430313">
    <w:abstractNumId w:val="47"/>
  </w:num>
  <w:num w:numId="38" w16cid:durableId="380323024">
    <w:abstractNumId w:val="14"/>
  </w:num>
  <w:num w:numId="39" w16cid:durableId="1466049558">
    <w:abstractNumId w:val="15"/>
  </w:num>
  <w:num w:numId="40" w16cid:durableId="117652511">
    <w:abstractNumId w:val="19"/>
  </w:num>
  <w:num w:numId="41" w16cid:durableId="311764002">
    <w:abstractNumId w:val="10"/>
  </w:num>
  <w:num w:numId="42" w16cid:durableId="1118449087">
    <w:abstractNumId w:val="58"/>
  </w:num>
  <w:num w:numId="43" w16cid:durableId="173421731">
    <w:abstractNumId w:val="20"/>
  </w:num>
  <w:num w:numId="44" w16cid:durableId="280694128">
    <w:abstractNumId w:val="37"/>
  </w:num>
  <w:num w:numId="45" w16cid:durableId="2084912840">
    <w:abstractNumId w:val="53"/>
  </w:num>
  <w:num w:numId="46" w16cid:durableId="59116197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00179854">
    <w:abstractNumId w:val="40"/>
    <w:lvlOverride w:ilvl="0">
      <w:startOverride w:val="1"/>
    </w:lvlOverride>
    <w:lvlOverride w:ilvl="1"/>
    <w:lvlOverride w:ilvl="2"/>
    <w:lvlOverride w:ilvl="3"/>
    <w:lvlOverride w:ilvl="4"/>
    <w:lvlOverride w:ilvl="5"/>
    <w:lvlOverride w:ilvl="6"/>
    <w:lvlOverride w:ilvl="7"/>
    <w:lvlOverride w:ilvl="8"/>
  </w:num>
  <w:num w:numId="48" w16cid:durableId="79201690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946886541">
    <w:abstractNumId w:val="16"/>
    <w:lvlOverride w:ilvl="0">
      <w:startOverride w:val="1"/>
    </w:lvlOverride>
    <w:lvlOverride w:ilvl="1"/>
    <w:lvlOverride w:ilvl="2"/>
    <w:lvlOverride w:ilvl="3"/>
    <w:lvlOverride w:ilvl="4"/>
    <w:lvlOverride w:ilvl="5"/>
    <w:lvlOverride w:ilvl="6"/>
    <w:lvlOverride w:ilvl="7"/>
    <w:lvlOverride w:ilvl="8"/>
  </w:num>
  <w:num w:numId="50" w16cid:durableId="61348926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3957806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76688266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03145125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6302807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8862890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267692492">
    <w:abstractNumId w:val="39"/>
    <w:lvlOverride w:ilvl="0">
      <w:startOverride w:val="1"/>
    </w:lvlOverride>
    <w:lvlOverride w:ilvl="1"/>
    <w:lvlOverride w:ilvl="2"/>
    <w:lvlOverride w:ilvl="3"/>
    <w:lvlOverride w:ilvl="4"/>
    <w:lvlOverride w:ilvl="5"/>
    <w:lvlOverride w:ilvl="6"/>
    <w:lvlOverride w:ilvl="7"/>
    <w:lvlOverride w:ilvl="8"/>
  </w:num>
  <w:num w:numId="57" w16cid:durableId="2032761303">
    <w:abstractNumId w:val="61"/>
    <w:lvlOverride w:ilvl="0">
      <w:startOverride w:val="1"/>
    </w:lvlOverride>
    <w:lvlOverride w:ilvl="1"/>
    <w:lvlOverride w:ilvl="2"/>
    <w:lvlOverride w:ilvl="3"/>
    <w:lvlOverride w:ilvl="4"/>
    <w:lvlOverride w:ilvl="5"/>
    <w:lvlOverride w:ilvl="6"/>
    <w:lvlOverride w:ilvl="7"/>
    <w:lvlOverride w:ilvl="8"/>
  </w:num>
  <w:num w:numId="58" w16cid:durableId="9537508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73122665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87322896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913247413">
    <w:abstractNumId w:val="1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75651038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886212645">
    <w:abstractNumId w:val="36"/>
    <w:lvlOverride w:ilvl="0"/>
    <w:lvlOverride w:ilvl="1"/>
    <w:lvlOverride w:ilvl="2"/>
    <w:lvlOverride w:ilvl="3"/>
    <w:lvlOverride w:ilvl="4"/>
    <w:lvlOverride w:ilvl="5"/>
    <w:lvlOverride w:ilvl="6"/>
    <w:lvlOverride w:ilvl="7"/>
    <w:lvlOverride w:ilvl="8"/>
  </w:num>
  <w:num w:numId="64" w16cid:durableId="905335341">
    <w:abstractNumId w:val="5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350"/>
    <w:rsid w:val="00001CF5"/>
    <w:rsid w:val="0000459E"/>
    <w:rsid w:val="000133EE"/>
    <w:rsid w:val="00014820"/>
    <w:rsid w:val="000206A8"/>
    <w:rsid w:val="0003137A"/>
    <w:rsid w:val="00041171"/>
    <w:rsid w:val="00041727"/>
    <w:rsid w:val="0004226F"/>
    <w:rsid w:val="00050060"/>
    <w:rsid w:val="00050F8E"/>
    <w:rsid w:val="000518BB"/>
    <w:rsid w:val="000573AD"/>
    <w:rsid w:val="0006123B"/>
    <w:rsid w:val="00064F6B"/>
    <w:rsid w:val="00067325"/>
    <w:rsid w:val="000708A5"/>
    <w:rsid w:val="00071D6D"/>
    <w:rsid w:val="00072F17"/>
    <w:rsid w:val="000750D0"/>
    <w:rsid w:val="000806D8"/>
    <w:rsid w:val="00082C80"/>
    <w:rsid w:val="00083099"/>
    <w:rsid w:val="00083847"/>
    <w:rsid w:val="00083C36"/>
    <w:rsid w:val="00092CAE"/>
    <w:rsid w:val="00095E48"/>
    <w:rsid w:val="000A067F"/>
    <w:rsid w:val="000A0762"/>
    <w:rsid w:val="000A4F1C"/>
    <w:rsid w:val="000A5190"/>
    <w:rsid w:val="000A51EC"/>
    <w:rsid w:val="000A69BF"/>
    <w:rsid w:val="000C225A"/>
    <w:rsid w:val="000C6781"/>
    <w:rsid w:val="000C6A11"/>
    <w:rsid w:val="000D0753"/>
    <w:rsid w:val="000F5E49"/>
    <w:rsid w:val="000F7A87"/>
    <w:rsid w:val="00102EAE"/>
    <w:rsid w:val="001047DC"/>
    <w:rsid w:val="00105D2E"/>
    <w:rsid w:val="001065E7"/>
    <w:rsid w:val="00110CE0"/>
    <w:rsid w:val="00111BFD"/>
    <w:rsid w:val="0011498B"/>
    <w:rsid w:val="00120147"/>
    <w:rsid w:val="00123140"/>
    <w:rsid w:val="00123D94"/>
    <w:rsid w:val="001242AE"/>
    <w:rsid w:val="00146195"/>
    <w:rsid w:val="00155527"/>
    <w:rsid w:val="001564E9"/>
    <w:rsid w:val="00156F9B"/>
    <w:rsid w:val="00163BA3"/>
    <w:rsid w:val="00166B31"/>
    <w:rsid w:val="00167D54"/>
    <w:rsid w:val="001732E7"/>
    <w:rsid w:val="00180771"/>
    <w:rsid w:val="00190854"/>
    <w:rsid w:val="001930A3"/>
    <w:rsid w:val="00195AD9"/>
    <w:rsid w:val="00196EB8"/>
    <w:rsid w:val="001A25F0"/>
    <w:rsid w:val="001A341E"/>
    <w:rsid w:val="001B0EA6"/>
    <w:rsid w:val="001B1CDF"/>
    <w:rsid w:val="001B38BB"/>
    <w:rsid w:val="001B56F4"/>
    <w:rsid w:val="001C5462"/>
    <w:rsid w:val="001D265C"/>
    <w:rsid w:val="001D3062"/>
    <w:rsid w:val="001D3CFB"/>
    <w:rsid w:val="001D559B"/>
    <w:rsid w:val="001D6302"/>
    <w:rsid w:val="001E2C22"/>
    <w:rsid w:val="001E4565"/>
    <w:rsid w:val="001E740C"/>
    <w:rsid w:val="001E7DD0"/>
    <w:rsid w:val="001F1BDA"/>
    <w:rsid w:val="001F48A5"/>
    <w:rsid w:val="0020095E"/>
    <w:rsid w:val="00207AA6"/>
    <w:rsid w:val="00210BFE"/>
    <w:rsid w:val="00210D30"/>
    <w:rsid w:val="002204FD"/>
    <w:rsid w:val="00221020"/>
    <w:rsid w:val="0022455A"/>
    <w:rsid w:val="002308B5"/>
    <w:rsid w:val="00233C0B"/>
    <w:rsid w:val="00234A34"/>
    <w:rsid w:val="0025255D"/>
    <w:rsid w:val="00253070"/>
    <w:rsid w:val="00255EE3"/>
    <w:rsid w:val="00256B3D"/>
    <w:rsid w:val="0026409B"/>
    <w:rsid w:val="0026743C"/>
    <w:rsid w:val="00270480"/>
    <w:rsid w:val="002713E9"/>
    <w:rsid w:val="002779AF"/>
    <w:rsid w:val="002823D8"/>
    <w:rsid w:val="0028531A"/>
    <w:rsid w:val="00285446"/>
    <w:rsid w:val="00295593"/>
    <w:rsid w:val="002A29BD"/>
    <w:rsid w:val="002A354F"/>
    <w:rsid w:val="002A386C"/>
    <w:rsid w:val="002A3B7E"/>
    <w:rsid w:val="002B540D"/>
    <w:rsid w:val="002B7A7E"/>
    <w:rsid w:val="002C30BC"/>
    <w:rsid w:val="002C37B7"/>
    <w:rsid w:val="002C3987"/>
    <w:rsid w:val="002C5965"/>
    <w:rsid w:val="002C7A88"/>
    <w:rsid w:val="002C7AB9"/>
    <w:rsid w:val="002D232B"/>
    <w:rsid w:val="002D2759"/>
    <w:rsid w:val="002D5E00"/>
    <w:rsid w:val="002D6DAC"/>
    <w:rsid w:val="002E261D"/>
    <w:rsid w:val="002E3FAD"/>
    <w:rsid w:val="002E4E16"/>
    <w:rsid w:val="002F6DAC"/>
    <w:rsid w:val="00301E8C"/>
    <w:rsid w:val="00306057"/>
    <w:rsid w:val="00312177"/>
    <w:rsid w:val="003143C9"/>
    <w:rsid w:val="003146E9"/>
    <w:rsid w:val="00314D5D"/>
    <w:rsid w:val="00320009"/>
    <w:rsid w:val="0032424A"/>
    <w:rsid w:val="003245D3"/>
    <w:rsid w:val="00330AA3"/>
    <w:rsid w:val="00331584"/>
    <w:rsid w:val="00331964"/>
    <w:rsid w:val="00334987"/>
    <w:rsid w:val="00340C69"/>
    <w:rsid w:val="00342E34"/>
    <w:rsid w:val="00345FAA"/>
    <w:rsid w:val="00347201"/>
    <w:rsid w:val="0035567E"/>
    <w:rsid w:val="003638A1"/>
    <w:rsid w:val="00371CF1"/>
    <w:rsid w:val="00372211"/>
    <w:rsid w:val="00373128"/>
    <w:rsid w:val="003750C1"/>
    <w:rsid w:val="0038051E"/>
    <w:rsid w:val="003809E1"/>
    <w:rsid w:val="00380AF7"/>
    <w:rsid w:val="00394A05"/>
    <w:rsid w:val="003955F5"/>
    <w:rsid w:val="00397770"/>
    <w:rsid w:val="00397880"/>
    <w:rsid w:val="003A5894"/>
    <w:rsid w:val="003A7016"/>
    <w:rsid w:val="003A70AE"/>
    <w:rsid w:val="003B0C08"/>
    <w:rsid w:val="003B4908"/>
    <w:rsid w:val="003B5A74"/>
    <w:rsid w:val="003C17A5"/>
    <w:rsid w:val="003C1843"/>
    <w:rsid w:val="003C5D19"/>
    <w:rsid w:val="003D1552"/>
    <w:rsid w:val="003D423B"/>
    <w:rsid w:val="003E381F"/>
    <w:rsid w:val="003E4046"/>
    <w:rsid w:val="003F003A"/>
    <w:rsid w:val="003F125B"/>
    <w:rsid w:val="003F5943"/>
    <w:rsid w:val="003F7B3F"/>
    <w:rsid w:val="004058AD"/>
    <w:rsid w:val="0041078D"/>
    <w:rsid w:val="00413E2A"/>
    <w:rsid w:val="00416F97"/>
    <w:rsid w:val="0043039B"/>
    <w:rsid w:val="00436197"/>
    <w:rsid w:val="004423FE"/>
    <w:rsid w:val="00445C35"/>
    <w:rsid w:val="0045053B"/>
    <w:rsid w:val="00454B41"/>
    <w:rsid w:val="0045663A"/>
    <w:rsid w:val="0046344E"/>
    <w:rsid w:val="004654FB"/>
    <w:rsid w:val="004667E7"/>
    <w:rsid w:val="004672CF"/>
    <w:rsid w:val="00472B40"/>
    <w:rsid w:val="00472D8C"/>
    <w:rsid w:val="00475797"/>
    <w:rsid w:val="00476D0A"/>
    <w:rsid w:val="00482BF7"/>
    <w:rsid w:val="0049002F"/>
    <w:rsid w:val="0049253B"/>
    <w:rsid w:val="004A140B"/>
    <w:rsid w:val="004A4B47"/>
    <w:rsid w:val="004B0EC9"/>
    <w:rsid w:val="004B7BAA"/>
    <w:rsid w:val="004C2DF7"/>
    <w:rsid w:val="004C4E0B"/>
    <w:rsid w:val="004D497E"/>
    <w:rsid w:val="004E2350"/>
    <w:rsid w:val="004E4809"/>
    <w:rsid w:val="004E4CC3"/>
    <w:rsid w:val="004E5985"/>
    <w:rsid w:val="004E6352"/>
    <w:rsid w:val="004E6460"/>
    <w:rsid w:val="004F6B46"/>
    <w:rsid w:val="0050425E"/>
    <w:rsid w:val="005072C4"/>
    <w:rsid w:val="00511999"/>
    <w:rsid w:val="005145D6"/>
    <w:rsid w:val="005206E5"/>
    <w:rsid w:val="00520824"/>
    <w:rsid w:val="00521EA5"/>
    <w:rsid w:val="00525B80"/>
    <w:rsid w:val="0053098F"/>
    <w:rsid w:val="00536065"/>
    <w:rsid w:val="00536B2E"/>
    <w:rsid w:val="00546D8E"/>
    <w:rsid w:val="00553738"/>
    <w:rsid w:val="0056646F"/>
    <w:rsid w:val="00571AE1"/>
    <w:rsid w:val="00581B28"/>
    <w:rsid w:val="00590010"/>
    <w:rsid w:val="00592267"/>
    <w:rsid w:val="0059421F"/>
    <w:rsid w:val="00595ED4"/>
    <w:rsid w:val="005A136D"/>
    <w:rsid w:val="005A1B09"/>
    <w:rsid w:val="005B0AE2"/>
    <w:rsid w:val="005B1F2C"/>
    <w:rsid w:val="005B5F3C"/>
    <w:rsid w:val="005C41F2"/>
    <w:rsid w:val="005C5DDD"/>
    <w:rsid w:val="005C5EA3"/>
    <w:rsid w:val="005D03D9"/>
    <w:rsid w:val="005D1EE8"/>
    <w:rsid w:val="005D51CF"/>
    <w:rsid w:val="005D56AE"/>
    <w:rsid w:val="005D666D"/>
    <w:rsid w:val="005E3A59"/>
    <w:rsid w:val="005E6AA1"/>
    <w:rsid w:val="00604802"/>
    <w:rsid w:val="006125F8"/>
    <w:rsid w:val="00615AB0"/>
    <w:rsid w:val="00616247"/>
    <w:rsid w:val="0061778C"/>
    <w:rsid w:val="00636B90"/>
    <w:rsid w:val="00644CD5"/>
    <w:rsid w:val="0064738B"/>
    <w:rsid w:val="006508EA"/>
    <w:rsid w:val="006530BB"/>
    <w:rsid w:val="00667E86"/>
    <w:rsid w:val="006703D7"/>
    <w:rsid w:val="00681336"/>
    <w:rsid w:val="0068392D"/>
    <w:rsid w:val="0069167A"/>
    <w:rsid w:val="00696663"/>
    <w:rsid w:val="00697DB5"/>
    <w:rsid w:val="006A0216"/>
    <w:rsid w:val="006A161B"/>
    <w:rsid w:val="006A1B33"/>
    <w:rsid w:val="006A492A"/>
    <w:rsid w:val="006B5C72"/>
    <w:rsid w:val="006B7710"/>
    <w:rsid w:val="006C289D"/>
    <w:rsid w:val="006C2F46"/>
    <w:rsid w:val="006C452C"/>
    <w:rsid w:val="006D0310"/>
    <w:rsid w:val="006D2009"/>
    <w:rsid w:val="006D5576"/>
    <w:rsid w:val="006E766D"/>
    <w:rsid w:val="006F4B29"/>
    <w:rsid w:val="006F6CE9"/>
    <w:rsid w:val="006F6F80"/>
    <w:rsid w:val="0070517C"/>
    <w:rsid w:val="00705C9F"/>
    <w:rsid w:val="00716951"/>
    <w:rsid w:val="00720F6B"/>
    <w:rsid w:val="0072317C"/>
    <w:rsid w:val="00730ADA"/>
    <w:rsid w:val="00732C37"/>
    <w:rsid w:val="00735D9E"/>
    <w:rsid w:val="00740EE4"/>
    <w:rsid w:val="007415B4"/>
    <w:rsid w:val="00745A09"/>
    <w:rsid w:val="00751667"/>
    <w:rsid w:val="00751EAF"/>
    <w:rsid w:val="00753C6D"/>
    <w:rsid w:val="00754CF7"/>
    <w:rsid w:val="00757B0D"/>
    <w:rsid w:val="00761320"/>
    <w:rsid w:val="00762050"/>
    <w:rsid w:val="007651B1"/>
    <w:rsid w:val="00767CE1"/>
    <w:rsid w:val="00771A68"/>
    <w:rsid w:val="007744D2"/>
    <w:rsid w:val="00786136"/>
    <w:rsid w:val="007968E6"/>
    <w:rsid w:val="007A7D5F"/>
    <w:rsid w:val="007B05CF"/>
    <w:rsid w:val="007B4E8D"/>
    <w:rsid w:val="007C212A"/>
    <w:rsid w:val="007E7D21"/>
    <w:rsid w:val="007E7DBD"/>
    <w:rsid w:val="007F482F"/>
    <w:rsid w:val="007F7C94"/>
    <w:rsid w:val="0080398D"/>
    <w:rsid w:val="00805174"/>
    <w:rsid w:val="00806385"/>
    <w:rsid w:val="00807CC5"/>
    <w:rsid w:val="00807ED7"/>
    <w:rsid w:val="00814CC6"/>
    <w:rsid w:val="00826D53"/>
    <w:rsid w:val="00826E06"/>
    <w:rsid w:val="00831751"/>
    <w:rsid w:val="00833369"/>
    <w:rsid w:val="00835B42"/>
    <w:rsid w:val="00842A4E"/>
    <w:rsid w:val="00847D99"/>
    <w:rsid w:val="0085038E"/>
    <w:rsid w:val="0085230A"/>
    <w:rsid w:val="0086271D"/>
    <w:rsid w:val="0086420B"/>
    <w:rsid w:val="00864DBF"/>
    <w:rsid w:val="00865AE2"/>
    <w:rsid w:val="008663C8"/>
    <w:rsid w:val="00876FDC"/>
    <w:rsid w:val="0088163A"/>
    <w:rsid w:val="00887090"/>
    <w:rsid w:val="00893963"/>
    <w:rsid w:val="0089601F"/>
    <w:rsid w:val="008970B8"/>
    <w:rsid w:val="008A7313"/>
    <w:rsid w:val="008A7D91"/>
    <w:rsid w:val="008B7FC7"/>
    <w:rsid w:val="008C11BE"/>
    <w:rsid w:val="008C4337"/>
    <w:rsid w:val="008C4F06"/>
    <w:rsid w:val="008E1E4A"/>
    <w:rsid w:val="008F0615"/>
    <w:rsid w:val="008F103E"/>
    <w:rsid w:val="008F1FDB"/>
    <w:rsid w:val="008F36FB"/>
    <w:rsid w:val="008F7A8B"/>
    <w:rsid w:val="00900181"/>
    <w:rsid w:val="00902EA9"/>
    <w:rsid w:val="0090427F"/>
    <w:rsid w:val="009065CD"/>
    <w:rsid w:val="00920506"/>
    <w:rsid w:val="009319E8"/>
    <w:rsid w:val="00931DEB"/>
    <w:rsid w:val="009332D2"/>
    <w:rsid w:val="00933957"/>
    <w:rsid w:val="009356FA"/>
    <w:rsid w:val="0094022A"/>
    <w:rsid w:val="00945B8E"/>
    <w:rsid w:val="009473DB"/>
    <w:rsid w:val="009504A1"/>
    <w:rsid w:val="00950605"/>
    <w:rsid w:val="00952233"/>
    <w:rsid w:val="00954D66"/>
    <w:rsid w:val="00963F8F"/>
    <w:rsid w:val="00970BD5"/>
    <w:rsid w:val="00973C62"/>
    <w:rsid w:val="00975D76"/>
    <w:rsid w:val="00982E51"/>
    <w:rsid w:val="009874B9"/>
    <w:rsid w:val="00993581"/>
    <w:rsid w:val="009A288C"/>
    <w:rsid w:val="009A64C1"/>
    <w:rsid w:val="009B3D5A"/>
    <w:rsid w:val="009B6697"/>
    <w:rsid w:val="009B6C78"/>
    <w:rsid w:val="009C2B43"/>
    <w:rsid w:val="009C2EA4"/>
    <w:rsid w:val="009C4C04"/>
    <w:rsid w:val="009D5213"/>
    <w:rsid w:val="009E06B2"/>
    <w:rsid w:val="009E1C95"/>
    <w:rsid w:val="009F196A"/>
    <w:rsid w:val="009F3498"/>
    <w:rsid w:val="009F669B"/>
    <w:rsid w:val="009F7566"/>
    <w:rsid w:val="009F7F18"/>
    <w:rsid w:val="00A02A72"/>
    <w:rsid w:val="00A06BFE"/>
    <w:rsid w:val="00A10F5D"/>
    <w:rsid w:val="00A12254"/>
    <w:rsid w:val="00A1243C"/>
    <w:rsid w:val="00A135AE"/>
    <w:rsid w:val="00A14AF1"/>
    <w:rsid w:val="00A16891"/>
    <w:rsid w:val="00A25B99"/>
    <w:rsid w:val="00A268CE"/>
    <w:rsid w:val="00A332E8"/>
    <w:rsid w:val="00A35AF5"/>
    <w:rsid w:val="00A35DDF"/>
    <w:rsid w:val="00A36CBA"/>
    <w:rsid w:val="00A45741"/>
    <w:rsid w:val="00A50291"/>
    <w:rsid w:val="00A530E4"/>
    <w:rsid w:val="00A54C0E"/>
    <w:rsid w:val="00A604CD"/>
    <w:rsid w:val="00A60FE6"/>
    <w:rsid w:val="00A622F5"/>
    <w:rsid w:val="00A654BE"/>
    <w:rsid w:val="00A66DD6"/>
    <w:rsid w:val="00A75EC2"/>
    <w:rsid w:val="00A771FD"/>
    <w:rsid w:val="00A80767"/>
    <w:rsid w:val="00A861A3"/>
    <w:rsid w:val="00A874EF"/>
    <w:rsid w:val="00A9109D"/>
    <w:rsid w:val="00A95415"/>
    <w:rsid w:val="00AA131A"/>
    <w:rsid w:val="00AA3C89"/>
    <w:rsid w:val="00AB32BD"/>
    <w:rsid w:val="00AB4723"/>
    <w:rsid w:val="00AC4CDB"/>
    <w:rsid w:val="00AC70FE"/>
    <w:rsid w:val="00AD3AA3"/>
    <w:rsid w:val="00AD4358"/>
    <w:rsid w:val="00AF61E1"/>
    <w:rsid w:val="00AF638A"/>
    <w:rsid w:val="00AF7567"/>
    <w:rsid w:val="00B00141"/>
    <w:rsid w:val="00B009AA"/>
    <w:rsid w:val="00B00ECE"/>
    <w:rsid w:val="00B030C8"/>
    <w:rsid w:val="00B039C0"/>
    <w:rsid w:val="00B056E7"/>
    <w:rsid w:val="00B05B71"/>
    <w:rsid w:val="00B10035"/>
    <w:rsid w:val="00B15C76"/>
    <w:rsid w:val="00B165E6"/>
    <w:rsid w:val="00B235DB"/>
    <w:rsid w:val="00B24C31"/>
    <w:rsid w:val="00B411AF"/>
    <w:rsid w:val="00B447C0"/>
    <w:rsid w:val="00B53E53"/>
    <w:rsid w:val="00B548A2"/>
    <w:rsid w:val="00B56934"/>
    <w:rsid w:val="00B62F03"/>
    <w:rsid w:val="00B72444"/>
    <w:rsid w:val="00B93B62"/>
    <w:rsid w:val="00B953D1"/>
    <w:rsid w:val="00B96D93"/>
    <w:rsid w:val="00BA30D0"/>
    <w:rsid w:val="00BA77FB"/>
    <w:rsid w:val="00BB0D32"/>
    <w:rsid w:val="00BC76B5"/>
    <w:rsid w:val="00BD5420"/>
    <w:rsid w:val="00BE241E"/>
    <w:rsid w:val="00BF2233"/>
    <w:rsid w:val="00C023AF"/>
    <w:rsid w:val="00C04BD2"/>
    <w:rsid w:val="00C13EEC"/>
    <w:rsid w:val="00C14689"/>
    <w:rsid w:val="00C156A4"/>
    <w:rsid w:val="00C16356"/>
    <w:rsid w:val="00C20032"/>
    <w:rsid w:val="00C20BCE"/>
    <w:rsid w:val="00C20FAA"/>
    <w:rsid w:val="00C23509"/>
    <w:rsid w:val="00C2459D"/>
    <w:rsid w:val="00C2755A"/>
    <w:rsid w:val="00C316F1"/>
    <w:rsid w:val="00C42C95"/>
    <w:rsid w:val="00C4470F"/>
    <w:rsid w:val="00C50727"/>
    <w:rsid w:val="00C50A41"/>
    <w:rsid w:val="00C55E5B"/>
    <w:rsid w:val="00C62739"/>
    <w:rsid w:val="00C720A4"/>
    <w:rsid w:val="00C7611C"/>
    <w:rsid w:val="00C93FF2"/>
    <w:rsid w:val="00C94097"/>
    <w:rsid w:val="00CA4269"/>
    <w:rsid w:val="00CA48CA"/>
    <w:rsid w:val="00CA7330"/>
    <w:rsid w:val="00CB1C84"/>
    <w:rsid w:val="00CB5363"/>
    <w:rsid w:val="00CB64F0"/>
    <w:rsid w:val="00CC2909"/>
    <w:rsid w:val="00CD0549"/>
    <w:rsid w:val="00CE6B3C"/>
    <w:rsid w:val="00CF5E4B"/>
    <w:rsid w:val="00D03E49"/>
    <w:rsid w:val="00D05E6F"/>
    <w:rsid w:val="00D16D05"/>
    <w:rsid w:val="00D178D6"/>
    <w:rsid w:val="00D20296"/>
    <w:rsid w:val="00D2231A"/>
    <w:rsid w:val="00D27929"/>
    <w:rsid w:val="00D302CD"/>
    <w:rsid w:val="00D33442"/>
    <w:rsid w:val="00D419C6"/>
    <w:rsid w:val="00D44BAD"/>
    <w:rsid w:val="00D45B55"/>
    <w:rsid w:val="00D64A62"/>
    <w:rsid w:val="00D664D7"/>
    <w:rsid w:val="00D7097B"/>
    <w:rsid w:val="00D72207"/>
    <w:rsid w:val="00D72BC4"/>
    <w:rsid w:val="00D815FC"/>
    <w:rsid w:val="00D8517B"/>
    <w:rsid w:val="00D91DFA"/>
    <w:rsid w:val="00D94FED"/>
    <w:rsid w:val="00DA159A"/>
    <w:rsid w:val="00DB1AB2"/>
    <w:rsid w:val="00DC17C2"/>
    <w:rsid w:val="00DC4210"/>
    <w:rsid w:val="00DC4FDF"/>
    <w:rsid w:val="00DC66F0"/>
    <w:rsid w:val="00DD3A65"/>
    <w:rsid w:val="00DD62C6"/>
    <w:rsid w:val="00DD6576"/>
    <w:rsid w:val="00DD6CF7"/>
    <w:rsid w:val="00DD6DC4"/>
    <w:rsid w:val="00DE3B92"/>
    <w:rsid w:val="00DE48B4"/>
    <w:rsid w:val="00DE7137"/>
    <w:rsid w:val="00DF18E4"/>
    <w:rsid w:val="00E00498"/>
    <w:rsid w:val="00E1464C"/>
    <w:rsid w:val="00E14ADB"/>
    <w:rsid w:val="00E20D32"/>
    <w:rsid w:val="00E22F78"/>
    <w:rsid w:val="00E2425D"/>
    <w:rsid w:val="00E24F87"/>
    <w:rsid w:val="00E2617A"/>
    <w:rsid w:val="00E273FB"/>
    <w:rsid w:val="00E31CD4"/>
    <w:rsid w:val="00E4497F"/>
    <w:rsid w:val="00E538E6"/>
    <w:rsid w:val="00E64CBD"/>
    <w:rsid w:val="00E71C45"/>
    <w:rsid w:val="00E74332"/>
    <w:rsid w:val="00E802A2"/>
    <w:rsid w:val="00E80F02"/>
    <w:rsid w:val="00E8410F"/>
    <w:rsid w:val="00E85C0B"/>
    <w:rsid w:val="00E86BFA"/>
    <w:rsid w:val="00EA4EDD"/>
    <w:rsid w:val="00EA6A2D"/>
    <w:rsid w:val="00EA7089"/>
    <w:rsid w:val="00EB13D7"/>
    <w:rsid w:val="00EB1E83"/>
    <w:rsid w:val="00EB21B6"/>
    <w:rsid w:val="00ED22CB"/>
    <w:rsid w:val="00ED67AF"/>
    <w:rsid w:val="00EE11F0"/>
    <w:rsid w:val="00EE128C"/>
    <w:rsid w:val="00EE2B19"/>
    <w:rsid w:val="00EE4C48"/>
    <w:rsid w:val="00EE5D2E"/>
    <w:rsid w:val="00EE7E6F"/>
    <w:rsid w:val="00EF66D9"/>
    <w:rsid w:val="00EF68E3"/>
    <w:rsid w:val="00EF6BA5"/>
    <w:rsid w:val="00EF780D"/>
    <w:rsid w:val="00EF7A98"/>
    <w:rsid w:val="00F0267E"/>
    <w:rsid w:val="00F071B2"/>
    <w:rsid w:val="00F075C1"/>
    <w:rsid w:val="00F11B47"/>
    <w:rsid w:val="00F2412D"/>
    <w:rsid w:val="00F25D8D"/>
    <w:rsid w:val="00F3069C"/>
    <w:rsid w:val="00F30BF8"/>
    <w:rsid w:val="00F330A1"/>
    <w:rsid w:val="00F3603E"/>
    <w:rsid w:val="00F44CCB"/>
    <w:rsid w:val="00F474C9"/>
    <w:rsid w:val="00F5126B"/>
    <w:rsid w:val="00F54EA3"/>
    <w:rsid w:val="00F61675"/>
    <w:rsid w:val="00F6686B"/>
    <w:rsid w:val="00F67F74"/>
    <w:rsid w:val="00F712B3"/>
    <w:rsid w:val="00F71E9F"/>
    <w:rsid w:val="00F73DE3"/>
    <w:rsid w:val="00F744BF"/>
    <w:rsid w:val="00F7632C"/>
    <w:rsid w:val="00F77219"/>
    <w:rsid w:val="00F802F3"/>
    <w:rsid w:val="00F84DD2"/>
    <w:rsid w:val="00F906B8"/>
    <w:rsid w:val="00F94E44"/>
    <w:rsid w:val="00FA7307"/>
    <w:rsid w:val="00FB0872"/>
    <w:rsid w:val="00FB1F7A"/>
    <w:rsid w:val="00FB54CC"/>
    <w:rsid w:val="00FC2996"/>
    <w:rsid w:val="00FC362F"/>
    <w:rsid w:val="00FD0351"/>
    <w:rsid w:val="00FD1A37"/>
    <w:rsid w:val="00FD4E5B"/>
    <w:rsid w:val="00FE4EE0"/>
    <w:rsid w:val="00FE56C4"/>
    <w:rsid w:val="00FF0F9A"/>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08DE1E"/>
  <w15:docId w15:val="{62C21E53-2E1C-4255-AD52-35AEFA084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paragraph" w:customStyle="1" w:styleId="StyleWMOBodyTextBold">
    <w:name w:val="Style WMO_BodyText + Bold"/>
    <w:basedOn w:val="WMOBodyText"/>
    <w:rsid w:val="0035567E"/>
    <w:rPr>
      <w:b/>
      <w:bCs/>
      <w:lang w:val="es-ES_tradnl"/>
    </w:rPr>
  </w:style>
  <w:style w:type="paragraph" w:styleId="ListParagraph">
    <w:name w:val="List Paragraph"/>
    <w:basedOn w:val="Normal"/>
    <w:uiPriority w:val="34"/>
    <w:qFormat/>
    <w:rsid w:val="004E2350"/>
    <w:pPr>
      <w:tabs>
        <w:tab w:val="clear" w:pos="1134"/>
      </w:tabs>
      <w:spacing w:after="160" w:line="256" w:lineRule="auto"/>
      <w:ind w:left="720"/>
      <w:contextualSpacing/>
      <w:jc w:val="left"/>
    </w:pPr>
    <w:rPr>
      <w:rFonts w:asciiTheme="minorHAnsi" w:eastAsiaTheme="minorHAnsi" w:hAnsiTheme="minorHAnsi" w:cstheme="minorBidi"/>
      <w:sz w:val="22"/>
      <w:szCs w:val="22"/>
    </w:rPr>
  </w:style>
  <w:style w:type="character" w:customStyle="1" w:styleId="Style1Char">
    <w:name w:val="Style1 Char"/>
    <w:basedOn w:val="DefaultParagraphFont"/>
    <w:link w:val="Style1"/>
    <w:locked/>
    <w:rsid w:val="004E2350"/>
    <w:rPr>
      <w:rFonts w:ascii="Verdana" w:eastAsia="Arial" w:hAnsi="Verdana" w:cs="Arial"/>
      <w:lang w:val="en-GB" w:eastAsia="en-US"/>
    </w:rPr>
  </w:style>
  <w:style w:type="paragraph" w:customStyle="1" w:styleId="Style1">
    <w:name w:val="Style1"/>
    <w:basedOn w:val="Normal"/>
    <w:link w:val="Style1Char"/>
    <w:qFormat/>
    <w:rsid w:val="004E2350"/>
    <w:pPr>
      <w:spacing w:after="120"/>
    </w:pPr>
  </w:style>
  <w:style w:type="table" w:customStyle="1" w:styleId="TableGrid1">
    <w:name w:val="Table Grid1"/>
    <w:basedOn w:val="TableNormal"/>
    <w:uiPriority w:val="39"/>
    <w:rsid w:val="004E2350"/>
    <w:rPr>
      <w:rFonts w:asciiTheme="minorHAnsi" w:eastAsiaTheme="minorHAnsi" w:hAnsiTheme="minorHAnsi" w:cstheme="minorBidi"/>
      <w:sz w:val="22"/>
      <w:szCs w:val="22"/>
      <w:lang w:val="fr-CH"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188712259">
      <w:bodyDiv w:val="1"/>
      <w:marLeft w:val="0"/>
      <w:marRight w:val="0"/>
      <w:marTop w:val="0"/>
      <w:marBottom w:val="0"/>
      <w:divBdr>
        <w:top w:val="none" w:sz="0" w:space="0" w:color="auto"/>
        <w:left w:val="none" w:sz="0" w:space="0" w:color="auto"/>
        <w:bottom w:val="none" w:sz="0" w:space="0" w:color="auto"/>
        <w:right w:val="none" w:sz="0" w:space="0" w:color="auto"/>
      </w:divBdr>
    </w:div>
    <w:div w:id="1228035926">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ary.wmo.int/idurl/4/60351" TargetMode="External"/><Relationship Id="rId18" Type="http://schemas.openxmlformats.org/officeDocument/2006/relationships/image" Target="media/image4.png"/><Relationship Id="rId26" Type="http://schemas.openxmlformats.org/officeDocument/2006/relationships/hyperlink" Target="https://library.wmo.int/idurl/4/60373" TargetMode="External"/><Relationship Id="rId3" Type="http://schemas.openxmlformats.org/officeDocument/2006/relationships/customXml" Target="../customXml/item3.xml"/><Relationship Id="rId21" Type="http://schemas.openxmlformats.org/officeDocument/2006/relationships/hyperlink" Target="https://wdqms.wmo.int/"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library.wmo.int/idurl/4/60351" TargetMode="External"/><Relationship Id="rId33" Type="http://schemas.openxmlformats.org/officeDocument/2006/relationships/hyperlink" Target="https://library.wmo.int/idurl/4/60351" TargetMode="External"/><Relationship Id="rId2" Type="http://schemas.openxmlformats.org/officeDocument/2006/relationships/customXml" Target="../customXml/item2.xml"/><Relationship Id="rId16" Type="http://schemas.openxmlformats.org/officeDocument/2006/relationships/hyperlink" Target="https://library.wmo.int/idurl/4/60373" TargetMode="External"/><Relationship Id="rId20" Type="http://schemas.openxmlformats.org/officeDocument/2006/relationships/hyperlink" Target="https://oscar.wmo.int/surface" TargetMode="External"/><Relationship Id="rId29" Type="http://schemas.openxmlformats.org/officeDocument/2006/relationships/hyperlink" Target="https://community.wmo.int/activity-areas/WIGO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library.wmo.int/idurl/4/60170" TargetMode="External"/><Relationship Id="rId32" Type="http://schemas.openxmlformats.org/officeDocument/2006/relationships/hyperlink" Target="https://eucos.dwd.de/ravi/#SurfaceStationsSelectionPlace:%7B%7D" TargetMode="External"/><Relationship Id="rId5" Type="http://schemas.openxmlformats.org/officeDocument/2006/relationships/numbering" Target="numbering.xml"/><Relationship Id="rId15" Type="http://schemas.openxmlformats.org/officeDocument/2006/relationships/hyperlink" Target="https://library.wmo.int/idurl/4/60312" TargetMode="External"/><Relationship Id="rId23" Type="http://schemas.openxmlformats.org/officeDocument/2006/relationships/hyperlink" Target="https://eucos.dwd.de/ravi/#SurfaceStationsSelectionPlace:%7B%7D" TargetMode="External"/><Relationship Id="rId28" Type="http://schemas.openxmlformats.org/officeDocument/2006/relationships/hyperlink" Target="https://library.wmo.int/records/item/55852-regional-association-vi-europe-seventeenth-session?language_id=&amp;offset=2"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etrp.wmo.int/course/view.php?id=146" TargetMode="External"/><Relationship Id="rId31" Type="http://schemas.openxmlformats.org/officeDocument/2006/relationships/hyperlink" Target="https://etrp.wmo.int/course/view.php?id=14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brary.wmo.int/idurl/4/60351" TargetMode="External"/><Relationship Id="rId22" Type="http://schemas.openxmlformats.org/officeDocument/2006/relationships/hyperlink" Target="https://jira.ecmwf.int/projects/RWC/" TargetMode="External"/><Relationship Id="rId27" Type="http://schemas.openxmlformats.org/officeDocument/2006/relationships/hyperlink" Target="https://library.wmo.int/idurl/4/60312" TargetMode="External"/><Relationship Id="rId30" Type="http://schemas.openxmlformats.org/officeDocument/2006/relationships/hyperlink" Target="https://community.wmo.int/rwc"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BuesaLalueza\Downloads\RA-VI-19(I)-dxx-Template_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5062742951A54785FC5883805E6DC1" ma:contentTypeVersion="" ma:contentTypeDescription="Create a new document." ma:contentTypeScope="" ma:versionID="27629f2e7c90046e9d8eb8fdf5af5286">
  <xsd:schema xmlns:xsd="http://www.w3.org/2001/XMLSchema" xmlns:xs="http://www.w3.org/2001/XMLSchema" xmlns:p="http://schemas.microsoft.com/office/2006/metadata/properties" xmlns:ns2="d34343af-28c4-4431-8b96-d735d539fd00" targetNamespace="http://schemas.microsoft.com/office/2006/metadata/properties" ma:root="true" ma:fieldsID="402f2ef1d294f7c3fb9c773681361db2" ns2:_="">
    <xsd:import namespace="d34343af-28c4-4431-8b96-d735d539fd0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4343af-28c4-4431-8b96-d735d539fd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A0D6ED8-9C25-47E9-87C7-6F12C595A286}"/>
</file>

<file path=customXml/itemProps2.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3.xml><?xml version="1.0" encoding="utf-8"?>
<ds:datastoreItem xmlns:ds="http://schemas.openxmlformats.org/officeDocument/2006/customXml" ds:itemID="{EBAD02DA-5DFD-425C-9FAD-89F3BF317192}">
  <ds:schemaRefs>
    <ds:schemaRef ds:uri="http://schemas.openxmlformats.org/officeDocument/2006/bibliography"/>
  </ds:schemaRefs>
</ds:datastoreItem>
</file>

<file path=customXml/itemProps4.xml><?xml version="1.0" encoding="utf-8"?>
<ds:datastoreItem xmlns:ds="http://schemas.openxmlformats.org/officeDocument/2006/customXml" ds:itemID="{4CE4C997-AFE9-4FD5-8B67-4DD00902483D}">
  <ds:schemaRefs>
    <ds:schemaRef ds:uri="http://schemas.microsoft.com/office/2006/metadata/properties"/>
    <ds:schemaRef ds:uri="http://schemas.microsoft.com/office/infopath/2007/PartnerControls"/>
    <ds:schemaRef ds:uri="3679bf0f-1d7e-438f-afa5-6ebf1e20f9b8"/>
    <ds:schemaRef ds:uri="ce21bc6c-711a-4065-a01c-a8f0e29e3ad8"/>
  </ds:schemaRefs>
</ds:datastoreItem>
</file>

<file path=docProps/app.xml><?xml version="1.0" encoding="utf-8"?>
<Properties xmlns="http://schemas.openxmlformats.org/officeDocument/2006/extended-properties" xmlns:vt="http://schemas.openxmlformats.org/officeDocument/2006/docPropsVTypes">
  <Template>RA-VI-19(I)-dxx-Template_es</Template>
  <TotalTime>8</TotalTime>
  <Pages>23</Pages>
  <Words>6664</Words>
  <Characters>37985</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44560</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David Buesa Lalueza</dc:creator>
  <cp:lastModifiedBy>David Buesa Lalueza</cp:lastModifiedBy>
  <cp:revision>2</cp:revision>
  <cp:lastPrinted>2013-03-12T09:27:00Z</cp:lastPrinted>
  <dcterms:created xsi:type="dcterms:W3CDTF">2024-09-24T15:01:00Z</dcterms:created>
  <dcterms:modified xsi:type="dcterms:W3CDTF">2024-09-24T15:11:00Z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0x0101006B5062742951A54785FC5883805E6DC1</vt:lpwstr>
  </property>
  <property fmtid="{D5CDD505-2E9C-101B-9397-08002B2CF9AE}" pid="3" name="MediaServiceImageTags">
    <vt:lpwstr/>
  </property>
  <property fmtid="{D5CDD505-2E9C-101B-9397-08002B2CF9AE}" pid="4" name="TranslatedWith">
    <vt:lpwstr>Mercury</vt:lpwstr>
  </property>
  <property fmtid="{D5CDD505-2E9C-101B-9397-08002B2CF9AE}" pid="5" name="GeneratedBy">
    <vt:lpwstr>david.buesalalueza</vt:lpwstr>
  </property>
  <property fmtid="{D5CDD505-2E9C-101B-9397-08002B2CF9AE}" pid="6" name="OriginalDocID">
    <vt:lpwstr>bf01627b-4616-4cba-9a40-a553a8ac958d</vt:lpwstr>
  </property>
  <property fmtid="{D5CDD505-2E9C-101B-9397-08002B2CF9AE}" pid="7" name="GeneratedDate">
    <vt:lpwstr>09/16/2024 11:55:26</vt:lpwstr>
  </property>
</Properties>
</file>