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A29BD" w14:paraId="06AC50A2" w14:textId="77777777" w:rsidTr="00826D53">
        <w:trPr>
          <w:trHeight w:val="282"/>
        </w:trPr>
        <w:tc>
          <w:tcPr>
            <w:tcW w:w="500" w:type="dxa"/>
            <w:vMerge w:val="restart"/>
            <w:tcBorders>
              <w:bottom w:val="nil"/>
            </w:tcBorders>
            <w:textDirection w:val="btLr"/>
          </w:tcPr>
          <w:p w14:paraId="3EA160DA" w14:textId="77777777" w:rsidR="00A80767" w:rsidRPr="002A29BD" w:rsidRDefault="00F075C1" w:rsidP="00826D53">
            <w:pPr>
              <w:tabs>
                <w:tab w:val="clear" w:pos="1134"/>
                <w:tab w:val="left" w:pos="6946"/>
              </w:tabs>
              <w:suppressAutoHyphens/>
              <w:spacing w:after="120" w:line="252" w:lineRule="auto"/>
              <w:ind w:left="175" w:right="113"/>
              <w:jc w:val="right"/>
              <w:rPr>
                <w:color w:val="365F91" w:themeColor="accent1" w:themeShade="BF"/>
                <w:sz w:val="12"/>
                <w:szCs w:val="12"/>
                <w:lang w:val="es-419" w:eastAsia="zh-CN"/>
              </w:rPr>
            </w:pPr>
            <w:r w:rsidRPr="002A29BD">
              <w:rPr>
                <w:color w:val="365F91" w:themeColor="accent1" w:themeShade="BF"/>
                <w:sz w:val="10"/>
                <w:szCs w:val="10"/>
                <w:lang w:val="es-419" w:eastAsia="zh-CN"/>
              </w:rPr>
              <w:t>T</w:t>
            </w:r>
            <w:r w:rsidR="002A29BD">
              <w:rPr>
                <w:color w:val="365F91" w:themeColor="accent1" w:themeShade="BF"/>
                <w:sz w:val="10"/>
                <w:szCs w:val="10"/>
                <w:lang w:val="es-419" w:eastAsia="zh-CN"/>
              </w:rPr>
              <w:t>I</w:t>
            </w:r>
            <w:r w:rsidRPr="002A29BD">
              <w:rPr>
                <w:color w:val="365F91" w:themeColor="accent1" w:themeShade="BF"/>
                <w:sz w:val="10"/>
                <w:szCs w:val="10"/>
                <w:lang w:val="es-419" w:eastAsia="zh-CN"/>
              </w:rPr>
              <w:t>EMP</w:t>
            </w:r>
            <w:r w:rsidR="00472D8C" w:rsidRPr="002A29BD">
              <w:rPr>
                <w:color w:val="365F91" w:themeColor="accent1" w:themeShade="BF"/>
                <w:sz w:val="10"/>
                <w:szCs w:val="10"/>
                <w:lang w:val="es-419" w:eastAsia="zh-CN"/>
              </w:rPr>
              <w:t>O</w:t>
            </w:r>
            <w:r w:rsidRPr="002A29BD">
              <w:rPr>
                <w:color w:val="365F91" w:themeColor="accent1" w:themeShade="BF"/>
                <w:sz w:val="10"/>
                <w:szCs w:val="10"/>
                <w:lang w:val="es-419" w:eastAsia="zh-CN"/>
              </w:rPr>
              <w:t xml:space="preserve"> CLIMA </w:t>
            </w:r>
            <w:r w:rsidR="00472D8C" w:rsidRPr="002A29BD">
              <w:rPr>
                <w:color w:val="365F91" w:themeColor="accent1" w:themeShade="BF"/>
                <w:sz w:val="10"/>
                <w:szCs w:val="10"/>
                <w:lang w:val="es-419" w:eastAsia="zh-CN"/>
              </w:rPr>
              <w:t>AGUA</w:t>
            </w:r>
          </w:p>
        </w:tc>
        <w:tc>
          <w:tcPr>
            <w:tcW w:w="6852" w:type="dxa"/>
            <w:vMerge w:val="restart"/>
          </w:tcPr>
          <w:p w14:paraId="500D5141" w14:textId="77777777" w:rsidR="00A80767" w:rsidRPr="002A29BD" w:rsidRDefault="005E6AA1"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ahoma"/>
                <w:b/>
                <w:bCs/>
                <w:color w:val="365F91" w:themeColor="accent1" w:themeShade="BF"/>
                <w:szCs w:val="22"/>
                <w:lang w:val="es-419"/>
              </w:rPr>
              <w:t>Organi</w:t>
            </w:r>
            <w:r w:rsidR="003D423B" w:rsidRPr="002A29BD">
              <w:rPr>
                <w:rFonts w:cs="Tahoma"/>
                <w:b/>
                <w:bCs/>
                <w:color w:val="365F91" w:themeColor="accent1" w:themeShade="BF"/>
                <w:szCs w:val="22"/>
                <w:lang w:val="es-419"/>
              </w:rPr>
              <w:t>zación</w:t>
            </w:r>
            <w:r w:rsidRPr="002A29BD">
              <w:rPr>
                <w:rFonts w:cs="Tahoma"/>
                <w:b/>
                <w:bCs/>
                <w:color w:val="365F91" w:themeColor="accent1" w:themeShade="BF"/>
                <w:szCs w:val="22"/>
                <w:lang w:val="es-419"/>
              </w:rPr>
              <w:t xml:space="preserve">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 xml:space="preserve">eteorológica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undial</w:t>
            </w:r>
            <w:r w:rsidR="00A80767" w:rsidRPr="002A29BD">
              <w:rPr>
                <w:noProof/>
                <w:color w:val="365F91" w:themeColor="accent1" w:themeShade="BF"/>
                <w:szCs w:val="22"/>
                <w:lang w:val="es-419" w:eastAsia="zh-CN"/>
              </w:rPr>
              <w:drawing>
                <wp:anchor distT="0" distB="0" distL="114300" distR="114300" simplePos="0" relativeHeight="251659264" behindDoc="1" locked="1" layoutInCell="1" allowOverlap="1" wp14:anchorId="1F1C4403" wp14:editId="1A69FBC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2FE16" w14:textId="77777777" w:rsidR="00A80767" w:rsidRPr="002A29BD" w:rsidRDefault="008C11BE" w:rsidP="00826D53">
            <w:pPr>
              <w:tabs>
                <w:tab w:val="left" w:pos="6946"/>
              </w:tabs>
              <w:suppressAutoHyphens/>
              <w:spacing w:after="120" w:line="252" w:lineRule="auto"/>
              <w:ind w:left="1134"/>
              <w:jc w:val="left"/>
              <w:rPr>
                <w:rFonts w:cs="Tahoma"/>
                <w:b/>
                <w:color w:val="365F91" w:themeColor="accent1" w:themeShade="BF"/>
                <w:spacing w:val="-2"/>
                <w:szCs w:val="22"/>
                <w:lang w:val="es-419"/>
              </w:rPr>
            </w:pPr>
            <w:r w:rsidRPr="002A29BD">
              <w:rPr>
                <w:rFonts w:cs="Tahoma"/>
                <w:b/>
                <w:color w:val="365F91" w:themeColor="accent1" w:themeShade="BF"/>
                <w:spacing w:val="-2"/>
                <w:szCs w:val="22"/>
                <w:lang w:val="es-419"/>
              </w:rPr>
              <w:t>ASOCIACIÓN REGIONAL</w:t>
            </w:r>
            <w:r w:rsidR="00BF2233" w:rsidRPr="002A29BD">
              <w:rPr>
                <w:rFonts w:cs="Tahoma"/>
                <w:b/>
                <w:color w:val="365F91" w:themeColor="accent1" w:themeShade="BF"/>
                <w:spacing w:val="-2"/>
                <w:szCs w:val="22"/>
                <w:lang w:val="es-419"/>
              </w:rPr>
              <w:t xml:space="preserve"> </w:t>
            </w:r>
            <w:r w:rsidR="00B24C31" w:rsidRPr="002A29BD">
              <w:rPr>
                <w:rFonts w:cs="Tahoma"/>
                <w:b/>
                <w:color w:val="365F91" w:themeColor="accent1" w:themeShade="BF"/>
                <w:spacing w:val="-2"/>
                <w:szCs w:val="22"/>
                <w:lang w:val="es-419"/>
              </w:rPr>
              <w:t>V</w:t>
            </w:r>
            <w:r w:rsidR="00FD0351" w:rsidRPr="002A29BD">
              <w:rPr>
                <w:rFonts w:cs="Tahoma"/>
                <w:b/>
                <w:color w:val="365F91" w:themeColor="accent1" w:themeShade="BF"/>
                <w:spacing w:val="-2"/>
                <w:szCs w:val="22"/>
                <w:lang w:val="es-419"/>
              </w:rPr>
              <w:t>I (</w:t>
            </w:r>
            <w:r w:rsidR="00B24C31" w:rsidRPr="002A29BD">
              <w:rPr>
                <w:rFonts w:cs="Tahoma"/>
                <w:b/>
                <w:color w:val="365F91" w:themeColor="accent1" w:themeShade="BF"/>
                <w:spacing w:val="-2"/>
                <w:szCs w:val="22"/>
                <w:lang w:val="es-419"/>
              </w:rPr>
              <w:t>EUROPA</w:t>
            </w:r>
            <w:r w:rsidR="00FD0351" w:rsidRPr="002A29BD">
              <w:rPr>
                <w:rFonts w:cs="Tahoma"/>
                <w:b/>
                <w:color w:val="365F91" w:themeColor="accent1" w:themeShade="BF"/>
                <w:spacing w:val="-2"/>
                <w:szCs w:val="22"/>
                <w:lang w:val="es-419"/>
              </w:rPr>
              <w:t>)</w:t>
            </w:r>
          </w:p>
          <w:p w14:paraId="6A0A52CE" w14:textId="77777777" w:rsidR="00A80767" w:rsidRPr="002A29BD" w:rsidRDefault="00751667"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heme="minorBidi"/>
                <w:b/>
                <w:snapToGrid w:val="0"/>
                <w:color w:val="365F91" w:themeColor="accent1" w:themeShade="BF"/>
                <w:szCs w:val="22"/>
                <w:lang w:val="es-419"/>
              </w:rPr>
              <w:t>D</w:t>
            </w:r>
            <w:r w:rsidR="00BF2233" w:rsidRPr="002A29BD">
              <w:rPr>
                <w:rFonts w:cstheme="minorBidi"/>
                <w:b/>
                <w:snapToGrid w:val="0"/>
                <w:color w:val="365F91" w:themeColor="accent1" w:themeShade="BF"/>
                <w:szCs w:val="22"/>
                <w:lang w:val="es-419"/>
              </w:rPr>
              <w:t>ecimonovena reunión</w:t>
            </w:r>
            <w:r w:rsidR="00EA6A2D" w:rsidRPr="002A29BD">
              <w:rPr>
                <w:rFonts w:cstheme="minorBidi"/>
                <w:b/>
                <w:snapToGrid w:val="0"/>
                <w:color w:val="365F91" w:themeColor="accent1" w:themeShade="BF"/>
                <w:szCs w:val="22"/>
                <w:lang w:val="es-419"/>
              </w:rPr>
              <w:t xml:space="preserve"> (</w:t>
            </w:r>
            <w:r w:rsidR="008C11BE" w:rsidRPr="002A29BD">
              <w:rPr>
                <w:rFonts w:cstheme="minorBidi"/>
                <w:b/>
                <w:snapToGrid w:val="0"/>
                <w:color w:val="365F91" w:themeColor="accent1" w:themeShade="BF"/>
                <w:szCs w:val="22"/>
                <w:lang w:val="es-419"/>
              </w:rPr>
              <w:t xml:space="preserve">primera </w:t>
            </w:r>
            <w:r w:rsidR="00BF2233" w:rsidRPr="002A29BD">
              <w:rPr>
                <w:rFonts w:cstheme="minorBidi"/>
                <w:b/>
                <w:snapToGrid w:val="0"/>
                <w:color w:val="365F91" w:themeColor="accent1" w:themeShade="BF"/>
                <w:szCs w:val="22"/>
                <w:lang w:val="es-419"/>
              </w:rPr>
              <w:t>fa</w:t>
            </w:r>
            <w:r w:rsidR="00EA6A2D" w:rsidRPr="002A29BD">
              <w:rPr>
                <w:rFonts w:cstheme="minorBidi"/>
                <w:b/>
                <w:snapToGrid w:val="0"/>
                <w:color w:val="365F91" w:themeColor="accent1" w:themeShade="BF"/>
                <w:szCs w:val="22"/>
                <w:lang w:val="es-419"/>
              </w:rPr>
              <w:t>se)</w:t>
            </w:r>
            <w:r w:rsidR="00A80767" w:rsidRPr="002A29BD">
              <w:rPr>
                <w:rFonts w:cstheme="minorBidi"/>
                <w:b/>
                <w:snapToGrid w:val="0"/>
                <w:color w:val="365F91" w:themeColor="accent1" w:themeShade="BF"/>
                <w:szCs w:val="22"/>
                <w:lang w:val="es-419"/>
              </w:rPr>
              <w:br/>
            </w:r>
            <w:r w:rsidR="008C11BE" w:rsidRPr="002A29BD">
              <w:rPr>
                <w:snapToGrid w:val="0"/>
                <w:color w:val="365F91" w:themeColor="accent1" w:themeShade="BF"/>
                <w:szCs w:val="22"/>
                <w:lang w:val="es-419"/>
              </w:rPr>
              <w:t xml:space="preserve">Reunión virtual,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5</w:t>
            </w:r>
            <w:r w:rsidR="00BF2233" w:rsidRPr="002A29BD">
              <w:rPr>
                <w:snapToGrid w:val="0"/>
                <w:color w:val="365F91" w:themeColor="accent1" w:themeShade="BF"/>
                <w:szCs w:val="22"/>
                <w:lang w:val="es-419"/>
              </w:rPr>
              <w:t xml:space="preserve"> </w:t>
            </w:r>
            <w:r w:rsidR="00B24C31" w:rsidRPr="002A29BD">
              <w:rPr>
                <w:snapToGrid w:val="0"/>
                <w:color w:val="365F91" w:themeColor="accent1" w:themeShade="BF"/>
                <w:szCs w:val="22"/>
                <w:lang w:val="es-419"/>
              </w:rPr>
              <w:t>y</w:t>
            </w:r>
            <w:r w:rsidR="00BF2233" w:rsidRPr="002A29BD">
              <w:rPr>
                <w:snapToGrid w:val="0"/>
                <w:color w:val="365F91" w:themeColor="accent1" w:themeShade="BF"/>
                <w:szCs w:val="22"/>
                <w:lang w:val="es-419"/>
              </w:rPr>
              <w:t xml:space="preserve">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6</w:t>
            </w:r>
            <w:r w:rsidR="00FC2996" w:rsidRPr="002A29BD">
              <w:rPr>
                <w:snapToGrid w:val="0"/>
                <w:color w:val="365F91" w:themeColor="accent1" w:themeShade="BF"/>
                <w:szCs w:val="22"/>
                <w:lang w:val="es-419"/>
              </w:rPr>
              <w:t xml:space="preserve"> </w:t>
            </w:r>
            <w:r w:rsidR="00BF2233" w:rsidRPr="002A29BD">
              <w:rPr>
                <w:snapToGrid w:val="0"/>
                <w:color w:val="365F91" w:themeColor="accent1" w:themeShade="BF"/>
                <w:szCs w:val="22"/>
                <w:lang w:val="es-419"/>
              </w:rPr>
              <w:t xml:space="preserve">de </w:t>
            </w:r>
            <w:r w:rsidR="00B24C31" w:rsidRPr="002A29BD">
              <w:rPr>
                <w:snapToGrid w:val="0"/>
                <w:color w:val="365F91" w:themeColor="accent1" w:themeShade="BF"/>
                <w:szCs w:val="22"/>
                <w:lang w:val="es-419"/>
              </w:rPr>
              <w:t xml:space="preserve">octubre de </w:t>
            </w:r>
            <w:r w:rsidR="00EA6A2D" w:rsidRPr="002A29BD">
              <w:rPr>
                <w:snapToGrid w:val="0"/>
                <w:color w:val="365F91" w:themeColor="accent1" w:themeShade="BF"/>
                <w:szCs w:val="22"/>
                <w:lang w:val="es-419"/>
              </w:rPr>
              <w:t>2024</w:t>
            </w:r>
          </w:p>
        </w:tc>
        <w:tc>
          <w:tcPr>
            <w:tcW w:w="2962" w:type="dxa"/>
          </w:tcPr>
          <w:p w14:paraId="2917873F" w14:textId="42847E0E" w:rsidR="00A80767" w:rsidRPr="00D77AC6" w:rsidRDefault="0069167A" w:rsidP="00826D53">
            <w:pPr>
              <w:tabs>
                <w:tab w:val="clear" w:pos="1134"/>
              </w:tabs>
              <w:spacing w:after="60"/>
              <w:ind w:right="-108"/>
              <w:jc w:val="right"/>
              <w:rPr>
                <w:rFonts w:cs="Tahoma"/>
                <w:b/>
                <w:bCs/>
                <w:color w:val="365F91" w:themeColor="accent1" w:themeShade="BF"/>
                <w:szCs w:val="22"/>
                <w:lang w:val="en-US"/>
              </w:rPr>
            </w:pPr>
            <w:r w:rsidRPr="00D77AC6">
              <w:rPr>
                <w:rFonts w:cs="Tahoma"/>
                <w:b/>
                <w:bCs/>
                <w:color w:val="365F91" w:themeColor="accent1" w:themeShade="BF"/>
                <w:szCs w:val="22"/>
                <w:lang w:val="en-US"/>
              </w:rPr>
              <w:t>AR</w:t>
            </w:r>
            <w:r w:rsidR="00FC2996" w:rsidRPr="00D77AC6">
              <w:rPr>
                <w:rFonts w:cs="Tahoma"/>
                <w:b/>
                <w:bCs/>
                <w:color w:val="365F91" w:themeColor="accent1" w:themeShade="BF"/>
                <w:szCs w:val="22"/>
                <w:lang w:val="en-US"/>
              </w:rPr>
              <w:t xml:space="preserve"> </w:t>
            </w:r>
            <w:r w:rsidR="00B24C31" w:rsidRPr="00D77AC6">
              <w:rPr>
                <w:rFonts w:cs="Tahoma"/>
                <w:b/>
                <w:bCs/>
                <w:color w:val="365F91" w:themeColor="accent1" w:themeShade="BF"/>
                <w:szCs w:val="22"/>
                <w:lang w:val="en-US"/>
              </w:rPr>
              <w:t>V</w:t>
            </w:r>
            <w:r w:rsidR="00FC2996" w:rsidRPr="00D77AC6">
              <w:rPr>
                <w:rFonts w:cs="Tahoma"/>
                <w:b/>
                <w:bCs/>
                <w:color w:val="365F91" w:themeColor="accent1" w:themeShade="BF"/>
                <w:szCs w:val="22"/>
                <w:lang w:val="en-US"/>
              </w:rPr>
              <w:t>I</w:t>
            </w:r>
            <w:r w:rsidR="002A29BD" w:rsidRPr="00D77AC6">
              <w:rPr>
                <w:rFonts w:cs="Tahoma"/>
                <w:b/>
                <w:bCs/>
                <w:color w:val="365F91" w:themeColor="accent1" w:themeShade="BF"/>
                <w:szCs w:val="22"/>
                <w:lang w:val="en-US"/>
              </w:rPr>
              <w:t>-</w:t>
            </w:r>
            <w:r w:rsidR="00FC2996" w:rsidRPr="00D77AC6">
              <w:rPr>
                <w:rFonts w:cs="Tahoma"/>
                <w:b/>
                <w:bCs/>
                <w:color w:val="365F91" w:themeColor="accent1" w:themeShade="BF"/>
                <w:szCs w:val="22"/>
                <w:lang w:val="en-US"/>
              </w:rPr>
              <w:t>1</w:t>
            </w:r>
            <w:r w:rsidR="00EA6A2D" w:rsidRPr="00D77AC6">
              <w:rPr>
                <w:rFonts w:cs="Tahoma"/>
                <w:b/>
                <w:bCs/>
                <w:color w:val="365F91" w:themeColor="accent1" w:themeShade="BF"/>
                <w:szCs w:val="22"/>
                <w:lang w:val="en-US"/>
              </w:rPr>
              <w:t>9(I)</w:t>
            </w:r>
            <w:r w:rsidR="00FC2996" w:rsidRPr="00D77AC6">
              <w:rPr>
                <w:rFonts w:cs="Tahoma"/>
                <w:b/>
                <w:bCs/>
                <w:color w:val="365F91" w:themeColor="accent1" w:themeShade="BF"/>
                <w:szCs w:val="22"/>
                <w:lang w:val="en-US"/>
              </w:rPr>
              <w:t>/</w:t>
            </w:r>
            <w:r w:rsidR="00D77AC6">
              <w:rPr>
                <w:rFonts w:cs="Tahoma"/>
                <w:b/>
                <w:bCs/>
                <w:color w:val="365F91" w:themeColor="accent1" w:themeShade="BF"/>
                <w:szCs w:val="22"/>
                <w:lang w:val="en-US"/>
              </w:rPr>
              <w:t>INF</w:t>
            </w:r>
            <w:r w:rsidR="00FC2996" w:rsidRPr="00D77AC6">
              <w:rPr>
                <w:rFonts w:cs="Tahoma"/>
                <w:b/>
                <w:bCs/>
                <w:color w:val="365F91" w:themeColor="accent1" w:themeShade="BF"/>
                <w:szCs w:val="22"/>
                <w:lang w:val="en-US"/>
              </w:rPr>
              <w:t xml:space="preserve">. </w:t>
            </w:r>
            <w:r w:rsidR="00D77AC6">
              <w:rPr>
                <w:rFonts w:cs="Tahoma"/>
                <w:b/>
                <w:bCs/>
                <w:color w:val="365F91" w:themeColor="accent1" w:themeShade="BF"/>
                <w:szCs w:val="22"/>
                <w:lang w:val="en-US"/>
              </w:rPr>
              <w:t>3.1(1)</w:t>
            </w:r>
          </w:p>
        </w:tc>
      </w:tr>
      <w:tr w:rsidR="00A80767" w:rsidRPr="00D77AC6" w14:paraId="686D7CE8" w14:textId="77777777" w:rsidTr="00826D53">
        <w:trPr>
          <w:trHeight w:val="730"/>
        </w:trPr>
        <w:tc>
          <w:tcPr>
            <w:tcW w:w="500" w:type="dxa"/>
            <w:vMerge/>
            <w:tcBorders>
              <w:bottom w:val="nil"/>
            </w:tcBorders>
          </w:tcPr>
          <w:p w14:paraId="1B9E1B0A" w14:textId="77777777" w:rsidR="00A80767" w:rsidRPr="00D77AC6"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1B800D5A" w14:textId="77777777" w:rsidR="00A80767" w:rsidRPr="00D77AC6"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1A8CEA73" w14:textId="544C5B14" w:rsidR="00A80767" w:rsidRPr="00D77AC6" w:rsidRDefault="00347201" w:rsidP="00826D53">
            <w:pPr>
              <w:tabs>
                <w:tab w:val="clear" w:pos="1134"/>
              </w:tabs>
              <w:spacing w:before="120" w:after="60"/>
              <w:ind w:right="-108"/>
              <w:jc w:val="right"/>
              <w:rPr>
                <w:rFonts w:cs="Tahoma"/>
                <w:color w:val="365F91" w:themeColor="accent1" w:themeShade="BF"/>
                <w:szCs w:val="22"/>
                <w:lang w:val="es-419"/>
              </w:rPr>
            </w:pPr>
            <w:r w:rsidRPr="00D77AC6">
              <w:rPr>
                <w:rFonts w:cs="Tahoma"/>
                <w:color w:val="365F91" w:themeColor="accent1" w:themeShade="BF"/>
                <w:szCs w:val="22"/>
                <w:lang w:val="es-419"/>
              </w:rPr>
              <w:t>Pr</w:t>
            </w:r>
            <w:r w:rsidR="00BF2233" w:rsidRPr="00D77AC6">
              <w:rPr>
                <w:rFonts w:cs="Tahoma"/>
                <w:color w:val="365F91" w:themeColor="accent1" w:themeShade="BF"/>
                <w:szCs w:val="22"/>
                <w:lang w:val="es-419"/>
              </w:rPr>
              <w:t>esentado por</w:t>
            </w:r>
            <w:r w:rsidRPr="00D77AC6">
              <w:rPr>
                <w:rFonts w:cs="Tahoma"/>
                <w:color w:val="365F91" w:themeColor="accent1" w:themeShade="BF"/>
                <w:szCs w:val="22"/>
                <w:lang w:val="es-419"/>
              </w:rPr>
              <w:t>:</w:t>
            </w:r>
            <w:r w:rsidR="00A80767" w:rsidRPr="00D77AC6">
              <w:rPr>
                <w:rFonts w:cs="Tahoma"/>
                <w:color w:val="365F91" w:themeColor="accent1" w:themeShade="BF"/>
                <w:szCs w:val="22"/>
                <w:lang w:val="es-419"/>
              </w:rPr>
              <w:br/>
            </w:r>
            <w:proofErr w:type="gramStart"/>
            <w:r w:rsidR="00D77AC6" w:rsidRPr="00D77AC6">
              <w:rPr>
                <w:rFonts w:cs="Tahoma"/>
                <w:color w:val="365F91" w:themeColor="accent1" w:themeShade="BF"/>
                <w:szCs w:val="22"/>
                <w:lang w:val="es-419"/>
              </w:rPr>
              <w:t>Secretaria General</w:t>
            </w:r>
            <w:proofErr w:type="gramEnd"/>
          </w:p>
          <w:p w14:paraId="2B0AEC76" w14:textId="6640C781" w:rsidR="00A80767" w:rsidRPr="00D77AC6" w:rsidRDefault="00D77AC6" w:rsidP="00826D53">
            <w:pPr>
              <w:tabs>
                <w:tab w:val="clear" w:pos="1134"/>
              </w:tabs>
              <w:spacing w:before="120" w:after="60"/>
              <w:ind w:right="-108"/>
              <w:jc w:val="right"/>
              <w:rPr>
                <w:rFonts w:cs="Tahoma"/>
                <w:color w:val="365F91" w:themeColor="accent1" w:themeShade="BF"/>
                <w:szCs w:val="22"/>
                <w:lang w:val="es-419"/>
              </w:rPr>
            </w:pPr>
            <w:r w:rsidRPr="00D77AC6">
              <w:rPr>
                <w:rFonts w:cs="Tahoma"/>
                <w:color w:val="365F91" w:themeColor="accent1" w:themeShade="BF"/>
                <w:szCs w:val="22"/>
                <w:lang w:val="es-419"/>
              </w:rPr>
              <w:t>4</w:t>
            </w:r>
            <w:r w:rsidR="00FC2996" w:rsidRPr="00D77AC6">
              <w:rPr>
                <w:rFonts w:cs="Tahoma"/>
                <w:color w:val="365F91" w:themeColor="accent1" w:themeShade="BF"/>
                <w:szCs w:val="22"/>
                <w:lang w:val="es-419"/>
              </w:rPr>
              <w:t>.</w:t>
            </w:r>
            <w:r w:rsidRPr="00D77AC6">
              <w:rPr>
                <w:rFonts w:cs="Tahoma"/>
                <w:color w:val="365F91" w:themeColor="accent1" w:themeShade="BF"/>
                <w:szCs w:val="22"/>
                <w:lang w:val="es-419"/>
              </w:rPr>
              <w:t>I</w:t>
            </w:r>
            <w:r w:rsidR="00740EE4" w:rsidRPr="00D77AC6">
              <w:rPr>
                <w:rFonts w:cs="Tahoma"/>
                <w:color w:val="365F91" w:themeColor="accent1" w:themeShade="BF"/>
                <w:szCs w:val="22"/>
                <w:lang w:val="es-419"/>
              </w:rPr>
              <w:t>X</w:t>
            </w:r>
            <w:r w:rsidR="00FC2996" w:rsidRPr="00D77AC6">
              <w:rPr>
                <w:rFonts w:cs="Tahoma"/>
                <w:color w:val="365F91" w:themeColor="accent1" w:themeShade="BF"/>
                <w:szCs w:val="22"/>
                <w:lang w:val="es-419"/>
              </w:rPr>
              <w:t>.202</w:t>
            </w:r>
            <w:r w:rsidR="00EA6A2D" w:rsidRPr="00D77AC6">
              <w:rPr>
                <w:rFonts w:cs="Tahoma"/>
                <w:color w:val="365F91" w:themeColor="accent1" w:themeShade="BF"/>
                <w:szCs w:val="22"/>
                <w:lang w:val="es-419"/>
              </w:rPr>
              <w:t>4</w:t>
            </w:r>
          </w:p>
          <w:p w14:paraId="5D1E248F" w14:textId="77777777" w:rsidR="00A80767" w:rsidRPr="002A29BD" w:rsidRDefault="00740EE4" w:rsidP="00826D53">
            <w:pPr>
              <w:tabs>
                <w:tab w:val="clear" w:pos="1134"/>
              </w:tabs>
              <w:spacing w:before="120" w:after="60"/>
              <w:ind w:right="-108"/>
              <w:jc w:val="right"/>
              <w:rPr>
                <w:rFonts w:cs="Tahoma"/>
                <w:b/>
                <w:bCs/>
                <w:color w:val="365F91" w:themeColor="accent1" w:themeShade="BF"/>
                <w:szCs w:val="22"/>
                <w:highlight w:val="lightGray"/>
                <w:lang w:val="es-419"/>
              </w:rPr>
            </w:pPr>
            <w:r w:rsidRPr="002A29BD">
              <w:rPr>
                <w:rFonts w:cs="Tahoma"/>
                <w:b/>
                <w:bCs/>
                <w:color w:val="365F91" w:themeColor="accent1" w:themeShade="BF"/>
                <w:szCs w:val="22"/>
                <w:lang w:val="es-419"/>
              </w:rPr>
              <w:t>VERSI</w:t>
            </w:r>
            <w:r w:rsidR="002A29BD" w:rsidRPr="002A29BD">
              <w:rPr>
                <w:rFonts w:cs="Tahoma"/>
                <w:b/>
                <w:bCs/>
                <w:color w:val="365F91" w:themeColor="accent1" w:themeShade="BF"/>
                <w:szCs w:val="22"/>
                <w:lang w:val="es-419"/>
              </w:rPr>
              <w:t>Ó</w:t>
            </w:r>
            <w:r w:rsidRPr="002A29BD">
              <w:rPr>
                <w:rFonts w:cs="Tahoma"/>
                <w:b/>
                <w:bCs/>
                <w:color w:val="365F91" w:themeColor="accent1" w:themeShade="BF"/>
                <w:szCs w:val="22"/>
                <w:lang w:val="es-419"/>
              </w:rPr>
              <w:t>N</w:t>
            </w:r>
            <w:r w:rsidR="00A80767" w:rsidRPr="002A29BD">
              <w:rPr>
                <w:rFonts w:cs="Tahoma"/>
                <w:b/>
                <w:bCs/>
                <w:color w:val="365F91" w:themeColor="accent1" w:themeShade="BF"/>
                <w:szCs w:val="22"/>
                <w:lang w:val="es-419"/>
              </w:rPr>
              <w:t xml:space="preserve"> 1</w:t>
            </w:r>
          </w:p>
        </w:tc>
      </w:tr>
    </w:tbl>
    <w:p w14:paraId="36CFC630" w14:textId="77777777" w:rsidR="00D77AC6" w:rsidRPr="00930F76" w:rsidRDefault="00D77AC6" w:rsidP="00D77AC6">
      <w:pPr>
        <w:rPr>
          <w:rFonts w:ascii="Calibri" w:hAnsi="Calibri" w:cs="Calibri"/>
          <w:i/>
          <w:iCs/>
          <w:color w:val="FF0000"/>
          <w:lang w:val="es-ES"/>
        </w:rPr>
      </w:pPr>
      <w:bookmarkStart w:id="0" w:name="_APPENDIX_A:_"/>
      <w:bookmarkEnd w:id="0"/>
      <w:r w:rsidRPr="00930F76">
        <w:rPr>
          <w:rFonts w:ascii="Calibri" w:eastAsia="Calibri" w:hAnsi="Calibri" w:cs="Calibri"/>
          <w:i/>
          <w:iCs/>
          <w:color w:val="FF0000"/>
          <w:sz w:val="22"/>
          <w:szCs w:val="22"/>
          <w:lang w:val="es-ES"/>
        </w:rPr>
        <w:t xml:space="preserve">[El presente documento ha sido traducido para su comodidad empleando tecnologías de traducción automática sin </w:t>
      </w:r>
      <w:proofErr w:type="spellStart"/>
      <w:r w:rsidRPr="00930F76">
        <w:rPr>
          <w:rFonts w:ascii="Calibri" w:eastAsia="Calibri" w:hAnsi="Calibri" w:cs="Calibri"/>
          <w:i/>
          <w:iCs/>
          <w:color w:val="FF0000"/>
          <w:sz w:val="22"/>
          <w:szCs w:val="22"/>
          <w:lang w:val="es-ES"/>
        </w:rPr>
        <w:t>posedición</w:t>
      </w:r>
      <w:proofErr w:type="spellEnd"/>
      <w:r w:rsidRPr="00930F76">
        <w:rPr>
          <w:rFonts w:ascii="Calibri" w:eastAsia="Calibri" w:hAnsi="Calibri" w:cs="Calibri"/>
          <w:i/>
          <w:iCs/>
          <w:color w:val="FF0000"/>
          <w:sz w:val="22"/>
          <w:szCs w:val="22"/>
          <w:lang w:val="es-ES"/>
        </w:rPr>
        <w:t xml:space="preserve">. </w:t>
      </w:r>
      <w:r w:rsidRPr="00930F76">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p>
    <w:p w14:paraId="5BF2E3EC" w14:textId="77777777" w:rsidR="00D77AC6" w:rsidRPr="002A3E29" w:rsidRDefault="00D77AC6" w:rsidP="00D77AC6">
      <w:pPr>
        <w:pStyle w:val="Heading2"/>
        <w:rPr>
          <w:lang w:val="es-ES"/>
        </w:rPr>
      </w:pPr>
      <w:r>
        <w:rPr>
          <w:lang w:val="es-ES"/>
        </w:rPr>
        <w:t>MARCOS DE COOPERACIÓN REGIONAL Y MECANISMO DE TRABAJO</w:t>
      </w:r>
    </w:p>
    <w:p w14:paraId="101EAF53" w14:textId="77777777" w:rsidR="00D77AC6" w:rsidRPr="00930F76" w:rsidRDefault="00D77AC6" w:rsidP="00D77AC6">
      <w:pPr>
        <w:pStyle w:val="Heading3"/>
        <w:rPr>
          <w:lang w:val="es-ES"/>
        </w:rPr>
      </w:pPr>
      <w:r w:rsidRPr="00930F76">
        <w:rPr>
          <w:lang w:val="es-ES"/>
        </w:rPr>
        <w:t>Introducción</w:t>
      </w:r>
    </w:p>
    <w:p w14:paraId="0438CDC9"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Asociación Regional VI (AR VI) de la Organización Meteorológica Mundial (OMM) incluye países de Europa, Oriente Medio y el Cáucaso Meridional. La AR VI es fundamental para promover la cooperación, la coordinación y la ejecución de los programas de la OMM en la región. La AR VI refuerza los servicios meteorológicos, hidrológicos y relacionados con el clima, abordando los retos regionales y apoyando el desarrollo sostenible.</w:t>
      </w:r>
    </w:p>
    <w:p w14:paraId="123B4834" w14:textId="77777777" w:rsidR="00D77AC6" w:rsidRPr="00930F76" w:rsidRDefault="00D77AC6" w:rsidP="00D77AC6">
      <w:pPr>
        <w:pStyle w:val="Heading3"/>
        <w:rPr>
          <w:lang w:val="es-ES"/>
        </w:rPr>
      </w:pPr>
      <w:r w:rsidRPr="00930F76">
        <w:rPr>
          <w:lang w:val="es-ES"/>
        </w:rPr>
        <w:t xml:space="preserve">Regional </w:t>
      </w:r>
      <w:proofErr w:type="spellStart"/>
      <w:r w:rsidRPr="00930F76">
        <w:rPr>
          <w:lang w:val="es-ES"/>
        </w:rPr>
        <w:t>Cooperation</w:t>
      </w:r>
      <w:proofErr w:type="spellEnd"/>
      <w:r w:rsidRPr="00930F76">
        <w:rPr>
          <w:lang w:val="es-ES"/>
        </w:rPr>
        <w:t xml:space="preserve"> </w:t>
      </w:r>
      <w:proofErr w:type="spellStart"/>
      <w:r w:rsidRPr="00930F76">
        <w:rPr>
          <w:lang w:val="es-ES"/>
        </w:rPr>
        <w:t>Frameworks</w:t>
      </w:r>
      <w:proofErr w:type="spellEnd"/>
    </w:p>
    <w:p w14:paraId="074D9E81"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AR VI opera a través de varios marcos de cooperación regional que mejoran la capacidad de los Servicios Meteorológicos e Hidrológicos Nacionales (SMHN) de toda la región:</w:t>
      </w:r>
    </w:p>
    <w:p w14:paraId="47C66366" w14:textId="77777777" w:rsidR="00D77AC6" w:rsidRPr="00930F76" w:rsidRDefault="00D77AC6" w:rsidP="00D77AC6">
      <w:pPr>
        <w:pStyle w:val="NormalWeb"/>
        <w:numPr>
          <w:ilvl w:val="0"/>
          <w:numId w:val="46"/>
        </w:numPr>
        <w:tabs>
          <w:tab w:val="clear" w:pos="720"/>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Infraestructura Meteorológica Europea (IME): la IME integra los esfuerzos de los SMHN europeos e incluye organizaciones clave como:</w:t>
      </w:r>
    </w:p>
    <w:p w14:paraId="20E02429" w14:textId="77777777" w:rsidR="00D77AC6" w:rsidRPr="00930F76" w:rsidRDefault="00D77AC6" w:rsidP="00D77AC6">
      <w:pPr>
        <w:numPr>
          <w:ilvl w:val="1"/>
          <w:numId w:val="47"/>
        </w:numPr>
        <w:tabs>
          <w:tab w:val="clear" w:pos="1134"/>
        </w:tabs>
        <w:spacing w:before="240" w:after="120"/>
        <w:ind w:left="1134" w:hanging="567"/>
        <w:jc w:val="left"/>
        <w:rPr>
          <w:lang w:val="es-ES"/>
        </w:rPr>
      </w:pPr>
      <w:r w:rsidRPr="00930F76">
        <w:rPr>
          <w:lang w:val="es-ES"/>
        </w:rPr>
        <w:t>La Agencia Europea de Satélites Operativos para la Vigilancia del Tiempo, el Clima y el Medio Ambiente desde el Espacio (EUMETSAT): la Organización Europea para la Explotación de Satélites Meteorológicos, que opera sistemas de satélites que proporcionan datos cruciales para la previsión meteorológica y la vigilancia del clima.</w:t>
      </w:r>
    </w:p>
    <w:p w14:paraId="51D80625" w14:textId="77777777" w:rsidR="00D77AC6" w:rsidRPr="00930F76" w:rsidRDefault="00D77AC6" w:rsidP="00D77AC6">
      <w:pPr>
        <w:numPr>
          <w:ilvl w:val="1"/>
          <w:numId w:val="47"/>
        </w:numPr>
        <w:tabs>
          <w:tab w:val="clear" w:pos="1134"/>
        </w:tabs>
        <w:spacing w:before="240" w:after="120"/>
        <w:ind w:left="1134" w:hanging="567"/>
        <w:jc w:val="left"/>
        <w:rPr>
          <w:lang w:val="es-ES"/>
        </w:rPr>
      </w:pPr>
      <w:r w:rsidRPr="00930F76">
        <w:rPr>
          <w:lang w:val="es-ES"/>
        </w:rPr>
        <w:t>La Red Meteorológica Europea (EUMETNET): una red de SMHN europeos que coordina las actividades en meteorología, incluidas las observaciones, el intercambio de datos y el desarrollo de proyectos conjuntos.</w:t>
      </w:r>
    </w:p>
    <w:p w14:paraId="67709DB2" w14:textId="77777777" w:rsidR="00D77AC6" w:rsidRPr="00930F76" w:rsidRDefault="00D77AC6" w:rsidP="00D77AC6">
      <w:pPr>
        <w:numPr>
          <w:ilvl w:val="1"/>
          <w:numId w:val="47"/>
        </w:numPr>
        <w:tabs>
          <w:tab w:val="clear" w:pos="1134"/>
        </w:tabs>
        <w:spacing w:before="240" w:after="120"/>
        <w:ind w:left="1134" w:hanging="567"/>
        <w:jc w:val="left"/>
        <w:rPr>
          <w:lang w:val="es-ES"/>
        </w:rPr>
      </w:pPr>
      <w:r w:rsidRPr="00930F76">
        <w:rPr>
          <w:lang w:val="es-ES"/>
        </w:rPr>
        <w:t>Centro Europeo de Predicción Meteorológica a Medio Plazo (ECMWF): el ECMWF proporciona predicciones meteorológicas numéricas globales y apoya la investigación en ciencias atmosféricas.</w:t>
      </w:r>
    </w:p>
    <w:p w14:paraId="665E90DA" w14:textId="77777777" w:rsidR="00D77AC6" w:rsidRPr="00930F76" w:rsidRDefault="00D77AC6" w:rsidP="00D77AC6">
      <w:pPr>
        <w:pStyle w:val="ListParagraph"/>
        <w:numPr>
          <w:ilvl w:val="0"/>
          <w:numId w:val="46"/>
        </w:numPr>
        <w:tabs>
          <w:tab w:val="clear" w:pos="720"/>
          <w:tab w:val="num" w:pos="567"/>
        </w:tabs>
        <w:spacing w:before="240" w:after="120"/>
        <w:ind w:left="567" w:hanging="567"/>
        <w:contextualSpacing w:val="0"/>
        <w:rPr>
          <w:rStyle w:val="Strong"/>
          <w:rFonts w:eastAsia="Times New Roman" w:cs="Times New Roman"/>
          <w:b w:val="0"/>
          <w:bCs w:val="0"/>
          <w:lang w:val="es-ES"/>
        </w:rPr>
      </w:pPr>
      <w:r w:rsidRPr="00930F76">
        <w:rPr>
          <w:lang w:val="es-ES"/>
        </w:rPr>
        <w:t>Laboratorio Europeo de Tormentas Severas (ESSL): El ESSL se centra en la investigación sobre el tiempo severo, incluida la predicción y el análisis de tormentas severas en toda Europa.</w:t>
      </w:r>
    </w:p>
    <w:p w14:paraId="54E7D735" w14:textId="77777777" w:rsidR="00D77AC6" w:rsidRPr="00930F76" w:rsidRDefault="00D77AC6" w:rsidP="00D77AC6">
      <w:pPr>
        <w:pStyle w:val="NormalWeb"/>
        <w:numPr>
          <w:ilvl w:val="0"/>
          <w:numId w:val="46"/>
        </w:numPr>
        <w:tabs>
          <w:tab w:val="clear" w:pos="720"/>
          <w:tab w:val="num" w:pos="567"/>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 xml:space="preserve">Marco Regional para Europa Oriental, el Cáucaso Meridional y Asia Central: este marco está diseñado para mejorar la capacidad y resistencia de los SMHN de Europa Oriental, el Cáucaso Meridional y Asia Central. Hace hincapié en los sistemas de alerta temprana, los servicios climáticos y la reducción del riesgo de catástrofes, con la colaboración facilitada por el Consejo Interestatal de </w:t>
      </w:r>
      <w:proofErr w:type="spellStart"/>
      <w:r w:rsidRPr="00930F76">
        <w:rPr>
          <w:rFonts w:ascii="Verdana" w:hAnsi="Verdana"/>
          <w:sz w:val="20"/>
          <w:szCs w:val="20"/>
          <w:lang w:val="es-ES"/>
        </w:rPr>
        <w:t>Hidrometeorología</w:t>
      </w:r>
      <w:proofErr w:type="spellEnd"/>
      <w:r w:rsidRPr="00930F76">
        <w:rPr>
          <w:rFonts w:ascii="Verdana" w:hAnsi="Verdana"/>
          <w:sz w:val="20"/>
          <w:szCs w:val="20"/>
          <w:lang w:val="es-ES"/>
        </w:rPr>
        <w:t xml:space="preserve"> de la Comunidad de Estados </w:t>
      </w:r>
      <w:r w:rsidRPr="00930F76">
        <w:rPr>
          <w:rFonts w:ascii="Verdana" w:hAnsi="Verdana"/>
          <w:sz w:val="20"/>
          <w:szCs w:val="20"/>
          <w:lang w:val="es-ES"/>
        </w:rPr>
        <w:lastRenderedPageBreak/>
        <w:t>Independientes (CEI). Este Consejo coordina las actividades y fomenta la cooperación entre los Estados miembros de la región.</w:t>
      </w:r>
    </w:p>
    <w:p w14:paraId="5D37E831" w14:textId="77777777" w:rsidR="00D77AC6" w:rsidRPr="00930F76" w:rsidRDefault="00D77AC6" w:rsidP="00D77AC6">
      <w:pPr>
        <w:pStyle w:val="NormalWeb"/>
        <w:numPr>
          <w:ilvl w:val="0"/>
          <w:numId w:val="46"/>
        </w:numPr>
        <w:tabs>
          <w:tab w:val="clear" w:pos="720"/>
          <w:tab w:val="num" w:pos="567"/>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Cooperación en el Mediterráneo y Oriente Medio: en esta región, la AR VI colabora con la Unión por el Mediterráneo para mejorar los servicios climáticos, gestionar los recursos hídricos y afrontar los retos relacionados con la sequía y los fenómenos meteorológicos extremos. Esta asociación desempeña un papel crucial en la promoción de la sostenibilidad y la resiliencia en los países mediterráneos y de Oriente Medio.</w:t>
      </w:r>
    </w:p>
    <w:p w14:paraId="44D374C5" w14:textId="77777777" w:rsidR="00D77AC6" w:rsidRPr="00930F76" w:rsidRDefault="00D77AC6" w:rsidP="00D77AC6">
      <w:pPr>
        <w:pStyle w:val="NormalWeb"/>
        <w:numPr>
          <w:ilvl w:val="0"/>
          <w:numId w:val="46"/>
        </w:numPr>
        <w:tabs>
          <w:tab w:val="clear" w:pos="720"/>
          <w:tab w:val="num" w:pos="567"/>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 xml:space="preserve">Comisiones internacionales de cuenca fluvial: La AR VI colabora con las Comisiones de Cuencas Fluviales Internacionales para abordar cuestiones de gestión del agua e hidrología operativa. Estas Comisiones, como la Comisión de la Cuenca del Danubio, la Comisión de la Cuenca del Rin o la Comisión del Río </w:t>
      </w:r>
      <w:proofErr w:type="spellStart"/>
      <w:r w:rsidRPr="00930F76">
        <w:rPr>
          <w:rFonts w:ascii="Verdana" w:hAnsi="Verdana"/>
          <w:sz w:val="20"/>
          <w:szCs w:val="20"/>
          <w:lang w:val="es-ES"/>
        </w:rPr>
        <w:t>Sava</w:t>
      </w:r>
      <w:proofErr w:type="spellEnd"/>
      <w:r w:rsidRPr="00930F76">
        <w:rPr>
          <w:rFonts w:ascii="Verdana" w:hAnsi="Verdana"/>
          <w:sz w:val="20"/>
          <w:szCs w:val="20"/>
          <w:lang w:val="es-ES"/>
        </w:rPr>
        <w:t>, facilitan la cooperación transfronteriza en materia de recursos hídricos, gestión de inundaciones y vigilancia hidrológica. Estos marcos garantizan que los países que comparten cuencas fluviales colaboren en prácticas sostenibles de gestión del agua y reducción del riesgo de catástrofes.</w:t>
      </w:r>
    </w:p>
    <w:p w14:paraId="7F3382A7" w14:textId="77777777" w:rsidR="00D77AC6" w:rsidRPr="00930F76" w:rsidRDefault="00D77AC6" w:rsidP="00D77AC6">
      <w:pPr>
        <w:pStyle w:val="NormalWeb"/>
        <w:numPr>
          <w:ilvl w:val="0"/>
          <w:numId w:val="46"/>
        </w:numPr>
        <w:tabs>
          <w:tab w:val="clear" w:pos="720"/>
          <w:tab w:val="num" w:pos="567"/>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Iniciativa de Prevención y Preparación ante las Catástrofes en Europa Sudoriental (DPPI SEE): esta iniciativa sirve de marco clave para la colaboración regional en materia de reducción del riesgo de catástrofes y preparación ante las mismas en Europa Sudoriental. DPPI SEE mejora la cooperación regional en sistemas de alerta temprana, respuesta a catástrofes y desarrollo de capacidades, contribuyendo a la resiliencia de comunidades e infraestructuras.</w:t>
      </w:r>
    </w:p>
    <w:p w14:paraId="76283FBE" w14:textId="77777777" w:rsidR="00D77AC6" w:rsidRPr="00930F76" w:rsidRDefault="00D77AC6" w:rsidP="00D77AC6">
      <w:pPr>
        <w:pStyle w:val="NormalWeb"/>
        <w:numPr>
          <w:ilvl w:val="0"/>
          <w:numId w:val="46"/>
        </w:numPr>
        <w:tabs>
          <w:tab w:val="clear" w:pos="720"/>
          <w:tab w:val="num" w:pos="567"/>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La Plataforma de Colaboración de las Naciones Unidas: a escala regional, la AR VI participa, a través de la Oficina Regional para Europa, en la Plataforma de Colaboración de las Naciones Unidas, que mejora la coordinación entre los organismos de las Naciones Unidas. Esta plataforma integra los servicios meteorológicos e hidrológicos en iniciativas más amplias de las Naciones Unidas, como la reducción del riesgo de catástrofes, la adaptación al clima y el desarrollo sostenible.</w:t>
      </w:r>
    </w:p>
    <w:p w14:paraId="01225EA1" w14:textId="77777777" w:rsidR="00D77AC6" w:rsidRPr="00930F76" w:rsidRDefault="00D77AC6" w:rsidP="00D77AC6">
      <w:pPr>
        <w:pStyle w:val="NormalWeb"/>
        <w:numPr>
          <w:ilvl w:val="0"/>
          <w:numId w:val="46"/>
        </w:numPr>
        <w:tabs>
          <w:tab w:val="clear" w:pos="720"/>
          <w:tab w:val="num" w:pos="567"/>
        </w:tabs>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 xml:space="preserve">Colaboración de la Comisión Europea: la Comisión Europea, a través de su Centro Común de Investigación (CCI), contribuye activamente a las actividades regionales de la OMM en virtud de un acuerdo de colaboración entre la OMM y la Comisión Europea. Esta asociación refuerza la investigación, la innovación y el desarrollo de servicios meteorológicos y climáticos en toda Europa. El Servicio de Gestión de Emergencias de </w:t>
      </w:r>
      <w:proofErr w:type="spellStart"/>
      <w:r w:rsidRPr="00930F76">
        <w:rPr>
          <w:rFonts w:ascii="Verdana" w:hAnsi="Verdana"/>
          <w:sz w:val="20"/>
          <w:szCs w:val="20"/>
          <w:lang w:val="es-ES"/>
        </w:rPr>
        <w:t>Copernicus</w:t>
      </w:r>
      <w:proofErr w:type="spellEnd"/>
      <w:r w:rsidRPr="00930F76">
        <w:rPr>
          <w:rFonts w:ascii="Verdana" w:hAnsi="Verdana"/>
          <w:sz w:val="20"/>
          <w:szCs w:val="20"/>
          <w:lang w:val="es-ES"/>
        </w:rPr>
        <w:t xml:space="preserve"> (CEMS), gestionado por el CCI, proporciona sistemas de alerta temprana específicos para cada peligro, como el Sistema Europeo de Información sobre Inundaciones (EFAS), el Sistema Europeo de Información sobre Incendios Forestales (EFFIS) y el Observatorio Europeo de la Sequía (EDO).</w:t>
      </w:r>
    </w:p>
    <w:p w14:paraId="1E94EAAE" w14:textId="77777777" w:rsidR="00D77AC6" w:rsidRPr="00930F76" w:rsidRDefault="00D77AC6" w:rsidP="00D77AC6">
      <w:pPr>
        <w:pStyle w:val="Heading3"/>
        <w:spacing w:after="240"/>
        <w:rPr>
          <w:lang w:val="es-ES"/>
        </w:rPr>
      </w:pPr>
      <w:r w:rsidRPr="00930F76">
        <w:rPr>
          <w:lang w:val="es-ES"/>
        </w:rPr>
        <w:t>Mecanismo de funcionamiento</w:t>
      </w:r>
    </w:p>
    <w:p w14:paraId="51FBE4C9"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El mecanismo de trabajo de la AR VI garantiza la aplicación efectiva de las políticas y los programas de la OMM a escala regional. Los componentes clave de este mecanismo incluyen:</w:t>
      </w:r>
    </w:p>
    <w:p w14:paraId="4784D49D" w14:textId="77777777" w:rsidR="00D77AC6" w:rsidRPr="00930F76" w:rsidRDefault="00D77AC6" w:rsidP="00D77AC6">
      <w:pPr>
        <w:pStyle w:val="WMOSubTitle1"/>
        <w:rPr>
          <w:lang w:val="es-ES"/>
        </w:rPr>
      </w:pPr>
      <w:r w:rsidRPr="00930F76">
        <w:rPr>
          <w:bCs/>
          <w:iCs/>
          <w:lang w:val="es-ES"/>
        </w:rPr>
        <w:t>Foros regionales:</w:t>
      </w:r>
    </w:p>
    <w:p w14:paraId="4DDD683F"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AR VI convoca diversos foros regionales especializados para implicar a las partes interesadas, compartir conocimientos y fomentar la colaboración:</w:t>
      </w:r>
    </w:p>
    <w:p w14:paraId="41F5113A" w14:textId="77777777" w:rsidR="00D77AC6" w:rsidRPr="00930F76" w:rsidRDefault="00D77AC6" w:rsidP="00D77AC6">
      <w:pPr>
        <w:pStyle w:val="ListParagraph"/>
        <w:numPr>
          <w:ilvl w:val="0"/>
          <w:numId w:val="49"/>
        </w:numPr>
        <w:tabs>
          <w:tab w:val="clear" w:pos="1134"/>
        </w:tabs>
        <w:spacing w:before="240" w:after="120"/>
        <w:ind w:left="567" w:hanging="567"/>
        <w:contextualSpacing w:val="0"/>
        <w:jc w:val="left"/>
        <w:rPr>
          <w:lang w:val="es-ES"/>
        </w:rPr>
      </w:pPr>
      <w:r w:rsidRPr="00930F76">
        <w:rPr>
          <w:lang w:val="es-ES"/>
        </w:rPr>
        <w:t>Foro de usuarios de los CCR: este foro reúne a los usuarios de los Centros Regionales del Clima (CRC) para hablar de sus necesidades, compartir experiencias y dar su opinión sobre los servicios que prestan los CRC.</w:t>
      </w:r>
    </w:p>
    <w:p w14:paraId="71A2BDD3" w14:textId="77777777" w:rsidR="00D77AC6" w:rsidRPr="00930F76" w:rsidRDefault="00D77AC6" w:rsidP="00D77AC6">
      <w:pPr>
        <w:pStyle w:val="ListParagraph"/>
        <w:numPr>
          <w:ilvl w:val="0"/>
          <w:numId w:val="49"/>
        </w:numPr>
        <w:tabs>
          <w:tab w:val="clear" w:pos="1134"/>
        </w:tabs>
        <w:spacing w:before="240" w:after="120"/>
        <w:ind w:left="567" w:hanging="567"/>
        <w:contextualSpacing w:val="0"/>
        <w:jc w:val="left"/>
        <w:rPr>
          <w:lang w:val="es-ES"/>
        </w:rPr>
      </w:pPr>
      <w:r w:rsidRPr="00930F76">
        <w:rPr>
          <w:lang w:val="es-ES"/>
        </w:rPr>
        <w:lastRenderedPageBreak/>
        <w:t>Foro científico: este foro sirve de plataforma para el intercambio científico, centrándose en las últimas investigaciones e innovaciones en meteorología, hidrología y campos afines.</w:t>
      </w:r>
    </w:p>
    <w:p w14:paraId="0B594D1A" w14:textId="77777777" w:rsidR="00D77AC6" w:rsidRPr="00930F76" w:rsidRDefault="00D77AC6" w:rsidP="00D77AC6">
      <w:pPr>
        <w:pStyle w:val="ListParagraph"/>
        <w:numPr>
          <w:ilvl w:val="0"/>
          <w:numId w:val="49"/>
        </w:numPr>
        <w:tabs>
          <w:tab w:val="clear" w:pos="1134"/>
        </w:tabs>
        <w:spacing w:before="240" w:after="120"/>
        <w:ind w:left="567" w:hanging="567"/>
        <w:contextualSpacing w:val="0"/>
        <w:jc w:val="left"/>
        <w:rPr>
          <w:lang w:val="es-ES"/>
        </w:rPr>
      </w:pPr>
      <w:r w:rsidRPr="00930F76">
        <w:rPr>
          <w:lang w:val="es-ES"/>
        </w:rPr>
        <w:t>Foro de Hidrología: con plena integración prevista en el Foro Científico.</w:t>
      </w:r>
    </w:p>
    <w:p w14:paraId="7BEFA540" w14:textId="77777777" w:rsidR="00D77AC6" w:rsidRPr="00930F76" w:rsidRDefault="00D77AC6" w:rsidP="00D77AC6">
      <w:pPr>
        <w:pStyle w:val="ListParagraph"/>
        <w:numPr>
          <w:ilvl w:val="0"/>
          <w:numId w:val="49"/>
        </w:numPr>
        <w:tabs>
          <w:tab w:val="clear" w:pos="1134"/>
        </w:tabs>
        <w:spacing w:before="240" w:after="120"/>
        <w:ind w:left="567" w:hanging="567"/>
        <w:contextualSpacing w:val="0"/>
        <w:jc w:val="left"/>
        <w:rPr>
          <w:lang w:val="es-ES"/>
        </w:rPr>
      </w:pPr>
      <w:r w:rsidRPr="00930F76">
        <w:rPr>
          <w:lang w:val="es-ES"/>
        </w:rPr>
        <w:t>Foro de Compromiso Público-Privado: este foro fomenta el diálogo y las asociaciones entre los sectores público y privado, explorando oportunidades de colaboración en servicios meteorológicos y climáticos.</w:t>
      </w:r>
    </w:p>
    <w:p w14:paraId="33A37B0B" w14:textId="77777777" w:rsidR="00D77AC6" w:rsidRPr="00930F76" w:rsidRDefault="00D77AC6" w:rsidP="00D77AC6">
      <w:pPr>
        <w:pStyle w:val="WMOSubTitle1"/>
        <w:rPr>
          <w:lang w:val="es-ES"/>
        </w:rPr>
      </w:pPr>
      <w:r w:rsidRPr="00930F76">
        <w:rPr>
          <w:bCs/>
          <w:iCs/>
          <w:lang w:val="es-ES"/>
        </w:rPr>
        <w:t>Grupos de trabajo y equipos operativos:</w:t>
      </w:r>
    </w:p>
    <w:p w14:paraId="21B412F7" w14:textId="77777777" w:rsidR="00D77AC6" w:rsidRPr="00930F76" w:rsidRDefault="00D77AC6" w:rsidP="00D77AC6">
      <w:pPr>
        <w:pStyle w:val="NormalWeb"/>
        <w:keepNext/>
        <w:keepLines/>
        <w:spacing w:before="240" w:beforeAutospacing="0" w:after="120" w:afterAutospacing="0"/>
        <w:rPr>
          <w:rFonts w:ascii="Verdana" w:hAnsi="Verdana"/>
          <w:sz w:val="20"/>
          <w:szCs w:val="20"/>
        </w:rPr>
      </w:pPr>
      <w:r w:rsidRPr="00930F76">
        <w:rPr>
          <w:rFonts w:ascii="Verdana" w:hAnsi="Verdana"/>
          <w:sz w:val="20"/>
          <w:szCs w:val="20"/>
          <w:lang w:val="es-ES"/>
        </w:rPr>
        <w:t>La estructura operativa de RA VI está bien organizada para facilitar la colaboración en diversos ámbitos especializados. El mecanismo incluye:</w:t>
      </w:r>
    </w:p>
    <w:p w14:paraId="14484987" w14:textId="77777777" w:rsidR="00D77AC6" w:rsidRPr="00930F76" w:rsidRDefault="00D77AC6" w:rsidP="00D77AC6">
      <w:pPr>
        <w:pStyle w:val="NormalWeb"/>
        <w:keepNext/>
        <w:keepLines/>
        <w:numPr>
          <w:ilvl w:val="0"/>
          <w:numId w:val="48"/>
        </w:numPr>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Grupo de Gestión de la AR VI: órgano central de coordinación que supervisa la ejecución de las actividades en la región. Este grupo vela por que se cumplan la dirección estratégica y los objetivos de la AR VI.</w:t>
      </w:r>
    </w:p>
    <w:p w14:paraId="34397192" w14:textId="77777777" w:rsidR="00D77AC6" w:rsidRPr="00930F76" w:rsidRDefault="00D77AC6" w:rsidP="00D77AC6">
      <w:pPr>
        <w:pStyle w:val="NormalWeb"/>
        <w:numPr>
          <w:ilvl w:val="0"/>
          <w:numId w:val="48"/>
        </w:numPr>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Grupos de Trabajo, Subgrupos y Equipos Operativos de Alto Nivel, como:</w:t>
      </w:r>
    </w:p>
    <w:p w14:paraId="1AC6CA5A" w14:textId="77777777" w:rsidR="00D77AC6" w:rsidRPr="00930F76" w:rsidRDefault="00D77AC6" w:rsidP="00D77AC6">
      <w:pPr>
        <w:numPr>
          <w:ilvl w:val="1"/>
          <w:numId w:val="50"/>
        </w:numPr>
        <w:tabs>
          <w:tab w:val="clear" w:pos="1134"/>
        </w:tabs>
        <w:spacing w:before="240" w:after="120"/>
        <w:ind w:left="1134" w:hanging="567"/>
        <w:jc w:val="left"/>
        <w:rPr>
          <w:b/>
          <w:bCs/>
          <w:lang w:val="es-ES"/>
        </w:rPr>
      </w:pPr>
      <w:r w:rsidRPr="00930F76">
        <w:rPr>
          <w:lang w:val="es-ES"/>
        </w:rPr>
        <w:t>Infraestructura, observaciones y sistemas de información;</w:t>
      </w:r>
    </w:p>
    <w:p w14:paraId="574DB024" w14:textId="77777777" w:rsidR="00D77AC6" w:rsidRPr="00930F76" w:rsidRDefault="00D77AC6" w:rsidP="00D77AC6">
      <w:pPr>
        <w:numPr>
          <w:ilvl w:val="1"/>
          <w:numId w:val="50"/>
        </w:numPr>
        <w:tabs>
          <w:tab w:val="clear" w:pos="1134"/>
        </w:tabs>
        <w:spacing w:before="240" w:after="120"/>
        <w:ind w:left="1134" w:hanging="567"/>
        <w:jc w:val="left"/>
        <w:rPr>
          <w:b/>
          <w:bCs/>
        </w:rPr>
      </w:pPr>
      <w:r w:rsidRPr="00930F76">
        <w:rPr>
          <w:lang w:val="es-ES"/>
        </w:rPr>
        <w:t>Servicios y aplicaciones;</w:t>
      </w:r>
    </w:p>
    <w:p w14:paraId="5A6B3FED" w14:textId="77777777" w:rsidR="00D77AC6" w:rsidRPr="00930F76" w:rsidRDefault="00D77AC6" w:rsidP="00D77AC6">
      <w:pPr>
        <w:numPr>
          <w:ilvl w:val="1"/>
          <w:numId w:val="50"/>
        </w:numPr>
        <w:tabs>
          <w:tab w:val="clear" w:pos="1134"/>
        </w:tabs>
        <w:spacing w:before="240" w:after="120"/>
        <w:ind w:left="1134" w:hanging="567"/>
        <w:jc w:val="left"/>
        <w:rPr>
          <w:b/>
          <w:bCs/>
        </w:rPr>
      </w:pPr>
      <w:r w:rsidRPr="00930F76">
        <w:rPr>
          <w:lang w:val="es-ES"/>
        </w:rPr>
        <w:t>Investigación;</w:t>
      </w:r>
    </w:p>
    <w:p w14:paraId="5F8041AF" w14:textId="77777777" w:rsidR="00D77AC6" w:rsidRPr="00930F76" w:rsidRDefault="00D77AC6" w:rsidP="00D77AC6">
      <w:pPr>
        <w:numPr>
          <w:ilvl w:val="1"/>
          <w:numId w:val="50"/>
        </w:numPr>
        <w:tabs>
          <w:tab w:val="clear" w:pos="1134"/>
        </w:tabs>
        <w:spacing w:before="240" w:after="120"/>
        <w:ind w:left="1134" w:hanging="567"/>
        <w:jc w:val="left"/>
        <w:rPr>
          <w:b/>
          <w:bCs/>
        </w:rPr>
      </w:pPr>
      <w:r w:rsidRPr="00930F76">
        <w:rPr>
          <w:lang w:val="es-ES"/>
        </w:rPr>
        <w:t>Desarrollo sostenible;</w:t>
      </w:r>
    </w:p>
    <w:p w14:paraId="5664C791" w14:textId="77777777" w:rsidR="00D77AC6" w:rsidRPr="00930F76" w:rsidRDefault="00D77AC6" w:rsidP="00D77AC6">
      <w:pPr>
        <w:numPr>
          <w:ilvl w:val="1"/>
          <w:numId w:val="50"/>
        </w:numPr>
        <w:tabs>
          <w:tab w:val="clear" w:pos="1134"/>
        </w:tabs>
        <w:spacing w:before="240" w:after="120"/>
        <w:ind w:left="1134" w:hanging="567"/>
        <w:jc w:val="left"/>
        <w:rPr>
          <w:b/>
          <w:bCs/>
        </w:rPr>
      </w:pPr>
      <w:proofErr w:type="spellStart"/>
      <w:r w:rsidRPr="00930F76">
        <w:rPr>
          <w:lang w:val="en-US"/>
        </w:rPr>
        <w:t>Iniciativa</w:t>
      </w:r>
      <w:proofErr w:type="spellEnd"/>
      <w:r w:rsidRPr="00930F76">
        <w:rPr>
          <w:lang w:val="en-US"/>
        </w:rPr>
        <w:t xml:space="preserve"> Early Warnings for All (EW4All</w:t>
      </w:r>
      <w:proofErr w:type="gramStart"/>
      <w:r w:rsidRPr="00930F76">
        <w:rPr>
          <w:lang w:val="en-US"/>
        </w:rPr>
        <w:t>);</w:t>
      </w:r>
      <w:proofErr w:type="gramEnd"/>
    </w:p>
    <w:p w14:paraId="7348DC37" w14:textId="77777777" w:rsidR="00D77AC6" w:rsidRPr="00930F76" w:rsidRDefault="00D77AC6" w:rsidP="00D77AC6">
      <w:pPr>
        <w:numPr>
          <w:ilvl w:val="1"/>
          <w:numId w:val="50"/>
        </w:numPr>
        <w:tabs>
          <w:tab w:val="clear" w:pos="1134"/>
        </w:tabs>
        <w:spacing w:before="240" w:after="120"/>
        <w:ind w:left="1134" w:hanging="567"/>
        <w:jc w:val="left"/>
        <w:rPr>
          <w:lang w:val="es-ES"/>
        </w:rPr>
      </w:pPr>
      <w:r w:rsidRPr="00930F76">
        <w:rPr>
          <w:lang w:val="es-ES"/>
        </w:rPr>
        <w:t>Subgrupo de Hidrología: dedicado a apoyar la Asamblea de Hidrología de la AR VI, potenciando las políticas regionales y la cooperación en temas relacionados con el agua.</w:t>
      </w:r>
    </w:p>
    <w:p w14:paraId="4D352251" w14:textId="77777777" w:rsidR="00D77AC6" w:rsidRPr="00930F76" w:rsidRDefault="00D77AC6" w:rsidP="00D77AC6">
      <w:pPr>
        <w:pStyle w:val="NormalWeb"/>
        <w:numPr>
          <w:ilvl w:val="0"/>
          <w:numId w:val="48"/>
        </w:numPr>
        <w:spacing w:before="240" w:beforeAutospacing="0" w:after="120" w:afterAutospacing="0"/>
        <w:ind w:left="567" w:hanging="567"/>
        <w:rPr>
          <w:rFonts w:ascii="Verdana" w:hAnsi="Verdana"/>
          <w:sz w:val="20"/>
          <w:szCs w:val="20"/>
          <w:lang w:val="es-ES"/>
        </w:rPr>
      </w:pPr>
      <w:r w:rsidRPr="00930F76">
        <w:rPr>
          <w:rFonts w:ascii="Verdana" w:hAnsi="Verdana"/>
          <w:sz w:val="20"/>
          <w:szCs w:val="20"/>
          <w:lang w:val="es-ES"/>
        </w:rPr>
        <w:t>Equipos: en el marco de los grupos de trabajo, hay varios equipos que se centran en aspectos específicos como:</w:t>
      </w:r>
    </w:p>
    <w:p w14:paraId="0A724C7B" w14:textId="77777777" w:rsidR="00D77AC6" w:rsidRPr="00930F76" w:rsidRDefault="00D77AC6" w:rsidP="00D77AC6">
      <w:pPr>
        <w:numPr>
          <w:ilvl w:val="1"/>
          <w:numId w:val="51"/>
        </w:numPr>
        <w:tabs>
          <w:tab w:val="clear" w:pos="1134"/>
        </w:tabs>
        <w:spacing w:before="240" w:after="120"/>
        <w:ind w:left="1134" w:hanging="567"/>
        <w:jc w:val="left"/>
        <w:rPr>
          <w:rStyle w:val="Strong"/>
          <w:b w:val="0"/>
          <w:bCs w:val="0"/>
          <w:lang w:val="es-ES"/>
        </w:rPr>
      </w:pPr>
      <w:r w:rsidRPr="00930F76">
        <w:rPr>
          <w:lang w:val="es-ES"/>
        </w:rPr>
        <w:t>Sistema de Observación Hidrológica de la OMM;</w:t>
      </w:r>
    </w:p>
    <w:p w14:paraId="5DECAFFF" w14:textId="77777777" w:rsidR="00D77AC6" w:rsidRPr="00930F76" w:rsidRDefault="00D77AC6" w:rsidP="00D77AC6">
      <w:pPr>
        <w:numPr>
          <w:ilvl w:val="1"/>
          <w:numId w:val="51"/>
        </w:numPr>
        <w:tabs>
          <w:tab w:val="clear" w:pos="1134"/>
        </w:tabs>
        <w:spacing w:before="240" w:after="120"/>
        <w:ind w:left="1134" w:hanging="567"/>
        <w:jc w:val="left"/>
        <w:rPr>
          <w:b/>
          <w:bCs/>
          <w:lang w:val="es-ES"/>
        </w:rPr>
      </w:pPr>
      <w:r w:rsidRPr="00930F76">
        <w:rPr>
          <w:lang w:val="es-ES"/>
        </w:rPr>
        <w:t>Sistema de Situación y Perspectivas Hidrológicas de la OMM</w:t>
      </w:r>
    </w:p>
    <w:p w14:paraId="5C28B502" w14:textId="77777777" w:rsidR="00D77AC6" w:rsidRPr="00930F76" w:rsidRDefault="00D77AC6" w:rsidP="00D77AC6">
      <w:pPr>
        <w:numPr>
          <w:ilvl w:val="1"/>
          <w:numId w:val="51"/>
        </w:numPr>
        <w:tabs>
          <w:tab w:val="clear" w:pos="1134"/>
        </w:tabs>
        <w:spacing w:before="240" w:after="120"/>
        <w:ind w:left="1134" w:hanging="567"/>
        <w:jc w:val="left"/>
        <w:rPr>
          <w:b/>
          <w:bCs/>
        </w:rPr>
      </w:pPr>
      <w:r w:rsidRPr="00930F76">
        <w:rPr>
          <w:lang w:val="es-ES"/>
        </w:rPr>
        <w:t>CCR;</w:t>
      </w:r>
    </w:p>
    <w:p w14:paraId="20B4F2BB" w14:textId="77777777" w:rsidR="00D77AC6" w:rsidRPr="00930F76" w:rsidRDefault="00D77AC6" w:rsidP="00D77AC6">
      <w:pPr>
        <w:numPr>
          <w:ilvl w:val="1"/>
          <w:numId w:val="51"/>
        </w:numPr>
        <w:tabs>
          <w:tab w:val="clear" w:pos="1134"/>
        </w:tabs>
        <w:spacing w:before="240" w:after="120"/>
        <w:ind w:left="1134" w:hanging="567"/>
        <w:jc w:val="left"/>
        <w:rPr>
          <w:b/>
          <w:bCs/>
        </w:rPr>
      </w:pPr>
      <w:r w:rsidRPr="00930F76">
        <w:rPr>
          <w:rStyle w:val="Strong"/>
        </w:rPr>
        <w:t xml:space="preserve">Regional Instrument </w:t>
      </w:r>
      <w:proofErr w:type="gramStart"/>
      <w:r w:rsidRPr="00930F76">
        <w:rPr>
          <w:rStyle w:val="Strong"/>
        </w:rPr>
        <w:t>Centres;</w:t>
      </w:r>
      <w:proofErr w:type="gramEnd"/>
    </w:p>
    <w:p w14:paraId="58D0C414" w14:textId="77777777" w:rsidR="00D77AC6" w:rsidRPr="00930F76" w:rsidRDefault="00D77AC6" w:rsidP="00D77AC6">
      <w:pPr>
        <w:numPr>
          <w:ilvl w:val="1"/>
          <w:numId w:val="51"/>
        </w:numPr>
        <w:tabs>
          <w:tab w:val="clear" w:pos="1134"/>
        </w:tabs>
        <w:spacing w:before="240" w:after="120"/>
        <w:ind w:left="1134" w:hanging="567"/>
        <w:jc w:val="left"/>
        <w:rPr>
          <w:lang w:val="es-ES"/>
        </w:rPr>
      </w:pPr>
      <w:r w:rsidRPr="00930F76">
        <w:rPr>
          <w:lang w:val="es-ES"/>
        </w:rPr>
        <w:t>Previsión, incluida la previsión de inundaciones;</w:t>
      </w:r>
    </w:p>
    <w:p w14:paraId="5BFF0C6E" w14:textId="77777777" w:rsidR="00D77AC6" w:rsidRPr="00930F76" w:rsidRDefault="00D77AC6" w:rsidP="00D77AC6">
      <w:pPr>
        <w:numPr>
          <w:ilvl w:val="1"/>
          <w:numId w:val="51"/>
        </w:numPr>
        <w:tabs>
          <w:tab w:val="clear" w:pos="1134"/>
        </w:tabs>
        <w:spacing w:before="240" w:after="120"/>
        <w:ind w:left="1134" w:hanging="567"/>
        <w:jc w:val="left"/>
        <w:rPr>
          <w:b/>
          <w:bCs/>
        </w:rPr>
      </w:pPr>
      <w:r w:rsidRPr="00930F76">
        <w:rPr>
          <w:lang w:val="es-ES"/>
        </w:rPr>
        <w:t>Servicios multisectoriales;</w:t>
      </w:r>
    </w:p>
    <w:p w14:paraId="628CB7A5" w14:textId="77777777" w:rsidR="00D77AC6" w:rsidRPr="00930F76" w:rsidRDefault="00D77AC6" w:rsidP="00D77AC6">
      <w:pPr>
        <w:numPr>
          <w:ilvl w:val="1"/>
          <w:numId w:val="51"/>
        </w:numPr>
        <w:tabs>
          <w:tab w:val="clear" w:pos="1134"/>
        </w:tabs>
        <w:spacing w:before="240" w:after="120"/>
        <w:ind w:left="1134" w:hanging="567"/>
        <w:jc w:val="left"/>
        <w:rPr>
          <w:b/>
          <w:bCs/>
          <w:lang w:val="es-ES"/>
        </w:rPr>
      </w:pPr>
      <w:r w:rsidRPr="00930F76">
        <w:rPr>
          <w:lang w:val="es-ES"/>
        </w:rPr>
        <w:t>Investigación, modelización y predicción, incluidas la inteligencia artificial (IA) y la investigación en hidrología;</w:t>
      </w:r>
    </w:p>
    <w:p w14:paraId="4B6E0D0F" w14:textId="77777777" w:rsidR="00D77AC6" w:rsidRPr="00930F76" w:rsidRDefault="00D77AC6" w:rsidP="00D77AC6">
      <w:pPr>
        <w:numPr>
          <w:ilvl w:val="1"/>
          <w:numId w:val="51"/>
        </w:numPr>
        <w:tabs>
          <w:tab w:val="clear" w:pos="1134"/>
        </w:tabs>
        <w:spacing w:before="240" w:after="120"/>
        <w:ind w:left="1134" w:hanging="567"/>
        <w:jc w:val="left"/>
        <w:rPr>
          <w:lang w:val="es-ES"/>
        </w:rPr>
      </w:pPr>
      <w:r w:rsidRPr="00930F76">
        <w:rPr>
          <w:lang w:val="es-ES"/>
        </w:rPr>
        <w:t>Comunicación estratégica (basada en la ciencia).</w:t>
      </w:r>
    </w:p>
    <w:p w14:paraId="57F7C34D"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 xml:space="preserve">Estos equipos trabajan en diversas iniciativas, lo que refleja el enfoque integral de la AR VI para abordar las necesidades regionales, al tiempo que demuestra su compromiso con el </w:t>
      </w:r>
      <w:r w:rsidRPr="00930F76">
        <w:rPr>
          <w:rFonts w:ascii="Verdana" w:hAnsi="Verdana"/>
          <w:sz w:val="20"/>
          <w:szCs w:val="20"/>
          <w:lang w:val="es-ES"/>
        </w:rPr>
        <w:lastRenderedPageBreak/>
        <w:t>fomento de la cooperación, la mejora del desarrollo de capacidades y el avance de la investigación y la innovación en toda la región.</w:t>
      </w:r>
    </w:p>
    <w:p w14:paraId="570C4C6B" w14:textId="77777777" w:rsidR="00D77AC6" w:rsidRPr="00930F76" w:rsidRDefault="00D77AC6" w:rsidP="00D77AC6">
      <w:pPr>
        <w:pStyle w:val="WMOSubTitle1"/>
        <w:rPr>
          <w:bCs/>
          <w:lang w:val="es-ES"/>
        </w:rPr>
      </w:pPr>
      <w:r w:rsidRPr="00930F76">
        <w:rPr>
          <w:bCs/>
          <w:iCs/>
          <w:lang w:val="es-ES"/>
        </w:rPr>
        <w:t>Centros Regionales Especializados:</w:t>
      </w:r>
    </w:p>
    <w:p w14:paraId="0DDC90D9"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AR VI alberga más de 100 Centros Regionales Especializados designados por la OMM, entre los que se incluyen:</w:t>
      </w:r>
    </w:p>
    <w:p w14:paraId="61AD7E7E" w14:textId="77777777" w:rsidR="00D77AC6" w:rsidRPr="00930F76" w:rsidRDefault="00D77AC6" w:rsidP="00D77AC6">
      <w:pPr>
        <w:numPr>
          <w:ilvl w:val="1"/>
          <w:numId w:val="52"/>
        </w:numPr>
        <w:tabs>
          <w:tab w:val="clear" w:pos="1134"/>
        </w:tabs>
        <w:spacing w:before="240" w:after="120"/>
        <w:ind w:left="567" w:hanging="567"/>
        <w:jc w:val="left"/>
        <w:rPr>
          <w:lang w:val="es-ES"/>
        </w:rPr>
      </w:pPr>
      <w:r w:rsidRPr="00930F76">
        <w:rPr>
          <w:lang w:val="es-ES"/>
        </w:rPr>
        <w:t>Los CCR: son centros clave de vigilancia, predicción y servicios climáticos, que ofrecen información climática específica de cada región y apoyo al desarrollo de capacidades de los Estados miembros.</w:t>
      </w:r>
    </w:p>
    <w:p w14:paraId="57DA8150" w14:textId="77777777" w:rsidR="00D77AC6" w:rsidRPr="00930F76" w:rsidRDefault="00D77AC6" w:rsidP="00D77AC6">
      <w:pPr>
        <w:numPr>
          <w:ilvl w:val="1"/>
          <w:numId w:val="52"/>
        </w:numPr>
        <w:tabs>
          <w:tab w:val="clear" w:pos="1134"/>
        </w:tabs>
        <w:spacing w:before="240" w:after="120"/>
        <w:ind w:left="567" w:hanging="567"/>
        <w:jc w:val="left"/>
        <w:rPr>
          <w:lang w:val="es-ES"/>
        </w:rPr>
      </w:pPr>
      <w:r w:rsidRPr="00930F76">
        <w:rPr>
          <w:lang w:val="es-ES"/>
        </w:rPr>
        <w:t>Centros Regionales de Instrumentos: proporcionan apoyo técnico para la calibración y el mantenimiento de los instrumentos, garantizando la precisión y fiabilidad de las observaciones.</w:t>
      </w:r>
    </w:p>
    <w:p w14:paraId="749FB639" w14:textId="77777777" w:rsidR="00D77AC6" w:rsidRPr="00930F76" w:rsidRDefault="00D77AC6" w:rsidP="00D77AC6">
      <w:pPr>
        <w:numPr>
          <w:ilvl w:val="1"/>
          <w:numId w:val="52"/>
        </w:numPr>
        <w:tabs>
          <w:tab w:val="clear" w:pos="1134"/>
        </w:tabs>
        <w:spacing w:before="240" w:after="120"/>
        <w:ind w:left="567" w:hanging="567"/>
        <w:jc w:val="left"/>
        <w:rPr>
          <w:lang w:val="es-ES"/>
        </w:rPr>
      </w:pPr>
      <w:r w:rsidRPr="00930F76">
        <w:rPr>
          <w:lang w:val="es-ES"/>
        </w:rPr>
        <w:t>Centros regionales de formación: imparten programas de formación especializada para mejorar las competencias y conocimientos del personal de los SMHN.</w:t>
      </w:r>
    </w:p>
    <w:p w14:paraId="2E1E9295" w14:textId="77777777" w:rsidR="00D77AC6" w:rsidRPr="00930F76" w:rsidRDefault="00D77AC6" w:rsidP="00D77AC6">
      <w:pPr>
        <w:numPr>
          <w:ilvl w:val="1"/>
          <w:numId w:val="52"/>
        </w:numPr>
        <w:tabs>
          <w:tab w:val="clear" w:pos="1134"/>
        </w:tabs>
        <w:spacing w:before="240" w:after="120"/>
        <w:ind w:left="567" w:hanging="567"/>
        <w:jc w:val="left"/>
        <w:rPr>
          <w:lang w:val="es-ES"/>
        </w:rPr>
      </w:pPr>
      <w:r w:rsidRPr="00930F76">
        <w:rPr>
          <w:lang w:val="es-ES"/>
        </w:rPr>
        <w:t>Centros regionales del Sistema mundial integrado de observación de la OMM (WIGOS) y del Sistema de información de la OMM (SIO): estos centros contribuyen al WIGOS y al SIO, facilitando el intercambio y la integración de datos.</w:t>
      </w:r>
    </w:p>
    <w:p w14:paraId="65EA2AEE" w14:textId="77777777" w:rsidR="00D77AC6" w:rsidRPr="00930F76" w:rsidRDefault="00D77AC6" w:rsidP="00D77AC6">
      <w:pPr>
        <w:numPr>
          <w:ilvl w:val="1"/>
          <w:numId w:val="52"/>
        </w:numPr>
        <w:tabs>
          <w:tab w:val="clear" w:pos="1134"/>
        </w:tabs>
        <w:spacing w:before="240" w:after="120"/>
        <w:ind w:left="567" w:hanging="567"/>
        <w:jc w:val="left"/>
        <w:rPr>
          <w:rStyle w:val="Strong"/>
          <w:b w:val="0"/>
          <w:bCs w:val="0"/>
          <w:lang w:val="es-ES"/>
        </w:rPr>
      </w:pPr>
      <w:r w:rsidRPr="00930F76">
        <w:rPr>
          <w:lang w:val="es-ES"/>
        </w:rPr>
        <w:t>Centros regionales de datos de radar: consolidan los datos de radar procedentes de diversas fuentes para proporcionar información meteorológica completa y precisa, esencial para los sistemas de alerta temprana.</w:t>
      </w:r>
    </w:p>
    <w:p w14:paraId="637DCD44" w14:textId="77777777" w:rsidR="00D77AC6" w:rsidRPr="00930F76" w:rsidRDefault="00D77AC6" w:rsidP="00D77AC6">
      <w:pPr>
        <w:numPr>
          <w:ilvl w:val="1"/>
          <w:numId w:val="52"/>
        </w:numPr>
        <w:tabs>
          <w:tab w:val="clear" w:pos="1134"/>
        </w:tabs>
        <w:spacing w:before="240" w:after="120"/>
        <w:ind w:left="567" w:hanging="567"/>
        <w:jc w:val="left"/>
        <w:rPr>
          <w:rStyle w:val="Strong"/>
          <w:b w:val="0"/>
          <w:bCs w:val="0"/>
          <w:lang w:val="es-ES"/>
        </w:rPr>
      </w:pPr>
      <w:r w:rsidRPr="00930F76">
        <w:rPr>
          <w:lang w:val="es-ES"/>
        </w:rPr>
        <w:t>Centros Regionales de Investigación de la Contaminación Atmosférica: mantienen amplias redes de vigilancia para medir contaminantes como las partículas y el ozono, en apoyo de las políticas de salud pública y medio ambiente. Sus investigaciones ayudan a identificar las fuentes y efectos de la contaminación, contribuyen a elaborar estrategias eficaces de reducción y a comprender la relación entre la calidad del aire y el cambio climático.</w:t>
      </w:r>
    </w:p>
    <w:p w14:paraId="6C389D9D" w14:textId="77777777" w:rsidR="00D77AC6" w:rsidRPr="00930F76" w:rsidRDefault="00D77AC6" w:rsidP="00D77AC6">
      <w:pPr>
        <w:numPr>
          <w:ilvl w:val="1"/>
          <w:numId w:val="52"/>
        </w:numPr>
        <w:tabs>
          <w:tab w:val="clear" w:pos="1134"/>
        </w:tabs>
        <w:spacing w:before="240" w:after="120"/>
        <w:ind w:left="567" w:hanging="567"/>
        <w:jc w:val="left"/>
        <w:rPr>
          <w:lang w:val="es-ES"/>
        </w:rPr>
      </w:pPr>
      <w:r w:rsidRPr="00930F76">
        <w:rPr>
          <w:lang w:val="es-ES"/>
        </w:rPr>
        <w:t>Centros Meteorológicos Marinos Regionales: estos centros están especializados en información meteorológica marina y oceanográfica dentro de la región RA VI de la OMM. Proporcionan previsiones de viento, olas y tormentas, esenciales para la seguridad marítima.</w:t>
      </w:r>
    </w:p>
    <w:p w14:paraId="53039029" w14:textId="77777777" w:rsidR="00D77AC6" w:rsidRPr="00930F76" w:rsidRDefault="00D77AC6" w:rsidP="00D77AC6">
      <w:pPr>
        <w:numPr>
          <w:ilvl w:val="1"/>
          <w:numId w:val="52"/>
        </w:numPr>
        <w:tabs>
          <w:tab w:val="clear" w:pos="1134"/>
        </w:tabs>
        <w:spacing w:before="240" w:after="120"/>
        <w:ind w:left="567" w:hanging="567"/>
        <w:jc w:val="left"/>
        <w:rPr>
          <w:lang w:val="es-ES"/>
        </w:rPr>
      </w:pPr>
      <w:r w:rsidRPr="00930F76">
        <w:rPr>
          <w:lang w:val="es-ES"/>
        </w:rPr>
        <w:t>Centro de Gestión de la Sequía para Europa Sudoriental: creado conjuntamente por la OMM y la Convención de las Naciones Unidas de Lucha contra la Desertificación (CNULD), este centro se centra en la vigilancia, la gestión y las estrategias de mitigación de la sequía en Europa Sudoriental.</w:t>
      </w:r>
    </w:p>
    <w:p w14:paraId="4ABE661C"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Estos centros especializados suelen establecer redes regionales para facilitar la colaboración, el intercambio de datos y la difusión de las mejores prácticas entre los SMHN.</w:t>
      </w:r>
    </w:p>
    <w:p w14:paraId="05602B9F" w14:textId="77777777" w:rsidR="00D77AC6" w:rsidRPr="00930F76" w:rsidRDefault="00D77AC6" w:rsidP="00D77AC6">
      <w:pPr>
        <w:pStyle w:val="WMOSubTitle1"/>
        <w:rPr>
          <w:lang w:val="es-ES"/>
        </w:rPr>
      </w:pPr>
      <w:r w:rsidRPr="00930F76">
        <w:rPr>
          <w:bCs/>
          <w:iCs/>
          <w:lang w:val="es-ES"/>
        </w:rPr>
        <w:t>Redes regionales:</w:t>
      </w:r>
    </w:p>
    <w:p w14:paraId="5576385E"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Más allá de las estructuras formales, la AR VI se beneficia de varias redes informales de colaboración, incluidas las redes de directores de SMHN y asesores internacionales. Estas redes fomentan el intercambio entre homólogos, apoyan el desarrollo de capacidades y mejoran la eficacia general de los servicios meteorológicos e hidrológicos en la región.</w:t>
      </w:r>
    </w:p>
    <w:p w14:paraId="335D6489" w14:textId="77777777" w:rsidR="00D77AC6" w:rsidRPr="00930F76" w:rsidRDefault="00D77AC6" w:rsidP="00D77AC6">
      <w:pPr>
        <w:pStyle w:val="WMOSubTitle1"/>
        <w:rPr>
          <w:lang w:val="es-ES"/>
        </w:rPr>
      </w:pPr>
      <w:r w:rsidRPr="00930F76">
        <w:rPr>
          <w:bCs/>
          <w:iCs/>
          <w:lang w:val="es-ES"/>
        </w:rPr>
        <w:lastRenderedPageBreak/>
        <w:t>Intercambio e integración de datos:</w:t>
      </w:r>
    </w:p>
    <w:p w14:paraId="20E6B550"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El AR VI promueve el intercambio fluido de datos meteorológicos, hidrológicos y climatológicos entre los Estados miembros. Esta iniciativa es crucial para mejorar la precisión de las previsiones, potenciar los sistemas de alerta temprana y apoyar los servicios climáticos.</w:t>
      </w:r>
    </w:p>
    <w:p w14:paraId="4DC673DC" w14:textId="77777777" w:rsidR="00D77AC6" w:rsidRPr="00930F76" w:rsidRDefault="00D77AC6" w:rsidP="00D77AC6">
      <w:pPr>
        <w:pStyle w:val="WMOSubTitle1"/>
        <w:rPr>
          <w:lang w:val="es-ES"/>
        </w:rPr>
      </w:pPr>
      <w:r w:rsidRPr="00930F76">
        <w:rPr>
          <w:bCs/>
          <w:iCs/>
          <w:lang w:val="es-ES"/>
        </w:rPr>
        <w:t>Desarrollo de capacidades y formación:</w:t>
      </w:r>
    </w:p>
    <w:p w14:paraId="5157A8CB"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AR VI hace hincapié en el desarrollo de capacidades a través de Centros Regionales de Formación y talleres especializados. El objetivo de estas iniciativas es mejorar las competencias y los conocimientos del personal de los SMHN para que puedan prestar servicios de alta calidad en sus respectivos países.</w:t>
      </w:r>
    </w:p>
    <w:p w14:paraId="2AF366D6" w14:textId="77777777" w:rsidR="00D77AC6" w:rsidRPr="00930F76" w:rsidRDefault="00D77AC6" w:rsidP="00D77AC6">
      <w:pPr>
        <w:pStyle w:val="Heading3"/>
        <w:spacing w:after="240"/>
        <w:rPr>
          <w:i/>
          <w:lang w:val="es-ES"/>
        </w:rPr>
      </w:pPr>
      <w:r w:rsidRPr="00930F76">
        <w:rPr>
          <w:lang w:val="es-ES"/>
        </w:rPr>
        <w:t>Logros e iniciativas en curso</w:t>
      </w:r>
    </w:p>
    <w:p w14:paraId="56BCF995"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AR VI ha logrado avances significativos en el fomento de la cooperación regional, especialmente en los ámbitos de los servicios climáticos, la reducción del riesgo de catástrofes y el desarrollo de capacidades. Entre las iniciativas en curso figuran:</w:t>
      </w:r>
    </w:p>
    <w:p w14:paraId="2ABF9ACD"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AR VI está trabajando para mejorar la eficacia de los sistemas de alerta temprana en toda la región, en particular para los fenómenos meteorológicos extremos y los peligros relacionados con el clima. La AR VI está desarrollando servicios climáticos integrados que responden a las necesidades específicas de diversos sectores, como la agricultura, la gestión del agua y la salud pública. La AR VI sigue mejorando la disponibilidad y accesibilidad de datos meteorológicos e hidrológicos de alta calidad, apoyando una mejor toma de decisiones a escala nacional y regional.</w:t>
      </w:r>
    </w:p>
    <w:p w14:paraId="13A283DD"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 xml:space="preserve">En 2024, se pondrán en marcha los Centros Regionales WIGOS en modo piloto, se desplegará el prototipo del Sistema de Observación Hidrológica de la OMM (WHOS) para la cuenca del río </w:t>
      </w:r>
      <w:proofErr w:type="spellStart"/>
      <w:r w:rsidRPr="00930F76">
        <w:rPr>
          <w:rFonts w:ascii="Verdana" w:hAnsi="Verdana"/>
          <w:sz w:val="20"/>
          <w:szCs w:val="20"/>
          <w:lang w:val="es-ES"/>
        </w:rPr>
        <w:t>Sava</w:t>
      </w:r>
      <w:proofErr w:type="spellEnd"/>
      <w:r w:rsidRPr="00930F76">
        <w:rPr>
          <w:rFonts w:ascii="Verdana" w:hAnsi="Verdana"/>
          <w:sz w:val="20"/>
          <w:szCs w:val="20"/>
          <w:lang w:val="es-ES"/>
        </w:rPr>
        <w:t>, y se seguirá mejorando y manteniendo el Sistema de Asesoramiento de Alerta Temprana del Sudeste de Europa, gestionado por el ECMWF.</w:t>
      </w:r>
    </w:p>
    <w:p w14:paraId="5CA98382"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Otras ampliaciones incluirían la creación de Centros Regionales de Recogida de Datos de Aviación y Centros Regionales de Procesamiento de Datos de Aviación para mejorar el análisis y la previsión de los datos meteorológicos de la aviación. Además, se está creando un nuevo Centro Meteorológico Agrícola para apoyar la planificación y las prácticas agrícolas. Está prevista la creación de Centros Hidrológicos Regionales para mejorar la recogida de datos y la previsión de los recursos hídricos y la gestión de las inundaciones.</w:t>
      </w:r>
    </w:p>
    <w:p w14:paraId="6E270457" w14:textId="77777777" w:rsidR="00D77AC6" w:rsidRPr="00930F76" w:rsidRDefault="00D77AC6" w:rsidP="00D77AC6">
      <w:pPr>
        <w:pStyle w:val="Heading3"/>
        <w:rPr>
          <w:lang w:val="es-ES"/>
        </w:rPr>
      </w:pPr>
      <w:r w:rsidRPr="00930F76">
        <w:rPr>
          <w:lang w:val="es-ES"/>
        </w:rPr>
        <w:t>Conclusión</w:t>
      </w:r>
    </w:p>
    <w:p w14:paraId="69DE6FF2" w14:textId="77777777" w:rsidR="00D77AC6" w:rsidRPr="00930F76" w:rsidRDefault="00D77AC6" w:rsidP="00D77AC6">
      <w:pPr>
        <w:pStyle w:val="NormalWeb"/>
        <w:spacing w:before="240" w:beforeAutospacing="0" w:after="120" w:afterAutospacing="0"/>
        <w:rPr>
          <w:rFonts w:ascii="Verdana" w:hAnsi="Verdana"/>
          <w:sz w:val="20"/>
          <w:szCs w:val="20"/>
          <w:lang w:val="es-ES"/>
        </w:rPr>
      </w:pPr>
      <w:r w:rsidRPr="00930F76">
        <w:rPr>
          <w:rFonts w:ascii="Verdana" w:hAnsi="Verdana"/>
          <w:sz w:val="20"/>
          <w:szCs w:val="20"/>
          <w:lang w:val="es-ES"/>
        </w:rPr>
        <w:t>La Asociación Regional VI de la OMM desempeña un papel crucial en la promoción de los servicios meteorológicos, hidrológicos, marinos y climáticos en Europa, Oriente Medio y el Cáucaso Meridional. A través de sus sólidos marcos de cooperación y mecanismos de trabajo, la AR VI mejora las capacidades de los SMHN, garantizando que los Estados miembros estén bien equipados para hacer frente a los retos regionales y mundiales. La colaboración dentro de la AR VI, respaldada tanto por estructuras formales como los Centros Regionales Especializados como por redes informales, es vital para alcanzar los objetivos de desarrollo sostenible, mejorar la resiliencia ante las catástrofes y apoyar los esfuerzos de adaptación al clima en toda la región.</w:t>
      </w:r>
    </w:p>
    <w:p w14:paraId="157977F3" w14:textId="77777777" w:rsidR="00D77AC6" w:rsidRPr="00930F76" w:rsidRDefault="00D77AC6" w:rsidP="00D77AC6">
      <w:pPr>
        <w:pStyle w:val="NormalWeb"/>
        <w:spacing w:before="240" w:beforeAutospacing="0" w:after="120" w:afterAutospacing="0"/>
        <w:rPr>
          <w:rFonts w:ascii="Verdana" w:hAnsi="Verdana"/>
          <w:sz w:val="20"/>
          <w:szCs w:val="20"/>
          <w:lang w:val="es-ES"/>
        </w:rPr>
      </w:pPr>
    </w:p>
    <w:p w14:paraId="6FFB615E" w14:textId="77777777" w:rsidR="00D77AC6" w:rsidRPr="00930F76" w:rsidRDefault="00D77AC6" w:rsidP="00D77AC6">
      <w:pPr>
        <w:pStyle w:val="NormalWeb"/>
        <w:spacing w:before="240" w:beforeAutospacing="0" w:after="120" w:afterAutospacing="0"/>
        <w:jc w:val="center"/>
        <w:rPr>
          <w:rFonts w:ascii="Verdana" w:hAnsi="Verdana"/>
          <w:sz w:val="20"/>
          <w:szCs w:val="20"/>
        </w:rPr>
      </w:pPr>
      <w:r w:rsidRPr="00930F76">
        <w:rPr>
          <w:rFonts w:ascii="Verdana" w:hAnsi="Verdana"/>
          <w:sz w:val="20"/>
          <w:szCs w:val="20"/>
          <w:lang w:val="es-ES"/>
        </w:rPr>
        <w:t>_______________</w:t>
      </w:r>
    </w:p>
    <w:p w14:paraId="44A23D73" w14:textId="77777777" w:rsidR="001A25F0" w:rsidRPr="002A29BD" w:rsidRDefault="001A25F0" w:rsidP="00D77AC6">
      <w:pPr>
        <w:pStyle w:val="WMOBodyText"/>
        <w:ind w:left="3969" w:hanging="3969"/>
        <w:rPr>
          <w:lang w:val="es-419"/>
        </w:rPr>
      </w:pPr>
    </w:p>
    <w:sectPr w:rsidR="001A25F0" w:rsidRPr="002A29BD" w:rsidSect="00472D8C">
      <w:headerReference w:type="default" r:id="rId1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934E" w14:textId="77777777" w:rsidR="00EF7DBA" w:rsidRDefault="00EF7DBA">
      <w:r>
        <w:separator/>
      </w:r>
    </w:p>
    <w:p w14:paraId="0B8DCD83" w14:textId="77777777" w:rsidR="00EF7DBA" w:rsidRDefault="00EF7DBA"/>
    <w:p w14:paraId="5A11DA94" w14:textId="77777777" w:rsidR="00EF7DBA" w:rsidRDefault="00EF7DBA"/>
  </w:endnote>
  <w:endnote w:type="continuationSeparator" w:id="0">
    <w:p w14:paraId="38493526" w14:textId="77777777" w:rsidR="00EF7DBA" w:rsidRDefault="00EF7DBA">
      <w:r>
        <w:continuationSeparator/>
      </w:r>
    </w:p>
    <w:p w14:paraId="6B88C9F2" w14:textId="77777777" w:rsidR="00EF7DBA" w:rsidRDefault="00EF7DBA"/>
    <w:p w14:paraId="79B82C44" w14:textId="77777777" w:rsidR="00EF7DBA" w:rsidRDefault="00EF7DBA"/>
  </w:endnote>
  <w:endnote w:type="continuationNotice" w:id="1">
    <w:p w14:paraId="41039B57" w14:textId="77777777" w:rsidR="00EF7DBA" w:rsidRDefault="00EF7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B30E" w14:textId="77777777" w:rsidR="00EF7DBA" w:rsidRDefault="00EF7DBA">
      <w:r>
        <w:separator/>
      </w:r>
    </w:p>
  </w:footnote>
  <w:footnote w:type="continuationSeparator" w:id="0">
    <w:p w14:paraId="62347088" w14:textId="77777777" w:rsidR="00EF7DBA" w:rsidRDefault="00EF7DBA">
      <w:r>
        <w:continuationSeparator/>
      </w:r>
    </w:p>
    <w:p w14:paraId="10CDF8E3" w14:textId="77777777" w:rsidR="00EF7DBA" w:rsidRDefault="00EF7DBA"/>
    <w:p w14:paraId="48D1CA05" w14:textId="77777777" w:rsidR="00EF7DBA" w:rsidRDefault="00EF7DBA"/>
  </w:footnote>
  <w:footnote w:type="continuationNotice" w:id="1">
    <w:p w14:paraId="3B2A10BC" w14:textId="77777777" w:rsidR="00EF7DBA" w:rsidRDefault="00EF7D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A92D" w14:textId="17A1E64C" w:rsidR="003143C9" w:rsidRPr="00472D8C" w:rsidRDefault="00FC2996" w:rsidP="00B72444">
    <w:pPr>
      <w:pStyle w:val="Header"/>
      <w:rPr>
        <w:sz w:val="18"/>
        <w:szCs w:val="18"/>
        <w:lang w:val="it-IT"/>
      </w:rPr>
    </w:pPr>
    <w:r w:rsidRPr="003D423B">
      <w:rPr>
        <w:sz w:val="18"/>
        <w:szCs w:val="18"/>
        <w:lang w:val="it-IT"/>
      </w:rPr>
      <w:t>A</w:t>
    </w:r>
    <w:r w:rsidR="0069167A">
      <w:rPr>
        <w:sz w:val="18"/>
        <w:szCs w:val="18"/>
        <w:lang w:val="it-IT"/>
      </w:rPr>
      <w:t>R</w:t>
    </w:r>
    <w:r w:rsidRPr="003D423B">
      <w:rPr>
        <w:sz w:val="18"/>
        <w:szCs w:val="18"/>
        <w:lang w:val="it-IT"/>
      </w:rPr>
      <w:t xml:space="preserve"> </w:t>
    </w:r>
    <w:r w:rsidR="0069167A">
      <w:rPr>
        <w:sz w:val="18"/>
        <w:szCs w:val="18"/>
        <w:lang w:val="it-IT"/>
      </w:rPr>
      <w:t>V</w:t>
    </w:r>
    <w:r w:rsidRPr="003D423B">
      <w:rPr>
        <w:sz w:val="18"/>
        <w:szCs w:val="18"/>
        <w:lang w:val="it-IT"/>
      </w:rPr>
      <w:t>I-1</w:t>
    </w:r>
    <w:r w:rsidR="00EA6A2D" w:rsidRPr="003D423B">
      <w:rPr>
        <w:sz w:val="18"/>
        <w:szCs w:val="18"/>
        <w:lang w:val="it-IT"/>
      </w:rPr>
      <w:t>9(I)</w:t>
    </w:r>
    <w:r w:rsidRPr="003D423B">
      <w:rPr>
        <w:sz w:val="18"/>
        <w:szCs w:val="18"/>
        <w:lang w:val="it-IT"/>
      </w:rPr>
      <w:t>/</w:t>
    </w:r>
    <w:r w:rsidR="00D77AC6">
      <w:rPr>
        <w:sz w:val="18"/>
        <w:szCs w:val="18"/>
        <w:lang w:val="it-IT"/>
      </w:rPr>
      <w:t>INF. 3.1(1)</w:t>
    </w:r>
    <w:r w:rsidR="003143C9" w:rsidRPr="003D423B">
      <w:rPr>
        <w:sz w:val="18"/>
        <w:szCs w:val="18"/>
        <w:lang w:val="it-IT"/>
      </w:rPr>
      <w:t xml:space="preserve">, </w:t>
    </w:r>
    <w:r w:rsidR="00595ED4" w:rsidRPr="008C11BE">
      <w:rPr>
        <w:sz w:val="18"/>
        <w:szCs w:val="18"/>
        <w:lang w:val="it-IT"/>
      </w:rPr>
      <w:t>VERSI</w:t>
    </w:r>
    <w:r w:rsidR="00472D8C">
      <w:rPr>
        <w:sz w:val="18"/>
        <w:szCs w:val="18"/>
        <w:lang w:val="it-IT"/>
      </w:rPr>
      <w:t>Ó</w:t>
    </w:r>
    <w:r w:rsidR="00595ED4" w:rsidRPr="008C11BE">
      <w:rPr>
        <w:sz w:val="18"/>
        <w:szCs w:val="18"/>
        <w:lang w:val="it-IT"/>
      </w:rPr>
      <w:t>N</w:t>
    </w:r>
    <w:r w:rsidR="003143C9" w:rsidRPr="003D423B">
      <w:rPr>
        <w:sz w:val="18"/>
        <w:szCs w:val="18"/>
        <w:lang w:val="it-IT"/>
      </w:rPr>
      <w:t xml:space="preserve"> 1, p. </w:t>
    </w:r>
    <w:r w:rsidR="003143C9" w:rsidRPr="00595ED4">
      <w:rPr>
        <w:rStyle w:val="PageNumber"/>
        <w:sz w:val="18"/>
        <w:szCs w:val="18"/>
      </w:rPr>
      <w:fldChar w:fldCharType="begin"/>
    </w:r>
    <w:r w:rsidR="003143C9" w:rsidRPr="003D423B">
      <w:rPr>
        <w:rStyle w:val="PageNumber"/>
        <w:sz w:val="18"/>
        <w:szCs w:val="18"/>
        <w:lang w:val="it-IT"/>
      </w:rPr>
      <w:instrText xml:space="preserve"> PAGE </w:instrText>
    </w:r>
    <w:r w:rsidR="003143C9" w:rsidRPr="00595ED4">
      <w:rPr>
        <w:rStyle w:val="PageNumber"/>
        <w:sz w:val="18"/>
        <w:szCs w:val="18"/>
      </w:rPr>
      <w:fldChar w:fldCharType="separate"/>
    </w:r>
    <w:r w:rsidR="003143C9" w:rsidRPr="00472D8C">
      <w:rPr>
        <w:rStyle w:val="PageNumber"/>
        <w:noProof/>
        <w:sz w:val="18"/>
        <w:szCs w:val="18"/>
        <w:lang w:val="it-IT"/>
      </w:rPr>
      <w:t>6</w:t>
    </w:r>
    <w:r w:rsidR="003143C9" w:rsidRPr="00595ED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7D245A"/>
    <w:multiLevelType w:val="hybridMultilevel"/>
    <w:tmpl w:val="A01E1306"/>
    <w:lvl w:ilvl="0" w:tplc="200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FE4A1E"/>
    <w:multiLevelType w:val="multilevel"/>
    <w:tmpl w:val="328691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F203F2"/>
    <w:multiLevelType w:val="multilevel"/>
    <w:tmpl w:val="E5BE270C"/>
    <w:lvl w:ilvl="0">
      <w:start w:val="1"/>
      <w:numFmt w:val="decimal"/>
      <w:lvlText w:val="(%1)"/>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8B21E18"/>
    <w:multiLevelType w:val="multilevel"/>
    <w:tmpl w:val="C304E6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8631270"/>
    <w:multiLevelType w:val="hybridMultilevel"/>
    <w:tmpl w:val="3AFE793C"/>
    <w:lvl w:ilvl="0" w:tplc="20000011">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47803D8"/>
    <w:multiLevelType w:val="multilevel"/>
    <w:tmpl w:val="011245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7A13BDE"/>
    <w:multiLevelType w:val="multilevel"/>
    <w:tmpl w:val="F3E095B2"/>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117710">
    <w:abstractNumId w:val="32"/>
  </w:num>
  <w:num w:numId="2" w16cid:durableId="395132351">
    <w:abstractNumId w:val="51"/>
  </w:num>
  <w:num w:numId="3" w16cid:durableId="683485111">
    <w:abstractNumId w:val="30"/>
  </w:num>
  <w:num w:numId="4" w16cid:durableId="888303166">
    <w:abstractNumId w:val="41"/>
  </w:num>
  <w:num w:numId="5" w16cid:durableId="937755136">
    <w:abstractNumId w:val="19"/>
  </w:num>
  <w:num w:numId="6" w16cid:durableId="770706160">
    <w:abstractNumId w:val="24"/>
  </w:num>
  <w:num w:numId="7" w16cid:durableId="1912621405">
    <w:abstractNumId w:val="20"/>
  </w:num>
  <w:num w:numId="8" w16cid:durableId="180946254">
    <w:abstractNumId w:val="33"/>
  </w:num>
  <w:num w:numId="9" w16cid:durableId="483395811">
    <w:abstractNumId w:val="23"/>
  </w:num>
  <w:num w:numId="10" w16cid:durableId="843129939">
    <w:abstractNumId w:val="22"/>
  </w:num>
  <w:num w:numId="11" w16cid:durableId="829566723">
    <w:abstractNumId w:val="39"/>
  </w:num>
  <w:num w:numId="12" w16cid:durableId="439373003">
    <w:abstractNumId w:val="11"/>
  </w:num>
  <w:num w:numId="13" w16cid:durableId="1394966300">
    <w:abstractNumId w:val="27"/>
  </w:num>
  <w:num w:numId="14" w16cid:durableId="1083793167">
    <w:abstractNumId w:val="45"/>
  </w:num>
  <w:num w:numId="15" w16cid:durableId="41289554">
    <w:abstractNumId w:val="21"/>
  </w:num>
  <w:num w:numId="16" w16cid:durableId="79370841">
    <w:abstractNumId w:val="9"/>
  </w:num>
  <w:num w:numId="17" w16cid:durableId="1571118888">
    <w:abstractNumId w:val="7"/>
  </w:num>
  <w:num w:numId="18" w16cid:durableId="2116052669">
    <w:abstractNumId w:val="6"/>
  </w:num>
  <w:num w:numId="19" w16cid:durableId="817764028">
    <w:abstractNumId w:val="5"/>
  </w:num>
  <w:num w:numId="20" w16cid:durableId="230042971">
    <w:abstractNumId w:val="4"/>
  </w:num>
  <w:num w:numId="21" w16cid:durableId="1769546142">
    <w:abstractNumId w:val="8"/>
  </w:num>
  <w:num w:numId="22" w16cid:durableId="2098364357">
    <w:abstractNumId w:val="3"/>
  </w:num>
  <w:num w:numId="23" w16cid:durableId="45028411">
    <w:abstractNumId w:val="2"/>
  </w:num>
  <w:num w:numId="24" w16cid:durableId="899246484">
    <w:abstractNumId w:val="1"/>
  </w:num>
  <w:num w:numId="25" w16cid:durableId="976648262">
    <w:abstractNumId w:val="0"/>
  </w:num>
  <w:num w:numId="26" w16cid:durableId="1624851051">
    <w:abstractNumId w:val="47"/>
  </w:num>
  <w:num w:numId="27" w16cid:durableId="284893697">
    <w:abstractNumId w:val="34"/>
  </w:num>
  <w:num w:numId="28" w16cid:durableId="112556197">
    <w:abstractNumId w:val="25"/>
  </w:num>
  <w:num w:numId="29" w16cid:durableId="1826781198">
    <w:abstractNumId w:val="36"/>
  </w:num>
  <w:num w:numId="30" w16cid:durableId="40599064">
    <w:abstractNumId w:val="37"/>
  </w:num>
  <w:num w:numId="31" w16cid:durableId="874587545">
    <w:abstractNumId w:val="14"/>
  </w:num>
  <w:num w:numId="32" w16cid:durableId="1794666580">
    <w:abstractNumId w:val="44"/>
  </w:num>
  <w:num w:numId="33" w16cid:durableId="614749954">
    <w:abstractNumId w:val="42"/>
  </w:num>
  <w:num w:numId="34" w16cid:durableId="2077586355">
    <w:abstractNumId w:val="26"/>
  </w:num>
  <w:num w:numId="35" w16cid:durableId="1884560045">
    <w:abstractNumId w:val="29"/>
  </w:num>
  <w:num w:numId="36" w16cid:durableId="1154374151">
    <w:abstractNumId w:val="49"/>
  </w:num>
  <w:num w:numId="37" w16cid:durableId="1827430313">
    <w:abstractNumId w:val="38"/>
  </w:num>
  <w:num w:numId="38" w16cid:durableId="380323024">
    <w:abstractNumId w:val="12"/>
  </w:num>
  <w:num w:numId="39" w16cid:durableId="1466049558">
    <w:abstractNumId w:val="13"/>
  </w:num>
  <w:num w:numId="40" w16cid:durableId="117652511">
    <w:abstractNumId w:val="17"/>
  </w:num>
  <w:num w:numId="41" w16cid:durableId="311764002">
    <w:abstractNumId w:val="10"/>
  </w:num>
  <w:num w:numId="42" w16cid:durableId="1118449087">
    <w:abstractNumId w:val="46"/>
  </w:num>
  <w:num w:numId="43" w16cid:durableId="173421731">
    <w:abstractNumId w:val="18"/>
  </w:num>
  <w:num w:numId="44" w16cid:durableId="280694128">
    <w:abstractNumId w:val="31"/>
  </w:num>
  <w:num w:numId="45" w16cid:durableId="2084912840">
    <w:abstractNumId w:val="43"/>
  </w:num>
  <w:num w:numId="46" w16cid:durableId="2056543285">
    <w:abstractNumId w:val="28"/>
  </w:num>
  <w:num w:numId="47" w16cid:durableId="1800414850">
    <w:abstractNumId w:val="50"/>
  </w:num>
  <w:num w:numId="48" w16cid:durableId="808980522">
    <w:abstractNumId w:val="40"/>
  </w:num>
  <w:num w:numId="49" w16cid:durableId="1326981712">
    <w:abstractNumId w:val="15"/>
  </w:num>
  <w:num w:numId="50" w16cid:durableId="817919654">
    <w:abstractNumId w:val="48"/>
  </w:num>
  <w:num w:numId="51" w16cid:durableId="682979525">
    <w:abstractNumId w:val="35"/>
  </w:num>
  <w:num w:numId="52" w16cid:durableId="3493755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C6"/>
    <w:rsid w:val="00001CF5"/>
    <w:rsid w:val="0000459E"/>
    <w:rsid w:val="000133EE"/>
    <w:rsid w:val="00014820"/>
    <w:rsid w:val="000206A8"/>
    <w:rsid w:val="0003137A"/>
    <w:rsid w:val="00041171"/>
    <w:rsid w:val="00041727"/>
    <w:rsid w:val="0004226F"/>
    <w:rsid w:val="00050060"/>
    <w:rsid w:val="00050F8E"/>
    <w:rsid w:val="000518BB"/>
    <w:rsid w:val="000573AD"/>
    <w:rsid w:val="0006123B"/>
    <w:rsid w:val="00064F6B"/>
    <w:rsid w:val="00067325"/>
    <w:rsid w:val="000708A5"/>
    <w:rsid w:val="00071D6D"/>
    <w:rsid w:val="00072F17"/>
    <w:rsid w:val="000750D0"/>
    <w:rsid w:val="000806D8"/>
    <w:rsid w:val="00082C80"/>
    <w:rsid w:val="00083099"/>
    <w:rsid w:val="00083847"/>
    <w:rsid w:val="00083C36"/>
    <w:rsid w:val="00092CAE"/>
    <w:rsid w:val="00095E48"/>
    <w:rsid w:val="000A067F"/>
    <w:rsid w:val="000A0762"/>
    <w:rsid w:val="000A4F1C"/>
    <w:rsid w:val="000A5190"/>
    <w:rsid w:val="000A51EC"/>
    <w:rsid w:val="000A69BF"/>
    <w:rsid w:val="000C225A"/>
    <w:rsid w:val="000C6781"/>
    <w:rsid w:val="000C6A11"/>
    <w:rsid w:val="000D0753"/>
    <w:rsid w:val="000F5E49"/>
    <w:rsid w:val="000F7A87"/>
    <w:rsid w:val="00102EAE"/>
    <w:rsid w:val="001047DC"/>
    <w:rsid w:val="00105D2E"/>
    <w:rsid w:val="00110CE0"/>
    <w:rsid w:val="00111BFD"/>
    <w:rsid w:val="0011498B"/>
    <w:rsid w:val="00120147"/>
    <w:rsid w:val="00123140"/>
    <w:rsid w:val="00123D94"/>
    <w:rsid w:val="001242AE"/>
    <w:rsid w:val="00146195"/>
    <w:rsid w:val="00155527"/>
    <w:rsid w:val="001564E9"/>
    <w:rsid w:val="00156F9B"/>
    <w:rsid w:val="00163BA3"/>
    <w:rsid w:val="00166B31"/>
    <w:rsid w:val="00167D54"/>
    <w:rsid w:val="001732E7"/>
    <w:rsid w:val="00180771"/>
    <w:rsid w:val="00190854"/>
    <w:rsid w:val="001930A3"/>
    <w:rsid w:val="00195AD9"/>
    <w:rsid w:val="00196EB8"/>
    <w:rsid w:val="001A25F0"/>
    <w:rsid w:val="001A341E"/>
    <w:rsid w:val="001B0EA6"/>
    <w:rsid w:val="001B1CDF"/>
    <w:rsid w:val="001B38BB"/>
    <w:rsid w:val="001B56F4"/>
    <w:rsid w:val="001C5462"/>
    <w:rsid w:val="001D265C"/>
    <w:rsid w:val="001D3062"/>
    <w:rsid w:val="001D3CFB"/>
    <w:rsid w:val="001D559B"/>
    <w:rsid w:val="001D6302"/>
    <w:rsid w:val="001E2C22"/>
    <w:rsid w:val="001E4565"/>
    <w:rsid w:val="001E740C"/>
    <w:rsid w:val="001E7DD0"/>
    <w:rsid w:val="001F1BDA"/>
    <w:rsid w:val="001F48A5"/>
    <w:rsid w:val="0020095E"/>
    <w:rsid w:val="00207AA6"/>
    <w:rsid w:val="00210BFE"/>
    <w:rsid w:val="00210D30"/>
    <w:rsid w:val="002204FD"/>
    <w:rsid w:val="00221020"/>
    <w:rsid w:val="0022455A"/>
    <w:rsid w:val="002308B5"/>
    <w:rsid w:val="00233C0B"/>
    <w:rsid w:val="00234A34"/>
    <w:rsid w:val="0025255D"/>
    <w:rsid w:val="00253070"/>
    <w:rsid w:val="00255EE3"/>
    <w:rsid w:val="00256B3D"/>
    <w:rsid w:val="0026409B"/>
    <w:rsid w:val="0026743C"/>
    <w:rsid w:val="00270480"/>
    <w:rsid w:val="002713E9"/>
    <w:rsid w:val="002779AF"/>
    <w:rsid w:val="002823D8"/>
    <w:rsid w:val="0028531A"/>
    <w:rsid w:val="00285446"/>
    <w:rsid w:val="00295593"/>
    <w:rsid w:val="002A29BD"/>
    <w:rsid w:val="002A354F"/>
    <w:rsid w:val="002A386C"/>
    <w:rsid w:val="002A3B7E"/>
    <w:rsid w:val="002B540D"/>
    <w:rsid w:val="002B7A7E"/>
    <w:rsid w:val="002C30BC"/>
    <w:rsid w:val="002C37B7"/>
    <w:rsid w:val="002C3987"/>
    <w:rsid w:val="002C5965"/>
    <w:rsid w:val="002C7A88"/>
    <w:rsid w:val="002C7AB9"/>
    <w:rsid w:val="002D232B"/>
    <w:rsid w:val="002D2759"/>
    <w:rsid w:val="002D5E00"/>
    <w:rsid w:val="002D6DAC"/>
    <w:rsid w:val="002E261D"/>
    <w:rsid w:val="002E3FAD"/>
    <w:rsid w:val="002E4E16"/>
    <w:rsid w:val="002F6DAC"/>
    <w:rsid w:val="00301E8C"/>
    <w:rsid w:val="00306057"/>
    <w:rsid w:val="00312177"/>
    <w:rsid w:val="003143C9"/>
    <w:rsid w:val="003146E9"/>
    <w:rsid w:val="00314D5D"/>
    <w:rsid w:val="00320009"/>
    <w:rsid w:val="0032424A"/>
    <w:rsid w:val="003245D3"/>
    <w:rsid w:val="00330AA3"/>
    <w:rsid w:val="00331584"/>
    <w:rsid w:val="00331964"/>
    <w:rsid w:val="00334987"/>
    <w:rsid w:val="00340C69"/>
    <w:rsid w:val="00342E34"/>
    <w:rsid w:val="00345FAA"/>
    <w:rsid w:val="00347201"/>
    <w:rsid w:val="0035567E"/>
    <w:rsid w:val="003638A1"/>
    <w:rsid w:val="00371CF1"/>
    <w:rsid w:val="00372211"/>
    <w:rsid w:val="00373128"/>
    <w:rsid w:val="003750C1"/>
    <w:rsid w:val="0038051E"/>
    <w:rsid w:val="003809E1"/>
    <w:rsid w:val="00380AF7"/>
    <w:rsid w:val="00394A05"/>
    <w:rsid w:val="003955F5"/>
    <w:rsid w:val="00397770"/>
    <w:rsid w:val="00397880"/>
    <w:rsid w:val="003A5894"/>
    <w:rsid w:val="003A7016"/>
    <w:rsid w:val="003A70AE"/>
    <w:rsid w:val="003B0C08"/>
    <w:rsid w:val="003B4908"/>
    <w:rsid w:val="003B5A74"/>
    <w:rsid w:val="003C17A5"/>
    <w:rsid w:val="003C1843"/>
    <w:rsid w:val="003C5D19"/>
    <w:rsid w:val="003D1552"/>
    <w:rsid w:val="003D423B"/>
    <w:rsid w:val="003E381F"/>
    <w:rsid w:val="003E4046"/>
    <w:rsid w:val="003F003A"/>
    <w:rsid w:val="003F125B"/>
    <w:rsid w:val="003F5943"/>
    <w:rsid w:val="003F7B3F"/>
    <w:rsid w:val="004058AD"/>
    <w:rsid w:val="0041078D"/>
    <w:rsid w:val="00416F97"/>
    <w:rsid w:val="0043039B"/>
    <w:rsid w:val="00436197"/>
    <w:rsid w:val="004423FE"/>
    <w:rsid w:val="00445C35"/>
    <w:rsid w:val="0045053B"/>
    <w:rsid w:val="00454B41"/>
    <w:rsid w:val="0045663A"/>
    <w:rsid w:val="0046344E"/>
    <w:rsid w:val="004654FB"/>
    <w:rsid w:val="004667E7"/>
    <w:rsid w:val="004672CF"/>
    <w:rsid w:val="00472B40"/>
    <w:rsid w:val="00472D8C"/>
    <w:rsid w:val="00475797"/>
    <w:rsid w:val="00476D0A"/>
    <w:rsid w:val="00482BF7"/>
    <w:rsid w:val="0049002F"/>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72C4"/>
    <w:rsid w:val="00511999"/>
    <w:rsid w:val="005145D6"/>
    <w:rsid w:val="005206E5"/>
    <w:rsid w:val="00520824"/>
    <w:rsid w:val="00521EA5"/>
    <w:rsid w:val="00525B80"/>
    <w:rsid w:val="0053098F"/>
    <w:rsid w:val="00536065"/>
    <w:rsid w:val="00536B2E"/>
    <w:rsid w:val="00546D8E"/>
    <w:rsid w:val="00553738"/>
    <w:rsid w:val="0056646F"/>
    <w:rsid w:val="00571AE1"/>
    <w:rsid w:val="00581B28"/>
    <w:rsid w:val="00590010"/>
    <w:rsid w:val="00592267"/>
    <w:rsid w:val="0059421F"/>
    <w:rsid w:val="00595ED4"/>
    <w:rsid w:val="005A136D"/>
    <w:rsid w:val="005A1B09"/>
    <w:rsid w:val="005B0AE2"/>
    <w:rsid w:val="005B1F2C"/>
    <w:rsid w:val="005B5F3C"/>
    <w:rsid w:val="005C41F2"/>
    <w:rsid w:val="005C5DDD"/>
    <w:rsid w:val="005C5EA3"/>
    <w:rsid w:val="005D03D9"/>
    <w:rsid w:val="005D1EE8"/>
    <w:rsid w:val="005D51CF"/>
    <w:rsid w:val="005D56AE"/>
    <w:rsid w:val="005D666D"/>
    <w:rsid w:val="005E3A59"/>
    <w:rsid w:val="005E6AA1"/>
    <w:rsid w:val="00604802"/>
    <w:rsid w:val="006125F8"/>
    <w:rsid w:val="00615AB0"/>
    <w:rsid w:val="00616247"/>
    <w:rsid w:val="0061778C"/>
    <w:rsid w:val="00636B90"/>
    <w:rsid w:val="00644CD5"/>
    <w:rsid w:val="0064738B"/>
    <w:rsid w:val="006508EA"/>
    <w:rsid w:val="006530BB"/>
    <w:rsid w:val="00667E86"/>
    <w:rsid w:val="006703D7"/>
    <w:rsid w:val="00681336"/>
    <w:rsid w:val="0068392D"/>
    <w:rsid w:val="0069167A"/>
    <w:rsid w:val="00696663"/>
    <w:rsid w:val="00697DB5"/>
    <w:rsid w:val="006A0216"/>
    <w:rsid w:val="006A161B"/>
    <w:rsid w:val="006A1B33"/>
    <w:rsid w:val="006A492A"/>
    <w:rsid w:val="006B5C72"/>
    <w:rsid w:val="006B7710"/>
    <w:rsid w:val="006C289D"/>
    <w:rsid w:val="006C2F46"/>
    <w:rsid w:val="006C452C"/>
    <w:rsid w:val="006D0310"/>
    <w:rsid w:val="006D2009"/>
    <w:rsid w:val="006D5576"/>
    <w:rsid w:val="006E766D"/>
    <w:rsid w:val="006F4B29"/>
    <w:rsid w:val="006F6CE9"/>
    <w:rsid w:val="006F6F80"/>
    <w:rsid w:val="0070517C"/>
    <w:rsid w:val="00705C9F"/>
    <w:rsid w:val="00716951"/>
    <w:rsid w:val="00720F6B"/>
    <w:rsid w:val="0072317C"/>
    <w:rsid w:val="00730ADA"/>
    <w:rsid w:val="00732C37"/>
    <w:rsid w:val="00735D9E"/>
    <w:rsid w:val="00740EE4"/>
    <w:rsid w:val="007415B4"/>
    <w:rsid w:val="00745A09"/>
    <w:rsid w:val="00751667"/>
    <w:rsid w:val="00751EAF"/>
    <w:rsid w:val="00753C6D"/>
    <w:rsid w:val="00754CF7"/>
    <w:rsid w:val="00757B0D"/>
    <w:rsid w:val="00761320"/>
    <w:rsid w:val="00762050"/>
    <w:rsid w:val="007651B1"/>
    <w:rsid w:val="00767CE1"/>
    <w:rsid w:val="00771A68"/>
    <w:rsid w:val="007744D2"/>
    <w:rsid w:val="00786136"/>
    <w:rsid w:val="007968E6"/>
    <w:rsid w:val="007A7D5F"/>
    <w:rsid w:val="007B05CF"/>
    <w:rsid w:val="007B4E8D"/>
    <w:rsid w:val="007C212A"/>
    <w:rsid w:val="007E7D21"/>
    <w:rsid w:val="007E7DBD"/>
    <w:rsid w:val="007F482F"/>
    <w:rsid w:val="007F7C94"/>
    <w:rsid w:val="0080398D"/>
    <w:rsid w:val="00805174"/>
    <w:rsid w:val="00806385"/>
    <w:rsid w:val="00807CC5"/>
    <w:rsid w:val="00807ED7"/>
    <w:rsid w:val="00814CC6"/>
    <w:rsid w:val="00826D53"/>
    <w:rsid w:val="00826E06"/>
    <w:rsid w:val="00831751"/>
    <w:rsid w:val="00833369"/>
    <w:rsid w:val="00835B42"/>
    <w:rsid w:val="00842A4E"/>
    <w:rsid w:val="00847D99"/>
    <w:rsid w:val="0085038E"/>
    <w:rsid w:val="0085230A"/>
    <w:rsid w:val="0086271D"/>
    <w:rsid w:val="0086420B"/>
    <w:rsid w:val="00864DBF"/>
    <w:rsid w:val="00865AE2"/>
    <w:rsid w:val="008663C8"/>
    <w:rsid w:val="00876FDC"/>
    <w:rsid w:val="0088163A"/>
    <w:rsid w:val="00887090"/>
    <w:rsid w:val="00893963"/>
    <w:rsid w:val="0089601F"/>
    <w:rsid w:val="008970B8"/>
    <w:rsid w:val="008A7313"/>
    <w:rsid w:val="008A7D91"/>
    <w:rsid w:val="008B7FC7"/>
    <w:rsid w:val="008C11BE"/>
    <w:rsid w:val="008C4337"/>
    <w:rsid w:val="008C4F06"/>
    <w:rsid w:val="008E1E4A"/>
    <w:rsid w:val="008F0615"/>
    <w:rsid w:val="008F103E"/>
    <w:rsid w:val="008F1FDB"/>
    <w:rsid w:val="008F36FB"/>
    <w:rsid w:val="008F7A8B"/>
    <w:rsid w:val="00900181"/>
    <w:rsid w:val="00902EA9"/>
    <w:rsid w:val="0090427F"/>
    <w:rsid w:val="009065CD"/>
    <w:rsid w:val="00920506"/>
    <w:rsid w:val="009319E8"/>
    <w:rsid w:val="00931DEB"/>
    <w:rsid w:val="009332D2"/>
    <w:rsid w:val="00933957"/>
    <w:rsid w:val="009356FA"/>
    <w:rsid w:val="0094022A"/>
    <w:rsid w:val="00945B8E"/>
    <w:rsid w:val="009473DB"/>
    <w:rsid w:val="009504A1"/>
    <w:rsid w:val="00950605"/>
    <w:rsid w:val="00952233"/>
    <w:rsid w:val="00954D66"/>
    <w:rsid w:val="00963F8F"/>
    <w:rsid w:val="00970BD5"/>
    <w:rsid w:val="00973C62"/>
    <w:rsid w:val="00975D76"/>
    <w:rsid w:val="00982E51"/>
    <w:rsid w:val="009874B9"/>
    <w:rsid w:val="00993581"/>
    <w:rsid w:val="009A288C"/>
    <w:rsid w:val="009A64C1"/>
    <w:rsid w:val="009B3D5A"/>
    <w:rsid w:val="009B6697"/>
    <w:rsid w:val="009B6C78"/>
    <w:rsid w:val="009C2B43"/>
    <w:rsid w:val="009C2EA4"/>
    <w:rsid w:val="009C4C04"/>
    <w:rsid w:val="009D5213"/>
    <w:rsid w:val="009E06B2"/>
    <w:rsid w:val="009E1C95"/>
    <w:rsid w:val="009F196A"/>
    <w:rsid w:val="009F3498"/>
    <w:rsid w:val="009F669B"/>
    <w:rsid w:val="009F7566"/>
    <w:rsid w:val="009F7F18"/>
    <w:rsid w:val="00A02A72"/>
    <w:rsid w:val="00A06BFE"/>
    <w:rsid w:val="00A10F5D"/>
    <w:rsid w:val="00A12254"/>
    <w:rsid w:val="00A1243C"/>
    <w:rsid w:val="00A135AE"/>
    <w:rsid w:val="00A14AF1"/>
    <w:rsid w:val="00A16891"/>
    <w:rsid w:val="00A25B99"/>
    <w:rsid w:val="00A268CE"/>
    <w:rsid w:val="00A332E8"/>
    <w:rsid w:val="00A35AF5"/>
    <w:rsid w:val="00A35DDF"/>
    <w:rsid w:val="00A36CBA"/>
    <w:rsid w:val="00A45741"/>
    <w:rsid w:val="00A50291"/>
    <w:rsid w:val="00A530E4"/>
    <w:rsid w:val="00A54C0E"/>
    <w:rsid w:val="00A604CD"/>
    <w:rsid w:val="00A60FE6"/>
    <w:rsid w:val="00A622F5"/>
    <w:rsid w:val="00A654BE"/>
    <w:rsid w:val="00A66DD6"/>
    <w:rsid w:val="00A75EC2"/>
    <w:rsid w:val="00A771FD"/>
    <w:rsid w:val="00A80767"/>
    <w:rsid w:val="00A861A3"/>
    <w:rsid w:val="00A874EF"/>
    <w:rsid w:val="00A9109D"/>
    <w:rsid w:val="00A95415"/>
    <w:rsid w:val="00AA131A"/>
    <w:rsid w:val="00AA3C89"/>
    <w:rsid w:val="00AB32BD"/>
    <w:rsid w:val="00AB4723"/>
    <w:rsid w:val="00AC4CDB"/>
    <w:rsid w:val="00AC70FE"/>
    <w:rsid w:val="00AD3AA3"/>
    <w:rsid w:val="00AD4358"/>
    <w:rsid w:val="00AF61E1"/>
    <w:rsid w:val="00AF638A"/>
    <w:rsid w:val="00AF7567"/>
    <w:rsid w:val="00B00141"/>
    <w:rsid w:val="00B009AA"/>
    <w:rsid w:val="00B00ECE"/>
    <w:rsid w:val="00B030C8"/>
    <w:rsid w:val="00B039C0"/>
    <w:rsid w:val="00B056E7"/>
    <w:rsid w:val="00B05B71"/>
    <w:rsid w:val="00B10035"/>
    <w:rsid w:val="00B15C76"/>
    <w:rsid w:val="00B165E6"/>
    <w:rsid w:val="00B235DB"/>
    <w:rsid w:val="00B24C31"/>
    <w:rsid w:val="00B411AF"/>
    <w:rsid w:val="00B447C0"/>
    <w:rsid w:val="00B53E53"/>
    <w:rsid w:val="00B548A2"/>
    <w:rsid w:val="00B56934"/>
    <w:rsid w:val="00B62F03"/>
    <w:rsid w:val="00B72444"/>
    <w:rsid w:val="00B93B62"/>
    <w:rsid w:val="00B953D1"/>
    <w:rsid w:val="00B96D93"/>
    <w:rsid w:val="00BA30D0"/>
    <w:rsid w:val="00BA77FB"/>
    <w:rsid w:val="00BB0D32"/>
    <w:rsid w:val="00BC76B5"/>
    <w:rsid w:val="00BD5420"/>
    <w:rsid w:val="00BE241E"/>
    <w:rsid w:val="00BF2233"/>
    <w:rsid w:val="00C023AF"/>
    <w:rsid w:val="00C04BD2"/>
    <w:rsid w:val="00C13EEC"/>
    <w:rsid w:val="00C14689"/>
    <w:rsid w:val="00C156A4"/>
    <w:rsid w:val="00C16356"/>
    <w:rsid w:val="00C20032"/>
    <w:rsid w:val="00C20BCE"/>
    <w:rsid w:val="00C20FAA"/>
    <w:rsid w:val="00C23509"/>
    <w:rsid w:val="00C2459D"/>
    <w:rsid w:val="00C2755A"/>
    <w:rsid w:val="00C316F1"/>
    <w:rsid w:val="00C42C95"/>
    <w:rsid w:val="00C4470F"/>
    <w:rsid w:val="00C50727"/>
    <w:rsid w:val="00C50A41"/>
    <w:rsid w:val="00C55E5B"/>
    <w:rsid w:val="00C62739"/>
    <w:rsid w:val="00C720A4"/>
    <w:rsid w:val="00C7611C"/>
    <w:rsid w:val="00C93FF2"/>
    <w:rsid w:val="00C94097"/>
    <w:rsid w:val="00CA4269"/>
    <w:rsid w:val="00CA48CA"/>
    <w:rsid w:val="00CA7330"/>
    <w:rsid w:val="00CB1C84"/>
    <w:rsid w:val="00CB5363"/>
    <w:rsid w:val="00CB64F0"/>
    <w:rsid w:val="00CC2909"/>
    <w:rsid w:val="00CD0549"/>
    <w:rsid w:val="00CE6B3C"/>
    <w:rsid w:val="00CF5E4B"/>
    <w:rsid w:val="00D03E49"/>
    <w:rsid w:val="00D05E6F"/>
    <w:rsid w:val="00D16D05"/>
    <w:rsid w:val="00D178D6"/>
    <w:rsid w:val="00D20296"/>
    <w:rsid w:val="00D2231A"/>
    <w:rsid w:val="00D27929"/>
    <w:rsid w:val="00D302CD"/>
    <w:rsid w:val="00D33442"/>
    <w:rsid w:val="00D419C6"/>
    <w:rsid w:val="00D44BAD"/>
    <w:rsid w:val="00D45B55"/>
    <w:rsid w:val="00D64A62"/>
    <w:rsid w:val="00D664D7"/>
    <w:rsid w:val="00D7097B"/>
    <w:rsid w:val="00D72207"/>
    <w:rsid w:val="00D72BC4"/>
    <w:rsid w:val="00D77AC6"/>
    <w:rsid w:val="00D815FC"/>
    <w:rsid w:val="00D8517B"/>
    <w:rsid w:val="00D91DFA"/>
    <w:rsid w:val="00D94FED"/>
    <w:rsid w:val="00DA159A"/>
    <w:rsid w:val="00DB1AB2"/>
    <w:rsid w:val="00DC17C2"/>
    <w:rsid w:val="00DC4210"/>
    <w:rsid w:val="00DC4FDF"/>
    <w:rsid w:val="00DC66F0"/>
    <w:rsid w:val="00DD3A65"/>
    <w:rsid w:val="00DD62C6"/>
    <w:rsid w:val="00DD6576"/>
    <w:rsid w:val="00DD6CF7"/>
    <w:rsid w:val="00DD6DC4"/>
    <w:rsid w:val="00DE3B92"/>
    <w:rsid w:val="00DE48B4"/>
    <w:rsid w:val="00DE7137"/>
    <w:rsid w:val="00DF18E4"/>
    <w:rsid w:val="00E00498"/>
    <w:rsid w:val="00E1464C"/>
    <w:rsid w:val="00E14ADB"/>
    <w:rsid w:val="00E20D32"/>
    <w:rsid w:val="00E22F78"/>
    <w:rsid w:val="00E2425D"/>
    <w:rsid w:val="00E24F87"/>
    <w:rsid w:val="00E2617A"/>
    <w:rsid w:val="00E273FB"/>
    <w:rsid w:val="00E31CD4"/>
    <w:rsid w:val="00E4497F"/>
    <w:rsid w:val="00E538E6"/>
    <w:rsid w:val="00E64CBD"/>
    <w:rsid w:val="00E71C45"/>
    <w:rsid w:val="00E74332"/>
    <w:rsid w:val="00E802A2"/>
    <w:rsid w:val="00E80F02"/>
    <w:rsid w:val="00E8410F"/>
    <w:rsid w:val="00E85C0B"/>
    <w:rsid w:val="00E86BFA"/>
    <w:rsid w:val="00EA4EDD"/>
    <w:rsid w:val="00EA6A2D"/>
    <w:rsid w:val="00EA7089"/>
    <w:rsid w:val="00EB13D7"/>
    <w:rsid w:val="00EB1E83"/>
    <w:rsid w:val="00EB21B6"/>
    <w:rsid w:val="00ED22CB"/>
    <w:rsid w:val="00ED67AF"/>
    <w:rsid w:val="00EE11F0"/>
    <w:rsid w:val="00EE128C"/>
    <w:rsid w:val="00EE2B19"/>
    <w:rsid w:val="00EE4C48"/>
    <w:rsid w:val="00EE5D2E"/>
    <w:rsid w:val="00EE7E6F"/>
    <w:rsid w:val="00EF66D9"/>
    <w:rsid w:val="00EF68E3"/>
    <w:rsid w:val="00EF6BA5"/>
    <w:rsid w:val="00EF780D"/>
    <w:rsid w:val="00EF7A98"/>
    <w:rsid w:val="00EF7DBA"/>
    <w:rsid w:val="00F0267E"/>
    <w:rsid w:val="00F071B2"/>
    <w:rsid w:val="00F075C1"/>
    <w:rsid w:val="00F11B47"/>
    <w:rsid w:val="00F2412D"/>
    <w:rsid w:val="00F25D8D"/>
    <w:rsid w:val="00F3069C"/>
    <w:rsid w:val="00F30BF8"/>
    <w:rsid w:val="00F330A1"/>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2F3"/>
    <w:rsid w:val="00F84DD2"/>
    <w:rsid w:val="00F906B8"/>
    <w:rsid w:val="00F94E44"/>
    <w:rsid w:val="00FA7307"/>
    <w:rsid w:val="00FB0872"/>
    <w:rsid w:val="00FB1F7A"/>
    <w:rsid w:val="00FB54CC"/>
    <w:rsid w:val="00FC2996"/>
    <w:rsid w:val="00FC362F"/>
    <w:rsid w:val="00FD0351"/>
    <w:rsid w:val="00FD1A37"/>
    <w:rsid w:val="00FD4E5B"/>
    <w:rsid w:val="00FE4EE0"/>
    <w:rsid w:val="00FE56C4"/>
    <w:rsid w:val="00FF0F9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6BF26B"/>
  <w15:docId w15:val="{C904DC04-8B63-479F-B7C9-A6BFF6E8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StyleWMOBodyTextBold">
    <w:name w:val="Style WMO_BodyText + Bold"/>
    <w:basedOn w:val="WMOBodyText"/>
    <w:rsid w:val="0035567E"/>
    <w:rPr>
      <w:b/>
      <w:bCs/>
      <w:lang w:val="es-ES_tradnl"/>
    </w:rPr>
  </w:style>
  <w:style w:type="character" w:styleId="Strong">
    <w:name w:val="Strong"/>
    <w:basedOn w:val="DefaultParagraphFont"/>
    <w:uiPriority w:val="22"/>
    <w:qFormat/>
    <w:rsid w:val="00D77AC6"/>
    <w:rPr>
      <w:b/>
      <w:bCs/>
    </w:rPr>
  </w:style>
  <w:style w:type="paragraph" w:styleId="NormalWeb">
    <w:name w:val="Normal (Web)"/>
    <w:basedOn w:val="Normal"/>
    <w:uiPriority w:val="99"/>
    <w:unhideWhenUsed/>
    <w:rsid w:val="00D77AC6"/>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qFormat/>
    <w:rsid w:val="00D77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03592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esaLalueza\Downloads\RA-VI-19(I)-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72AC79D6-ED20-486C-BABE-EEAB44D64EAD}"/>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EBAD02DA-5DFD-425C-9FAD-89F3BF31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RA-VI-19(I)-dxx-Template_es</Template>
  <TotalTime>1</TotalTime>
  <Pages>5</Pages>
  <Words>2152</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14397</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Buesa Lalueza</dc:creator>
  <cp:lastModifiedBy>David Buesa Lalueza</cp:lastModifiedBy>
  <cp:revision>1</cp:revision>
  <cp:lastPrinted>2013-03-12T09:27:00Z</cp:lastPrinted>
  <dcterms:created xsi:type="dcterms:W3CDTF">2024-09-24T15:15:00Z</dcterms:created>
  <dcterms:modified xsi:type="dcterms:W3CDTF">2024-09-24T15:16:00Z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david.buesalalueza</vt:lpwstr>
  </property>
  <property fmtid="{D5CDD505-2E9C-101B-9397-08002B2CF9AE}" pid="6" name="OriginalDocID">
    <vt:lpwstr>77fc2ad5-9acf-4686-b81e-8a511380db0d</vt:lpwstr>
  </property>
  <property fmtid="{D5CDD505-2E9C-101B-9397-08002B2CF9AE}" pid="7" name="GeneratedDate">
    <vt:lpwstr>09/16/2024 11:07:33</vt:lpwstr>
  </property>
</Properties>
</file>