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A51017" w:rsidRPr="00A51017" w14:paraId="1E9D5C1C" w14:textId="77777777" w:rsidTr="00126BF7">
        <w:trPr>
          <w:trHeight w:val="282"/>
        </w:trPr>
        <w:tc>
          <w:tcPr>
            <w:tcW w:w="500" w:type="dxa"/>
            <w:vMerge w:val="restart"/>
            <w:tcBorders>
              <w:bottom w:val="nil"/>
            </w:tcBorders>
            <w:textDirection w:val="btLr"/>
          </w:tcPr>
          <w:p w14:paraId="4FAE4FFA" w14:textId="77777777" w:rsidR="00A51017" w:rsidRPr="00732145" w:rsidRDefault="00A51017" w:rsidP="00A51017">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32145">
              <w:rPr>
                <w:color w:val="365F91" w:themeColor="accent1" w:themeShade="BF"/>
                <w:sz w:val="10"/>
                <w:szCs w:val="10"/>
                <w:lang w:eastAsia="zh-CN"/>
              </w:rPr>
              <w:t>TEMPS CLIMAT EAU</w:t>
            </w:r>
          </w:p>
        </w:tc>
        <w:tc>
          <w:tcPr>
            <w:tcW w:w="6852" w:type="dxa"/>
            <w:vMerge w:val="restart"/>
          </w:tcPr>
          <w:p w14:paraId="6D3F1A49" w14:textId="77777777" w:rsidR="00A51017" w:rsidRPr="00A51017" w:rsidRDefault="00A51017" w:rsidP="00A51017">
            <w:pPr>
              <w:tabs>
                <w:tab w:val="left" w:pos="6946"/>
              </w:tabs>
              <w:suppressAutoHyphens/>
              <w:spacing w:after="120" w:line="252" w:lineRule="auto"/>
              <w:ind w:left="1134"/>
              <w:jc w:val="left"/>
              <w:rPr>
                <w:rFonts w:cs="Tahoma"/>
                <w:b/>
                <w:bCs/>
                <w:color w:val="365F91" w:themeColor="accent1" w:themeShade="BF"/>
                <w:szCs w:val="22"/>
                <w:lang w:val="fr-FR"/>
              </w:rPr>
            </w:pPr>
            <w:r w:rsidRPr="00A51017">
              <w:rPr>
                <w:rFonts w:cs="Tahoma"/>
                <w:b/>
                <w:bCs/>
                <w:color w:val="365F91" w:themeColor="accent1" w:themeShade="BF"/>
                <w:szCs w:val="22"/>
                <w:lang w:val="fr-FR"/>
              </w:rPr>
              <w:t>Organisation météorologique mondiale</w:t>
            </w:r>
            <w:r w:rsidRPr="00A51017">
              <w:rPr>
                <w:noProof/>
                <w:color w:val="365F91" w:themeColor="accent1" w:themeShade="BF"/>
                <w:szCs w:val="22"/>
                <w:lang w:val="fr-FR" w:eastAsia="zh-CN"/>
              </w:rPr>
              <w:t xml:space="preserve"> </w:t>
            </w:r>
            <w:r w:rsidRPr="00A51017">
              <w:rPr>
                <w:noProof/>
                <w:color w:val="365F91" w:themeColor="accent1" w:themeShade="BF"/>
                <w:szCs w:val="22"/>
                <w:lang w:eastAsia="zh-CN"/>
              </w:rPr>
              <w:drawing>
                <wp:anchor distT="0" distB="0" distL="114300" distR="114300" simplePos="0" relativeHeight="251663360" behindDoc="1" locked="1" layoutInCell="1" allowOverlap="1" wp14:anchorId="7584C397" wp14:editId="01506208">
                  <wp:simplePos x="0" y="0"/>
                  <wp:positionH relativeFrom="page">
                    <wp:posOffset>8255</wp:posOffset>
                  </wp:positionH>
                  <wp:positionV relativeFrom="page">
                    <wp:posOffset>-13970</wp:posOffset>
                  </wp:positionV>
                  <wp:extent cx="613410" cy="673100"/>
                  <wp:effectExtent l="0" t="0" r="0" b="0"/>
                  <wp:wrapNone/>
                  <wp:docPr id="1343831415" name="Picture 134383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05503" w14:textId="77777777" w:rsidR="00A51017" w:rsidRPr="00A51017" w:rsidRDefault="00A51017" w:rsidP="00A51017">
            <w:pPr>
              <w:tabs>
                <w:tab w:val="left" w:pos="6946"/>
              </w:tabs>
              <w:suppressAutoHyphens/>
              <w:spacing w:after="120" w:line="252" w:lineRule="auto"/>
              <w:ind w:left="1134"/>
              <w:jc w:val="left"/>
              <w:rPr>
                <w:rFonts w:cs="Tahoma"/>
                <w:b/>
                <w:color w:val="365F91" w:themeColor="accent1" w:themeShade="BF"/>
                <w:spacing w:val="-2"/>
                <w:szCs w:val="22"/>
                <w:lang w:val="fr-FR"/>
              </w:rPr>
            </w:pPr>
            <w:r w:rsidRPr="00A51017">
              <w:rPr>
                <w:rFonts w:cs="Tahoma"/>
                <w:b/>
                <w:color w:val="365F91" w:themeColor="accent1" w:themeShade="BF"/>
                <w:spacing w:val="-2"/>
                <w:szCs w:val="22"/>
                <w:lang w:val="fr-FR"/>
              </w:rPr>
              <w:t>CONSEIL RÉGIONAL VI</w:t>
            </w:r>
            <w:r w:rsidRPr="00A51017">
              <w:rPr>
                <w:rFonts w:cs="Tahoma"/>
                <w:b/>
                <w:color w:val="365F91" w:themeColor="accent1" w:themeShade="BF"/>
                <w:spacing w:val="-2"/>
                <w:szCs w:val="22"/>
                <w:lang w:val="fr-FR"/>
              </w:rPr>
              <w:br/>
              <w:t>(EUROPE)</w:t>
            </w:r>
          </w:p>
          <w:p w14:paraId="412A1C8C" w14:textId="77777777" w:rsidR="00A51017" w:rsidRPr="00A51017" w:rsidRDefault="00A51017" w:rsidP="00A51017">
            <w:pPr>
              <w:tabs>
                <w:tab w:val="left" w:pos="6946"/>
              </w:tabs>
              <w:suppressAutoHyphens/>
              <w:spacing w:after="120" w:line="252" w:lineRule="auto"/>
              <w:ind w:left="1134"/>
              <w:jc w:val="left"/>
              <w:rPr>
                <w:rFonts w:cs="Tahoma"/>
                <w:b/>
                <w:bCs/>
                <w:color w:val="365F91" w:themeColor="accent1" w:themeShade="BF"/>
                <w:szCs w:val="22"/>
                <w:lang w:val="fr-FR"/>
              </w:rPr>
            </w:pPr>
            <w:r w:rsidRPr="00A51017">
              <w:rPr>
                <w:rFonts w:cstheme="minorBidi"/>
                <w:b/>
                <w:snapToGrid w:val="0"/>
                <w:color w:val="365F91" w:themeColor="accent1" w:themeShade="BF"/>
                <w:szCs w:val="22"/>
                <w:lang w:val="fr-FR"/>
              </w:rPr>
              <w:t>Dix-neuvième session (phase I)</w:t>
            </w:r>
            <w:r w:rsidRPr="00A51017">
              <w:rPr>
                <w:rFonts w:cstheme="minorBidi"/>
                <w:b/>
                <w:snapToGrid w:val="0"/>
                <w:color w:val="365F91" w:themeColor="accent1" w:themeShade="BF"/>
                <w:szCs w:val="22"/>
                <w:lang w:val="fr-FR"/>
              </w:rPr>
              <w:br/>
            </w:r>
            <w:r w:rsidRPr="00A51017">
              <w:rPr>
                <w:snapToGrid w:val="0"/>
                <w:color w:val="365F91" w:themeColor="accent1" w:themeShade="BF"/>
                <w:szCs w:val="22"/>
                <w:lang w:val="fr-FR"/>
              </w:rPr>
              <w:t>15 et 16 octobre 2024, Visioconférence</w:t>
            </w:r>
          </w:p>
        </w:tc>
        <w:tc>
          <w:tcPr>
            <w:tcW w:w="2962" w:type="dxa"/>
          </w:tcPr>
          <w:p w14:paraId="0795F324" w14:textId="472DBD2E" w:rsidR="00A51017" w:rsidRPr="00A51017" w:rsidRDefault="00A51017" w:rsidP="00A51017">
            <w:pPr>
              <w:tabs>
                <w:tab w:val="clear" w:pos="1134"/>
              </w:tabs>
              <w:spacing w:after="60"/>
              <w:ind w:right="-108"/>
              <w:jc w:val="right"/>
              <w:rPr>
                <w:rFonts w:cs="Tahoma"/>
                <w:b/>
                <w:color w:val="365F91" w:themeColor="accent1" w:themeShade="BF"/>
                <w:szCs w:val="22"/>
              </w:rPr>
            </w:pPr>
            <w:r w:rsidRPr="00A51017">
              <w:rPr>
                <w:b/>
                <w:bCs/>
                <w:color w:val="365F91" w:themeColor="accent1" w:themeShade="BF"/>
                <w:lang w:val="fr-FR"/>
              </w:rPr>
              <w:t>RA VI-19(I)/INF. 2.1(1)</w:t>
            </w:r>
          </w:p>
        </w:tc>
      </w:tr>
      <w:tr w:rsidR="00A51017" w:rsidRPr="00A51017" w14:paraId="455DADC5" w14:textId="77777777" w:rsidTr="00126BF7">
        <w:trPr>
          <w:trHeight w:val="730"/>
        </w:trPr>
        <w:tc>
          <w:tcPr>
            <w:tcW w:w="500" w:type="dxa"/>
            <w:vMerge/>
            <w:tcBorders>
              <w:bottom w:val="nil"/>
            </w:tcBorders>
          </w:tcPr>
          <w:p w14:paraId="15E36236" w14:textId="77777777" w:rsidR="00A51017" w:rsidRPr="004B6A35" w:rsidRDefault="00A51017" w:rsidP="00A51017">
            <w:pPr>
              <w:tabs>
                <w:tab w:val="left" w:pos="6946"/>
              </w:tabs>
              <w:suppressAutoHyphens/>
              <w:spacing w:after="120" w:line="252" w:lineRule="auto"/>
              <w:ind w:left="1134"/>
              <w:jc w:val="left"/>
              <w:rPr>
                <w:color w:val="365F91" w:themeColor="accent1" w:themeShade="BF"/>
                <w:szCs w:val="22"/>
                <w:lang w:val="en-US" w:eastAsia="zh-CN"/>
              </w:rPr>
            </w:pPr>
          </w:p>
        </w:tc>
        <w:tc>
          <w:tcPr>
            <w:tcW w:w="6852" w:type="dxa"/>
            <w:vMerge/>
          </w:tcPr>
          <w:p w14:paraId="4F3B6265" w14:textId="77777777" w:rsidR="00A51017" w:rsidRPr="004B6A35" w:rsidRDefault="00A51017" w:rsidP="00A51017">
            <w:pPr>
              <w:tabs>
                <w:tab w:val="left" w:pos="6946"/>
              </w:tabs>
              <w:suppressAutoHyphens/>
              <w:spacing w:after="120" w:line="252" w:lineRule="auto"/>
              <w:ind w:left="1134"/>
              <w:jc w:val="left"/>
              <w:rPr>
                <w:color w:val="365F91" w:themeColor="accent1" w:themeShade="BF"/>
                <w:szCs w:val="22"/>
                <w:lang w:val="en-US" w:eastAsia="zh-CN"/>
              </w:rPr>
            </w:pPr>
          </w:p>
        </w:tc>
        <w:tc>
          <w:tcPr>
            <w:tcW w:w="2962" w:type="dxa"/>
            <w:shd w:val="clear" w:color="auto" w:fill="auto"/>
          </w:tcPr>
          <w:p w14:paraId="343AA00C" w14:textId="788C0B95" w:rsidR="00A51017" w:rsidRPr="00732145" w:rsidRDefault="00A51017" w:rsidP="002024FC">
            <w:pPr>
              <w:tabs>
                <w:tab w:val="clear" w:pos="1134"/>
              </w:tabs>
              <w:spacing w:before="120" w:after="120"/>
              <w:ind w:right="-108"/>
              <w:jc w:val="right"/>
              <w:rPr>
                <w:rFonts w:cs="Tahoma"/>
                <w:color w:val="365F91" w:themeColor="accent1" w:themeShade="BF"/>
                <w:szCs w:val="22"/>
                <w:lang w:val="fr-FR"/>
              </w:rPr>
            </w:pPr>
            <w:r w:rsidRPr="00732145">
              <w:rPr>
                <w:rFonts w:cs="Tahoma"/>
                <w:color w:val="365F91" w:themeColor="accent1" w:themeShade="BF"/>
                <w:szCs w:val="22"/>
                <w:lang w:val="fr-FR"/>
              </w:rPr>
              <w:t>Présenté par:</w:t>
            </w:r>
            <w:r w:rsidRPr="00732145">
              <w:rPr>
                <w:rFonts w:cs="Tahoma"/>
                <w:color w:val="365F91" w:themeColor="accent1" w:themeShade="BF"/>
                <w:szCs w:val="22"/>
                <w:lang w:val="fr-FR"/>
              </w:rPr>
              <w:br/>
            </w:r>
            <w:r w:rsidRPr="00A51017">
              <w:rPr>
                <w:rFonts w:cs="Tahoma"/>
                <w:color w:val="365F91" w:themeColor="accent1" w:themeShade="BF"/>
                <w:szCs w:val="22"/>
                <w:lang w:val="fr-FR"/>
              </w:rPr>
              <w:t>Le président de l'association régionale VI</w:t>
            </w:r>
          </w:p>
          <w:p w14:paraId="481AC0A7" w14:textId="335C4A83" w:rsidR="00A51017" w:rsidRPr="00F47176" w:rsidRDefault="00A51017" w:rsidP="002D5669">
            <w:pPr>
              <w:tabs>
                <w:tab w:val="clear" w:pos="1134"/>
              </w:tabs>
              <w:spacing w:before="120" w:after="60"/>
              <w:ind w:right="-108"/>
              <w:jc w:val="right"/>
              <w:rPr>
                <w:rFonts w:cs="Tahoma"/>
                <w:b/>
                <w:bCs/>
                <w:color w:val="365F91" w:themeColor="accent1" w:themeShade="BF"/>
                <w:szCs w:val="22"/>
                <w:lang w:val="fr-FR"/>
              </w:rPr>
            </w:pPr>
            <w:r w:rsidRPr="00E552C8">
              <w:rPr>
                <w:color w:val="365F91"/>
                <w:lang w:val="fr-FR"/>
              </w:rPr>
              <w:t>4.IX</w:t>
            </w:r>
            <w:r w:rsidRPr="00E552C8">
              <w:rPr>
                <w:rFonts w:cs="Tahoma"/>
                <w:color w:val="365F91"/>
                <w:szCs w:val="22"/>
                <w:lang w:val="fr-FR"/>
              </w:rPr>
              <w:t>.</w:t>
            </w:r>
            <w:r w:rsidRPr="00732145">
              <w:rPr>
                <w:rFonts w:cs="Tahoma"/>
                <w:color w:val="365F91" w:themeColor="accent1" w:themeShade="BF"/>
                <w:szCs w:val="22"/>
                <w:lang w:val="fr-FR"/>
              </w:rPr>
              <w:t>202</w:t>
            </w:r>
            <w:r>
              <w:rPr>
                <w:rFonts w:cs="Tahoma"/>
                <w:color w:val="365F91" w:themeColor="accent1" w:themeShade="BF"/>
                <w:szCs w:val="22"/>
                <w:lang w:val="fr-FR"/>
              </w:rPr>
              <w:t>4</w:t>
            </w:r>
          </w:p>
        </w:tc>
      </w:tr>
    </w:tbl>
    <w:p w14:paraId="35E03602" w14:textId="7EA74651" w:rsidR="00A51017" w:rsidRDefault="00A51017" w:rsidP="00A51017">
      <w:pPr>
        <w:spacing w:before="160" w:after="160"/>
        <w:jc w:val="left"/>
        <w:rPr>
          <w:rFonts w:cs="Calibri"/>
          <w:i/>
          <w:iCs/>
          <w:color w:val="FF0000"/>
          <w:lang w:val="fr-FR"/>
        </w:rPr>
      </w:pPr>
      <w:r>
        <w:rPr>
          <w:rFonts w:eastAsia="Calibri" w:cs="Calibri"/>
          <w:i/>
          <w:iCs/>
          <w:color w:val="FF0000"/>
          <w:lang w:val="fr-FR"/>
        </w:rPr>
        <w:t>[Ce document, produit à titre indicatif, est le résultat d’une traduction automatique sans post</w:t>
      </w:r>
      <w:r>
        <w:rPr>
          <w:rFonts w:eastAsia="Calibri" w:cs="Calibri"/>
          <w:i/>
          <w:iCs/>
          <w:color w:val="FF0000"/>
          <w:lang w:val="fr-FR"/>
        </w:rPr>
        <w:noBreakHyphen/>
        <w:t>édition. Aucune garantie, expresse ou implicite, n’est donnée quant à son exactitude, sa fiabilité ou sa précision. Les divergences ou différences ayant pu résulter de la traduction vers le français du contenu du document original ne créent aucune obligation et n’ont aucun effet juridique en termes de conformité, d’exécution ou à toute autre fin. Il se peut que certains contenus (tels que les images) n’aient pu être traduits en raison des limites techniques du système. En cas de doute sur l’exactitude des informations contenues dans la traduction,</w:t>
      </w:r>
      <w:r w:rsidR="00126BF7">
        <w:rPr>
          <w:rFonts w:eastAsia="Calibri" w:cs="Calibri"/>
          <w:i/>
          <w:iCs/>
          <w:color w:val="FF0000"/>
          <w:lang w:val="fr-FR"/>
        </w:rPr>
        <w:t xml:space="preserve"> </w:t>
      </w:r>
      <w:proofErr w:type="spellStart"/>
      <w:r>
        <w:rPr>
          <w:rFonts w:eastAsia="Calibri" w:cs="Calibri"/>
          <w:i/>
          <w:iCs/>
          <w:color w:val="FF0000"/>
          <w:lang w:val="fr-FR"/>
        </w:rPr>
        <w:t>veuillez vous</w:t>
      </w:r>
      <w:proofErr w:type="spellEnd"/>
      <w:r>
        <w:rPr>
          <w:rFonts w:eastAsia="Calibri" w:cs="Calibri"/>
          <w:i/>
          <w:iCs/>
          <w:color w:val="FF0000"/>
          <w:lang w:val="fr-FR"/>
        </w:rPr>
        <w:t xml:space="preserve"> reporter à l’original anglais qui constitue la version officielle du document.]</w:t>
      </w:r>
    </w:p>
    <w:p w14:paraId="70668375" w14:textId="351F2F1F" w:rsidR="00FB6238" w:rsidRPr="00A51017" w:rsidRDefault="00FB6238" w:rsidP="00B25A8D">
      <w:pPr>
        <w:pStyle w:val="Heading2"/>
        <w:rPr>
          <w:sz w:val="20"/>
          <w:szCs w:val="20"/>
          <w:lang w:val="fr-CH"/>
        </w:rPr>
      </w:pPr>
      <w:r w:rsidRPr="00A51017">
        <w:rPr>
          <w:sz w:val="20"/>
          <w:szCs w:val="20"/>
          <w:lang w:val="fr-FR"/>
        </w:rPr>
        <w:t>RAPPORT D'ACTIVITE DU PRESIDENT DU RA VI (Y COMPRIS LES ORGANES DU RA VI ET LE BUREAU REGIONAL POUR L'EUROPE)</w:t>
      </w:r>
    </w:p>
    <w:p w14:paraId="280DE6D0" w14:textId="1A196FF7" w:rsidR="00FB6238" w:rsidRPr="00A51017" w:rsidRDefault="00FB6238" w:rsidP="00783218">
      <w:pPr>
        <w:pStyle w:val="Heading3"/>
        <w:rPr>
          <w:lang w:val="fr-CH"/>
        </w:rPr>
      </w:pPr>
      <w:r w:rsidRPr="00A51017">
        <w:rPr>
          <w:lang w:val="fr-FR"/>
        </w:rPr>
        <w:t>Le rapport couvre la période d'intersession allant de novembre 2020 à octobre 2024.</w:t>
      </w:r>
    </w:p>
    <w:p w14:paraId="385C8025" w14:textId="4CCE6FFD"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Entre novembre 2020 et octobre 2024, l'Association régionale VI (AR VI) (Europe) de l'Organisation météorologique mondiale (OMM) a été confrontée à une série de défis importants et de changements transformateurs. Il s'agit notamment des transitions de leadership, de la pandémie de COVID-19, des conflits régionaux, des initiatives de réforme et de l'intégration de nouveaux outils numériques.</w:t>
      </w:r>
    </w:p>
    <w:p w14:paraId="4FACE953" w14:textId="39E2DAFC" w:rsidR="00FB6238" w:rsidRPr="00A51017" w:rsidRDefault="00FB6238" w:rsidP="00B75E19">
      <w:pPr>
        <w:pStyle w:val="Heading3"/>
        <w:spacing w:before="240" w:after="120"/>
        <w:rPr>
          <w:lang w:val="fr-CH"/>
        </w:rPr>
      </w:pPr>
      <w:r w:rsidRPr="00A51017">
        <w:rPr>
          <w:lang w:val="fr-FR"/>
        </w:rPr>
        <w:t>Sessions de l'AR VI et transitions de leadership:</w:t>
      </w:r>
    </w:p>
    <w:p w14:paraId="378005D8" w14:textId="49838948" w:rsidR="00FB6238" w:rsidRPr="00A51017" w:rsidRDefault="00B67202"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La dix-huitième session de l'AR VI (AR VI-18) (première phase) s'est tenue en novembre 2020, pratiquement en raison de la pandémie de COVID-19, sous la direction du Dr Michael Staudinger. La pandémie, qui a débuté fin 2019 et a été déclarée pandémie mondiale en mars 2020, a fortement perturbé les opérations traditionnelles. La nécessité de passer à un format virtuel pour la session a constitué un défi important, car il a fallu s'adapter à de nouvelles méthodes de communication et de collaboration tout en veillant à ce que les activités et les décisions critiques ne soient pas retardées.</w:t>
      </w:r>
    </w:p>
    <w:p w14:paraId="542AE5C2" w14:textId="19102924" w:rsidR="006C346E" w:rsidRPr="00A51017" w:rsidRDefault="00FB6238" w:rsidP="00B75E19">
      <w:pPr>
        <w:pStyle w:val="paragraph"/>
        <w:spacing w:before="240" w:beforeAutospacing="0" w:after="120" w:afterAutospacing="0"/>
        <w:textAlignment w:val="baseline"/>
        <w:rPr>
          <w:rStyle w:val="normaltextrun"/>
          <w:rFonts w:ascii="Verdana" w:hAnsi="Verdana" w:cs="Segoe UI"/>
          <w:sz w:val="20"/>
          <w:szCs w:val="20"/>
        </w:rPr>
      </w:pPr>
      <w:r w:rsidRPr="00A51017">
        <w:rPr>
          <w:rFonts w:ascii="Verdana" w:hAnsi="Verdana"/>
          <w:sz w:val="20"/>
          <w:szCs w:val="20"/>
          <w:lang w:val="fr-FR"/>
        </w:rPr>
        <w:t>La deuxième phase, qui s'est tenue en novembre 2021, a vu une transition de la direction, avec le Dr Kornélia Radics (Hongrie) qui a pris la présidence de RA VI et le Dr Roar Skålin (Norvège) qui a pris la vice-présidence de RA VI. Cette transition s'est déroulée dans un contexte de pandémie, ce qui a ajouté un niveau de complexité supplémentaire au travail de l'Association. La nouvelle direction a dû surmonter les difficultés liées à la poursuite des activités dans un environnement essentiellement virtuel, tout en veillant à ce que le transfert des responsabilités se fasse sans heurts.</w:t>
      </w:r>
    </w:p>
    <w:p w14:paraId="041EE0F6" w14:textId="42BC282A"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Lors d'une session extraordinaire de l'AR VI, qui se tiendra en mai 2023, parallèlement au dix-neuvième Congrès météorologique mondial (Cg-19), l'AR VI a élu le Dr Elena Mateescu (Roumanie) au poste de président de l'AR VI et M. Mark Rieder (République tchèque) au poste de vice-président de l'AR VI. Leur mandat court jusqu'à la conclusion de la 19e session de l'AR VI, conformément à l'article 10 du règlement général de l'OMM.</w:t>
      </w:r>
    </w:p>
    <w:p w14:paraId="2FA8E468" w14:textId="1FB138AD"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La session extraordinaire de l'AR VI, qui s'est tenue en même temps que le Cg-19, a permis une participation importante en personne tout en accommodant les participants à distance, démontrant ainsi la résilience et la capacité d'adaptation de l'AR VI.</w:t>
      </w:r>
    </w:p>
    <w:p w14:paraId="7D4F359B" w14:textId="30381B65"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Cette période a été marquée à la fois par des défis importants et des avancées stratégiques.</w:t>
      </w:r>
    </w:p>
    <w:p w14:paraId="62C8749E" w14:textId="10554340" w:rsidR="00FB6238" w:rsidRPr="00A51017" w:rsidRDefault="00FB6238" w:rsidP="00B75E19">
      <w:pPr>
        <w:pStyle w:val="Heading3"/>
        <w:spacing w:before="240" w:after="120"/>
      </w:pPr>
      <w:r w:rsidRPr="00A51017">
        <w:rPr>
          <w:lang w:val="fr-FR"/>
        </w:rPr>
        <w:lastRenderedPageBreak/>
        <w:t>Défis et impacts:</w:t>
      </w:r>
    </w:p>
    <w:p w14:paraId="7CDF0FA8" w14:textId="3DD66805" w:rsidR="00FB6238" w:rsidRPr="00A51017" w:rsidRDefault="00FB6238" w:rsidP="0066297C">
      <w:pPr>
        <w:pStyle w:val="paragraph"/>
        <w:numPr>
          <w:ilvl w:val="0"/>
          <w:numId w:val="2"/>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Pandémie et conflits régionaux : la pandémie COVID-19 et les conflits régionaux en cours ont créé un environnement opérationnel complexe, affectant l'engagement des membres et la stabilité régionale.</w:t>
      </w:r>
    </w:p>
    <w:p w14:paraId="14689466" w14:textId="5B8AF9F0" w:rsidR="00FB6238" w:rsidRPr="00A51017" w:rsidRDefault="00FB6238" w:rsidP="0066297C">
      <w:pPr>
        <w:pStyle w:val="paragraph"/>
        <w:numPr>
          <w:ilvl w:val="0"/>
          <w:numId w:val="2"/>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Transitions de leadership et nouveau format de session : la période a été marquée par d'importantes transitions de leadership et un nouveau format de session en deux phases, augmentant la fréquence des réunions et nécessitant une mobilisation et une organisation stratégique accrues.</w:t>
      </w:r>
    </w:p>
    <w:p w14:paraId="43982D21" w14:textId="3CD53CD1" w:rsidR="00FB6238" w:rsidRPr="00A51017" w:rsidRDefault="00FB6238" w:rsidP="0066297C">
      <w:pPr>
        <w:pStyle w:val="paragraph"/>
        <w:numPr>
          <w:ilvl w:val="0"/>
          <w:numId w:val="2"/>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Réforme régionale et transformation numérique : la réforme régionale et la transformation numérique ont présenté à la fois des opportunités et des défis.</w:t>
      </w:r>
    </w:p>
    <w:p w14:paraId="400826A0" w14:textId="3C8E88CB" w:rsidR="00FB6238" w:rsidRPr="00A51017" w:rsidRDefault="00FB6238" w:rsidP="00B75E19">
      <w:pPr>
        <w:pStyle w:val="paragraph"/>
        <w:spacing w:before="240" w:beforeAutospacing="0" w:after="120" w:afterAutospacing="0"/>
        <w:ind w:left="567"/>
        <w:textAlignment w:val="baseline"/>
        <w:rPr>
          <w:rFonts w:ascii="Verdana" w:hAnsi="Verdana" w:cs="Segoe UI"/>
          <w:sz w:val="20"/>
          <w:szCs w:val="20"/>
        </w:rPr>
      </w:pPr>
      <w:r w:rsidRPr="00A51017">
        <w:rPr>
          <w:rFonts w:ascii="Verdana" w:hAnsi="Verdana"/>
          <w:sz w:val="20"/>
          <w:szCs w:val="20"/>
          <w:lang w:val="fr-FR"/>
        </w:rPr>
        <w:t>Des initiatives telles que l'examen et l'optimisation des mécanismes régionaux, l'intégration d'outils numériques (par exemple la plateforme communautaire, les bases de données des membres et des experts) et l'extension des partenariats ont visé à améliorer l'efficacité.</w:t>
      </w:r>
    </w:p>
    <w:p w14:paraId="13BEA796" w14:textId="5DDD53CA" w:rsidR="00FB6238" w:rsidRPr="00A51017" w:rsidRDefault="00FB6238" w:rsidP="00B75E19">
      <w:pPr>
        <w:pStyle w:val="paragraph"/>
        <w:spacing w:before="240" w:beforeAutospacing="0" w:after="120" w:afterAutospacing="0"/>
        <w:ind w:left="567"/>
        <w:textAlignment w:val="baseline"/>
        <w:rPr>
          <w:rFonts w:ascii="Verdana" w:hAnsi="Verdana" w:cs="Segoe UI"/>
          <w:sz w:val="20"/>
          <w:szCs w:val="20"/>
        </w:rPr>
      </w:pPr>
      <w:r w:rsidRPr="00A51017">
        <w:rPr>
          <w:rFonts w:ascii="Verdana" w:hAnsi="Verdana"/>
          <w:sz w:val="20"/>
          <w:szCs w:val="20"/>
          <w:lang w:val="fr-FR"/>
        </w:rPr>
        <w:t>L'accent mis sur l'approche du système terrestre et la mise en œuvre d'une politique unifiée en matière de données ont joué un rôle essentiel dans l'orientation de ces réformes.</w:t>
      </w:r>
    </w:p>
    <w:p w14:paraId="142FE8B5" w14:textId="03EFA045" w:rsidR="00FB6238" w:rsidRPr="00A51017" w:rsidRDefault="00FB6238" w:rsidP="00B75E19">
      <w:pPr>
        <w:pStyle w:val="paragraph"/>
        <w:spacing w:before="240" w:beforeAutospacing="0" w:after="120" w:afterAutospacing="0"/>
        <w:ind w:left="567"/>
        <w:textAlignment w:val="baseline"/>
        <w:rPr>
          <w:rFonts w:ascii="Verdana" w:hAnsi="Verdana" w:cs="Segoe UI"/>
          <w:sz w:val="20"/>
          <w:szCs w:val="20"/>
        </w:rPr>
      </w:pPr>
      <w:r w:rsidRPr="00A51017">
        <w:rPr>
          <w:rFonts w:ascii="Verdana" w:hAnsi="Verdana"/>
          <w:sz w:val="20"/>
          <w:szCs w:val="20"/>
          <w:lang w:val="fr-FR"/>
        </w:rPr>
        <w:t>L'élaboration d'un cadre pour l'engagement public-privé a été cruciale pour tirer parti de diverses compétences et ressources. Les efforts visant à améliorer la collaboration au sein du système des Nations unies, y compris l'engagement avec les coordinateurs résidents des Nations unies et les bureaux de pays des Nations unies, ont joué un rôle essentiel dans le renforcement de la coopération régionale.</w:t>
      </w:r>
    </w:p>
    <w:p w14:paraId="0CFF189C" w14:textId="08A1830E" w:rsidR="00FB6238" w:rsidRPr="00A51017" w:rsidRDefault="00FB6238" w:rsidP="0066297C">
      <w:pPr>
        <w:pStyle w:val="paragraph"/>
        <w:numPr>
          <w:ilvl w:val="0"/>
          <w:numId w:val="2"/>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Exigences à l'égard des membres et du mécanisme régional : l'augmentation de la fréquence des sessions et le format hybride des réunions ont imposé des exigences considérables aux membres (qui ont dû s'adapter à de nouveaux formats et à des exigences accrues en matière d'engagement) et au bureau régional pour l'Europe. En</w:t>
      </w:r>
      <w:r w:rsidR="00DD11AA">
        <w:rPr>
          <w:rFonts w:ascii="Verdana" w:hAnsi="Verdana"/>
          <w:sz w:val="20"/>
          <w:szCs w:val="20"/>
          <w:lang w:val="fr-FR"/>
        </w:rPr>
        <w:t> </w:t>
      </w:r>
      <w:r w:rsidRPr="00A51017">
        <w:rPr>
          <w:rFonts w:ascii="Verdana" w:hAnsi="Verdana"/>
          <w:sz w:val="20"/>
          <w:szCs w:val="20"/>
          <w:lang w:val="fr-FR"/>
        </w:rPr>
        <w:t>tant que plus petit bureau régional au sein du Secrétariat de l'OMM, le Bureau a dû faire face à d'importantes contraintes en matière de ressources pour gérer un calendrier de réunions plus important et plus complexe et pour répondre aux besoins de la deuxième plus grande AR de l'OMM.</w:t>
      </w:r>
    </w:p>
    <w:p w14:paraId="315FDCA2" w14:textId="021937D1" w:rsidR="00FB6238" w:rsidRPr="00A51017" w:rsidRDefault="00FB6238" w:rsidP="00B75E19">
      <w:pPr>
        <w:pStyle w:val="Heading3"/>
        <w:spacing w:before="240" w:after="120"/>
        <w:rPr>
          <w:rFonts w:cs="Segoe UI"/>
          <w:lang w:val="fr-CH"/>
        </w:rPr>
      </w:pPr>
      <w:r w:rsidRPr="00A51017">
        <w:rPr>
          <w:lang w:val="fr-FR"/>
        </w:rPr>
        <w:t>Avancées stratégiques</w:t>
      </w:r>
    </w:p>
    <w:p w14:paraId="45A00306" w14:textId="56F43525"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Les réformes régionales en cours, associées à une collaboration renforcée, à des partenariats public-privé et à l'intégration d'outils numériques, positionnent continuellement l'AR VI - soutenue par le groupe de gestion et l'expertise du mécanisme de travail de l'AR VI - pour relever efficacement les défis futurs et faire avancer sa mission à travers l'Europe.</w:t>
      </w:r>
    </w:p>
    <w:p w14:paraId="26A0E4A8" w14:textId="6280D3D8" w:rsidR="00FB6238" w:rsidRPr="00A51017" w:rsidRDefault="00FB6238" w:rsidP="00B75E19">
      <w:pPr>
        <w:pStyle w:val="Heading3"/>
        <w:spacing w:before="240" w:after="120"/>
        <w:rPr>
          <w:rStyle w:val="normaltextrun"/>
          <w:lang w:val="fr-CH"/>
        </w:rPr>
      </w:pPr>
      <w:r w:rsidRPr="00A51017">
        <w:rPr>
          <w:lang w:val="fr-FR"/>
        </w:rPr>
        <w:t>Membres du groupe de gestion RA VI</w:t>
      </w:r>
    </w:p>
    <w:p w14:paraId="54A658E6" w14:textId="303DFA60"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 groupe de gestion de l'AR VI est composé de personnalités clés, dont le président de l'AR</w:t>
      </w:r>
      <w:r w:rsidR="00E62005">
        <w:rPr>
          <w:rFonts w:ascii="Verdana" w:hAnsi="Verdana"/>
          <w:sz w:val="20"/>
          <w:szCs w:val="20"/>
          <w:lang w:val="fr-FR"/>
        </w:rPr>
        <w:t> </w:t>
      </w:r>
      <w:r w:rsidRPr="00A51017">
        <w:rPr>
          <w:rFonts w:ascii="Verdana" w:hAnsi="Verdana"/>
          <w:sz w:val="20"/>
          <w:szCs w:val="20"/>
          <w:lang w:val="fr-FR"/>
        </w:rPr>
        <w:t>VI, le vice-président et le conseiller en hydrologie.</w:t>
      </w:r>
    </w:p>
    <w:p w14:paraId="0CAD5B9B" w14:textId="49775165"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Les membres principaux sont représentés par quelques représentants permanents auprès de l'OMM; Les membres associés sont les présidents de la Conférence informelle des directeurs de l'Europe du Sud-Est (ICSEED), de la Conférence informelle des directeurs de l'Europe centrale (ICCED), de la Conférence informelle des directeurs de l'Europe occidentale et du Conseil interétatique d'hydrométéorologie de la Communauté des États indépendants (CIH CEI), ainsi que le deuxième vice-président de l'OMM. Ce groupe diversifié assure une supervision et une orientation complètes des initiatives et des opérations de l'AR VI.</w:t>
      </w:r>
    </w:p>
    <w:p w14:paraId="719FF9EF" w14:textId="7927872C" w:rsidR="00FB6238" w:rsidRPr="00A51017" w:rsidRDefault="00FB6238" w:rsidP="00B75E19">
      <w:pPr>
        <w:pStyle w:val="Heading3"/>
        <w:spacing w:before="240" w:after="120"/>
        <w:rPr>
          <w:rStyle w:val="normaltextrun"/>
          <w:lang w:val="fr-CH"/>
        </w:rPr>
      </w:pPr>
      <w:r w:rsidRPr="00A51017">
        <w:rPr>
          <w:lang w:val="fr-FR"/>
        </w:rPr>
        <w:lastRenderedPageBreak/>
        <w:t>Priorités régionales de l'AR VI à l'horizon 2027</w:t>
      </w:r>
    </w:p>
    <w:p w14:paraId="2144419C" w14:textId="6150E754"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Au cours de la période 2020-2024, une étape stratégique cruciale pour l'AR VI a consisté à aligner ses priorités sur les objectifs globaux de l'OMM et à optimiser ses mécanismes de travail afin de renforcer l'inclusivité et l'impact. Les objectifs régionaux ont été intégrés dans le plan global de l'OMM, assurant la cohérence avec les Objectifs de développement durable (ODD), et renforçant la cohérence entre les différents niveaux.</w:t>
      </w:r>
    </w:p>
    <w:p w14:paraId="5295B3D8" w14:textId="1AE43735"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En préparation du Plan stratégique de l'OMM pour 2024-2027, approuvé par le Cg-19, le groupe de gestion a prolongé les priorités régionales de 2023 à 2027. Cette extension introduit deux priorités supplémentaires, ce qui porte le nombre total de domaines clés à traiter à cinq:</w:t>
      </w:r>
    </w:p>
    <w:p w14:paraId="54214BD2" w14:textId="4026B250" w:rsidR="00FB6238" w:rsidRPr="00A51017" w:rsidRDefault="00FB6238" w:rsidP="0066297C">
      <w:pPr>
        <w:pStyle w:val="paragraph"/>
        <w:numPr>
          <w:ilvl w:val="0"/>
          <w:numId w:val="1"/>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Politique de données unifiées : améliorer la disponibilité des données et l'échange transfrontalier afin de soutenir la coopération régionale et la prise de décision éclairée.</w:t>
      </w:r>
    </w:p>
    <w:p w14:paraId="1C6695C7" w14:textId="27937A89" w:rsidR="00FB6238" w:rsidRPr="00A51017" w:rsidRDefault="00FB6238" w:rsidP="0066297C">
      <w:pPr>
        <w:pStyle w:val="paragraph"/>
        <w:numPr>
          <w:ilvl w:val="0"/>
          <w:numId w:val="1"/>
        </w:numPr>
        <w:spacing w:before="240" w:beforeAutospacing="0" w:after="120" w:afterAutospacing="0"/>
        <w:ind w:left="567" w:hanging="567"/>
        <w:textAlignment w:val="baseline"/>
        <w:rPr>
          <w:rStyle w:val="normaltextrun"/>
          <w:rFonts w:ascii="Verdana" w:hAnsi="Verdana"/>
          <w:sz w:val="20"/>
          <w:szCs w:val="20"/>
        </w:rPr>
      </w:pPr>
      <w:r w:rsidRPr="00A51017">
        <w:rPr>
          <w:rFonts w:ascii="Verdana" w:hAnsi="Verdana"/>
          <w:sz w:val="20"/>
          <w:szCs w:val="20"/>
          <w:lang w:val="fr-FR"/>
        </w:rPr>
        <w:t>Amélioration des services : faire progresser les services météorologiques, hydriques, climatiques et environnementaux afin qu'ils soient fiables, accessibles et adaptés aux besoins régionaux.</w:t>
      </w:r>
    </w:p>
    <w:p w14:paraId="268CA8A5" w14:textId="5FD09A95" w:rsidR="00FB6238" w:rsidRPr="00A51017" w:rsidRDefault="00FB6238" w:rsidP="0066297C">
      <w:pPr>
        <w:pStyle w:val="paragraph"/>
        <w:numPr>
          <w:ilvl w:val="0"/>
          <w:numId w:val="1"/>
        </w:numPr>
        <w:spacing w:before="240" w:beforeAutospacing="0" w:after="120" w:afterAutospacing="0"/>
        <w:ind w:left="567" w:hanging="567"/>
        <w:textAlignment w:val="baseline"/>
        <w:rPr>
          <w:rStyle w:val="normaltextrun"/>
          <w:rFonts w:ascii="Verdana" w:hAnsi="Verdana"/>
          <w:sz w:val="20"/>
          <w:szCs w:val="20"/>
        </w:rPr>
      </w:pPr>
      <w:r w:rsidRPr="00A51017">
        <w:rPr>
          <w:rFonts w:ascii="Verdana" w:hAnsi="Verdana"/>
          <w:sz w:val="20"/>
          <w:szCs w:val="20"/>
          <w:lang w:val="fr-FR"/>
        </w:rPr>
        <w:t>Recherche et développement : favoriser l'innovation pour soutenir de meilleures stratégies d'adaptation et d'atténuation face au changement climatique.</w:t>
      </w:r>
    </w:p>
    <w:p w14:paraId="7D2E8200" w14:textId="60C72489" w:rsidR="00FB6238" w:rsidRPr="00A51017" w:rsidRDefault="00FB6238" w:rsidP="0066297C">
      <w:pPr>
        <w:pStyle w:val="paragraph"/>
        <w:numPr>
          <w:ilvl w:val="0"/>
          <w:numId w:val="1"/>
        </w:numPr>
        <w:spacing w:before="240" w:beforeAutospacing="0" w:after="120" w:afterAutospacing="0"/>
        <w:ind w:left="567" w:hanging="567"/>
        <w:textAlignment w:val="baseline"/>
        <w:rPr>
          <w:rStyle w:val="normaltextrun"/>
          <w:rFonts w:ascii="Verdana" w:hAnsi="Verdana"/>
          <w:sz w:val="20"/>
          <w:szCs w:val="20"/>
        </w:rPr>
      </w:pPr>
      <w:r w:rsidRPr="00A51017">
        <w:rPr>
          <w:rFonts w:ascii="Verdana" w:hAnsi="Verdana"/>
          <w:sz w:val="20"/>
          <w:szCs w:val="20"/>
          <w:lang w:val="fr-FR"/>
        </w:rPr>
        <w:t>Développement des capacités et technologie : tirer parti de l'intelligence artificielle et des nouvelles technologies pour faire progresser les services météorologiques, hydriques et climatiques, en améliorant leur précision et leur efficacité.</w:t>
      </w:r>
    </w:p>
    <w:p w14:paraId="7C3E45D0" w14:textId="52D196E0" w:rsidR="00FB6238" w:rsidRPr="00A51017" w:rsidRDefault="00FB6238" w:rsidP="0066297C">
      <w:pPr>
        <w:pStyle w:val="paragraph"/>
        <w:numPr>
          <w:ilvl w:val="0"/>
          <w:numId w:val="1"/>
        </w:numPr>
        <w:spacing w:before="240" w:beforeAutospacing="0" w:after="120" w:afterAutospacing="0"/>
        <w:ind w:left="567" w:hanging="567"/>
        <w:textAlignment w:val="baseline"/>
        <w:rPr>
          <w:rStyle w:val="normaltextrun"/>
          <w:rFonts w:ascii="Verdana" w:hAnsi="Verdana"/>
          <w:sz w:val="20"/>
          <w:szCs w:val="20"/>
        </w:rPr>
      </w:pPr>
      <w:r w:rsidRPr="00A51017">
        <w:rPr>
          <w:rFonts w:ascii="Verdana" w:hAnsi="Verdana"/>
          <w:sz w:val="20"/>
          <w:szCs w:val="20"/>
          <w:lang w:val="fr-FR"/>
        </w:rPr>
        <w:t>Mise en œuvre d'HydroSOS : amélioration de la gestion des ressources en eau et de la résilience grâce au système d'état et de perspectives hydrologiques (HydroSOS), en mettant l'accent sur la gestion durable de l'eau.</w:t>
      </w:r>
    </w:p>
    <w:p w14:paraId="7C093AAA" w14:textId="73CEA8F4"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Ces priorités reflètent l'engagement de l'AR VI dans des initiatives régionales et mondiales. Le groupe de gestion supervisera leur mise en œuvre, en assurant une coordination et une direction efficaces. Grâce à ces priorités élargies et au soutien solide des centres spécialisés, des groupes de travail, des équipes spéciales et des forums régionaux, l'AR VI est bien placée pour continuer à apporter des contributions significatives aux progrès mondiaux et pour démontrer son dévouement au bien-être des communautés et à la durabilité de l'environnement.</w:t>
      </w:r>
    </w:p>
    <w:p w14:paraId="091C8093" w14:textId="7DDEE297" w:rsidR="00FB6238" w:rsidRPr="00E62005" w:rsidRDefault="000929FA" w:rsidP="00B75E19">
      <w:pPr>
        <w:pStyle w:val="Heading3"/>
        <w:spacing w:before="240" w:after="120"/>
        <w:rPr>
          <w:rFonts w:cs="Segoe UI"/>
          <w:lang w:val="fr-CH"/>
        </w:rPr>
      </w:pPr>
      <w:r w:rsidRPr="00A51017">
        <w:rPr>
          <w:lang w:val="fr-FR"/>
        </w:rPr>
        <w:t>Mécanismes de travail régionaux</w:t>
      </w:r>
    </w:p>
    <w:p w14:paraId="257D41C6" w14:textId="12A0EC6F"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 groupe de gestion de l'AR VI, soutenu par le bureau régional pour l'Europe et en coordination avec les présidents des groupes de travail de l'AR VI, a récemment mis en œuvre des changements clés afin d'optimiser ses mécanismes de travail. Le groupe de gestion de l'AR VI a rationalisé ses opérations en supprimant certaines équipes et en intégrant leurs fonctions au sein du groupe de gestion et d'autres forums. Les domaines d'intervention ont été révisés, par exemple en transférant l'équipe du cadre du système mondial d'alerte multi-aléa (SMAM) à l'initiative "Des alertes précoces pour tous" (EW4All) et en restructurant les groupes de travail par la consolidation des tâches et la dissolution des équipes inactives. Dans le groupe de travail (GT) sur les services et les applications, les rapporteurs sectoriels ont été fusionnés en une équipe de travail sur les services multisectoriels, et une nouvelle équipe de coordination sur les prévisions a été créée, comprenant des équipes sous-régionales existantes ou des représentants des partenaires, afin de soutenir les activités de développement des capacités. Les considérations relatives à l'égalité des sexes et à la réduction des risques de catastrophe ont été intégrées dans des activités plus larges.</w:t>
      </w:r>
    </w:p>
    <w:p w14:paraId="51510F83" w14:textId="34C52078"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lastRenderedPageBreak/>
        <w:t>Ces ajustements stratégiques sont destinés à rationaliser les discussions, à favoriser l'inclusion, à hiérarchiser les actions ayant un impact et à tirer parti des possibilités de collaboration pour plus d'efficacité et d'efficience.</w:t>
      </w:r>
    </w:p>
    <w:p w14:paraId="2DCCF27A" w14:textId="3DE89568" w:rsidR="00FB6238" w:rsidRPr="00A51017" w:rsidRDefault="00FB6238" w:rsidP="00B75E19">
      <w:pPr>
        <w:pStyle w:val="Heading3"/>
        <w:spacing w:before="240" w:after="120"/>
        <w:rPr>
          <w:rStyle w:val="normaltextrun"/>
          <w:lang w:val="fr-CH"/>
        </w:rPr>
      </w:pPr>
      <w:r w:rsidRPr="00A51017">
        <w:rPr>
          <w:lang w:val="fr-FR"/>
        </w:rPr>
        <w:t>Photo : Mécanisme de fonctionnement du RA VI, 2024 (ci-dessous)</w:t>
      </w:r>
    </w:p>
    <w:p w14:paraId="3436BEB3" w14:textId="4CB0592C" w:rsidR="00FB6238" w:rsidRPr="00A51017" w:rsidRDefault="00FB6238" w:rsidP="00B75E19">
      <w:pPr>
        <w:pStyle w:val="paragraph"/>
        <w:spacing w:before="240" w:beforeAutospacing="0" w:after="120" w:afterAutospacing="0"/>
        <w:textAlignment w:val="baseline"/>
        <w:rPr>
          <w:rFonts w:ascii="Verdana" w:hAnsi="Verdana" w:cs="Segoe UI"/>
          <w:sz w:val="20"/>
          <w:szCs w:val="20"/>
          <w:lang w:val="en-GB"/>
        </w:rPr>
      </w:pPr>
      <w:r w:rsidRPr="00A51017">
        <w:rPr>
          <w:rStyle w:val="wacimagecontainer"/>
          <w:rFonts w:ascii="Verdana" w:hAnsi="Verdana" w:cs="Segoe UI"/>
          <w:noProof/>
          <w:sz w:val="20"/>
          <w:szCs w:val="20"/>
          <w:lang w:val="en-GB"/>
        </w:rPr>
        <w:drawing>
          <wp:inline distT="0" distB="0" distL="0" distR="0" wp14:anchorId="79AD752C" wp14:editId="0E751F09">
            <wp:extent cx="6120765" cy="3442970"/>
            <wp:effectExtent l="0" t="0" r="0" b="5080"/>
            <wp:docPr id="1919046906"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an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33EA66E" w14:textId="0D79F9C5" w:rsidR="00FB6238" w:rsidRPr="00A51017" w:rsidRDefault="00FB6238" w:rsidP="00B75E19">
      <w:pPr>
        <w:pStyle w:val="Heading3"/>
        <w:spacing w:before="240" w:after="120"/>
        <w:rPr>
          <w:rStyle w:val="normaltextrun"/>
          <w:lang w:val="fr-CH"/>
        </w:rPr>
      </w:pPr>
      <w:r w:rsidRPr="00A51017">
        <w:rPr>
          <w:lang w:val="fr-FR"/>
        </w:rPr>
        <w:t>Principales initiatives phares de la région</w:t>
      </w:r>
    </w:p>
    <w:p w14:paraId="058395CB" w14:textId="4FFC4A4F"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 Forum régional sur le développement durable pour la région de la Commission économique pour l'Europe (CEE-ONU), organisé chaque année au printemps par la CEE-ONU, constitue une plateforme régionale essentielle pour les débats politiques, l'échange de bonnes pratiques et l'apprentissage par les pairs sur la mise en œuvre des objectifs du Millénaire pour le développement. Ce forum offre aux pays l'occasion de partager leurs expériences, de discuter des défis et d'explorer des solutions innovantes pour faire avancer le Programme de développement durable à l'horizon 2030.</w:t>
      </w:r>
    </w:p>
    <w:p w14:paraId="24163955" w14:textId="795A573A"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Les tables rondes suivantes sur l'apprentissage par les pairs ont été organisées dans le cadre du forum:</w:t>
      </w:r>
    </w:p>
    <w:p w14:paraId="03A22848" w14:textId="13B82524"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 xml:space="preserve">2022 : Sessions sur l'amélioration de la connaissance des océans et le développement durable des mers régionales, en rapport avec l'ODD 14 </w:t>
      </w:r>
      <w:r w:rsidR="007A1CA2">
        <w:rPr>
          <w:rFonts w:ascii="Verdana" w:hAnsi="Verdana"/>
          <w:sz w:val="20"/>
          <w:szCs w:val="20"/>
          <w:lang w:val="fr-FR"/>
        </w:rPr>
        <w:t>–</w:t>
      </w:r>
      <w:r w:rsidRPr="00A51017">
        <w:rPr>
          <w:rFonts w:ascii="Verdana" w:hAnsi="Verdana"/>
          <w:sz w:val="20"/>
          <w:szCs w:val="20"/>
          <w:lang w:val="fr-FR"/>
        </w:rPr>
        <w:t xml:space="preserve"> La vie sous l'eau, et sur "Naviguer dans le boom des données : trouver, comprendre et utiliser les données des ODD" contribuant à l'ODD</w:t>
      </w:r>
      <w:r w:rsidR="00E62005">
        <w:rPr>
          <w:rFonts w:ascii="Verdana" w:hAnsi="Verdana"/>
          <w:sz w:val="20"/>
          <w:szCs w:val="20"/>
          <w:lang w:val="fr-FR"/>
        </w:rPr>
        <w:t> </w:t>
      </w:r>
      <w:r w:rsidRPr="00A51017">
        <w:rPr>
          <w:rFonts w:ascii="Verdana" w:hAnsi="Verdana"/>
          <w:sz w:val="20"/>
          <w:szCs w:val="20"/>
          <w:lang w:val="fr-FR"/>
        </w:rPr>
        <w:t xml:space="preserve">17 </w:t>
      </w:r>
      <w:r w:rsidR="007A1CA2">
        <w:rPr>
          <w:rFonts w:ascii="Verdana" w:hAnsi="Verdana"/>
          <w:sz w:val="20"/>
          <w:szCs w:val="20"/>
          <w:lang w:val="fr-FR"/>
        </w:rPr>
        <w:t>–</w:t>
      </w:r>
      <w:r w:rsidRPr="00A51017">
        <w:rPr>
          <w:rFonts w:ascii="Verdana" w:hAnsi="Verdana"/>
          <w:sz w:val="20"/>
          <w:szCs w:val="20"/>
          <w:lang w:val="fr-FR"/>
        </w:rPr>
        <w:t xml:space="preserve"> Partenariats pour les objectifs.</w:t>
      </w:r>
    </w:p>
    <w:p w14:paraId="7EF000AF" w14:textId="007A5C0D"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2023 : Session sur l'ODD 6 : Eau et assainissement pour tous</w:t>
      </w:r>
    </w:p>
    <w:p w14:paraId="5857320F" w14:textId="712A127F"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2023 : Session sur l'ODD 17 : Partenariats pour un développement numérique inclusif et durable</w:t>
      </w:r>
    </w:p>
    <w:p w14:paraId="2428464A" w14:textId="0224AAA5"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2024 : Table ronde d'apprentissage par les pairs sur l'ODD 13 - Résoudre le Rubik's cube de la crise planétaire : aligner des solutions politiques pour les risques climatiques et la perte de biodiversité et Session sur la transformation des systèmes alimentaires en tant qu'accélérateur pour la mise en œuvre des ODD et l'action climatique liée à l'ODD 1 : Faim zéro.</w:t>
      </w:r>
    </w:p>
    <w:p w14:paraId="381D3A62" w14:textId="09B113AD" w:rsidR="00FB6238" w:rsidRPr="00A51017" w:rsidRDefault="0014278A" w:rsidP="00B75E19">
      <w:pPr>
        <w:pStyle w:val="paragraph"/>
        <w:spacing w:before="240" w:beforeAutospacing="0" w:after="120" w:afterAutospacing="0"/>
        <w:textAlignment w:val="baseline"/>
        <w:rPr>
          <w:rFonts w:ascii="Verdana" w:hAnsi="Verdana" w:cs="Segoe UI"/>
          <w:sz w:val="20"/>
          <w:szCs w:val="20"/>
        </w:rPr>
      </w:pPr>
      <w:hyperlink r:id="rId13" w:history="1">
        <w:r w:rsidRPr="00A51017">
          <w:rPr>
            <w:rFonts w:ascii="Verdana" w:hAnsi="Verdana"/>
            <w:sz w:val="20"/>
            <w:szCs w:val="20"/>
          </w:rPr>
          <w:t>La conférence régionale sur le rôle futur de la direction et de la gestion des services météorologiques et hydrologiques nationaux (SMHN) s'est tenue en novembre 2022. L'événement comprenait une session de haut niveau coïncidant avec le lancement du rapport sur l'état du climat en Europe et s'est déroulé parallèlement au premier forum régional sur l'engagement public-privé (EPP). Cette conférence a joué un rôle crucial dans le soutien de toutes les priorités régionales, y compris la mise en œuvre de la pol</w:t>
        </w:r>
        <w:r w:rsidRPr="00A51017">
          <w:rPr>
            <w:rFonts w:ascii="Verdana" w:hAnsi="Verdana"/>
            <w:sz w:val="20"/>
            <w:szCs w:val="20"/>
          </w:rPr>
          <w:t>itique unifiée en matière de données. Il a également mis l'accent sur le développement d'infrastructures et de services en collaboration avec de multiples partenaires sectoriels, tels que Microsoft, afin de renforcer les capacités et la résilience régionales.</w:t>
        </w:r>
      </w:hyperlink>
    </w:p>
    <w:p w14:paraId="5FA7AADF" w14:textId="1161FE9F"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 lancement annuel du rapport européen sur l'état du climat (2021, 2022, 2023), qui est devenu une publication conjointe de l'OMM et du service Copernicus sur le changement climatique de la Commission européenne. Ce rapport fournit une vue d'ensemble approfondie de l'état du climat au sein de l'AR VI de l'OMM.</w:t>
      </w:r>
    </w:p>
    <w:p w14:paraId="1320A086" w14:textId="5F5D50D2" w:rsidR="00FB6238" w:rsidRPr="00A51017" w:rsidRDefault="0014278A" w:rsidP="00B75E19">
      <w:pPr>
        <w:pStyle w:val="paragraph"/>
        <w:spacing w:before="240" w:beforeAutospacing="0" w:after="120" w:afterAutospacing="0"/>
        <w:textAlignment w:val="baseline"/>
        <w:rPr>
          <w:rFonts w:ascii="Verdana" w:hAnsi="Verdana" w:cs="Segoe UI"/>
          <w:sz w:val="20"/>
          <w:szCs w:val="20"/>
        </w:rPr>
      </w:pPr>
      <w:hyperlink r:id="rId14" w:tgtFrame="_blank" w:history="1">
        <w:r w:rsidRPr="00A51017">
          <w:rPr>
            <w:rFonts w:ascii="Verdana" w:hAnsi="Verdana"/>
            <w:sz w:val="20"/>
            <w:szCs w:val="20"/>
          </w:rPr>
          <w:t>Le Forum scientifique régional, qui s'est tenu en octobre 2023 à Bucarest, en Roumanie, a été conçu pour renforcer la composante recherche de la région et faciliter le transfert de la recherche vers des pratiques opérationnelles. En tant que plateforme essentielle, il a rassemblé des chercheurs et des scientifiques spécialisés dans la météorologie, l'eau, le climat et les questions environnementales connexes afin de favoriser la collaboration et l'innovation. Le forum comprenait également une session de co</w:t>
        </w:r>
        <w:r w:rsidRPr="00A51017">
          <w:rPr>
            <w:rFonts w:ascii="Verdana" w:hAnsi="Verdana"/>
            <w:sz w:val="20"/>
            <w:szCs w:val="20"/>
          </w:rPr>
          <w:t>mmunication sur les sciences sociales, complétée par une exposition d'art et de science, renforçant l'échange interdisciplinaire et l'engagement du public.</w:t>
        </w:r>
      </w:hyperlink>
    </w:p>
    <w:p w14:paraId="65BAF74A" w14:textId="62F5792D"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La mise en œuvre de l'initiative EW4All dans la région VI a été soutenue par des activités et une série d'événements importants, notamment</w:t>
      </w:r>
    </w:p>
    <w:p w14:paraId="3461EA32" w14:textId="6514DF77" w:rsidR="00FB6238" w:rsidRPr="00A51017" w:rsidRDefault="00FB6238" w:rsidP="00B75E19">
      <w:pPr>
        <w:pStyle w:val="WMOSubTitle1"/>
        <w:spacing w:before="240" w:after="120"/>
      </w:pPr>
      <w:r w:rsidRPr="00A51017">
        <w:rPr>
          <w:bCs/>
          <w:iCs/>
          <w:lang w:val="fr-FR"/>
        </w:rPr>
        <w:t>Activités:</w:t>
      </w:r>
    </w:p>
    <w:p w14:paraId="2B624D57" w14:textId="0B05102C" w:rsidR="00FB6238" w:rsidRPr="00A51017" w:rsidRDefault="00FB6238" w:rsidP="0066297C">
      <w:pPr>
        <w:pStyle w:val="paragraph"/>
        <w:numPr>
          <w:ilvl w:val="0"/>
          <w:numId w:val="3"/>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Mise en place de centres régionaux du Système mondial intégré d'observation de l'OMM (WIGOS) en mode pilote en 2024</w:t>
      </w:r>
    </w:p>
    <w:p w14:paraId="753DDFE3" w14:textId="53128F33" w:rsidR="00FB6238" w:rsidRPr="00A51017" w:rsidRDefault="00FB6238" w:rsidP="0066297C">
      <w:pPr>
        <w:pStyle w:val="paragraph"/>
        <w:numPr>
          <w:ilvl w:val="0"/>
          <w:numId w:val="3"/>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Mise en œuvre du prototype du système d'observation hydrologique de l'OMM (WHOS) pour le bassin de la Sava</w:t>
      </w:r>
    </w:p>
    <w:p w14:paraId="61C30D23" w14:textId="09F65C58" w:rsidR="00FB6238" w:rsidRPr="00A51017" w:rsidRDefault="00FB6238" w:rsidP="0066297C">
      <w:pPr>
        <w:pStyle w:val="paragraph"/>
        <w:numPr>
          <w:ilvl w:val="0"/>
          <w:numId w:val="3"/>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Poursuite du développement et de la maintenance du système d'alerte précoce du sud-est de l'Europe hébergé par le CEPMMT.</w:t>
      </w:r>
    </w:p>
    <w:p w14:paraId="16480328" w14:textId="70B7EB36" w:rsidR="00FB6238" w:rsidRPr="00A51017" w:rsidRDefault="00FB6238" w:rsidP="00B75E19">
      <w:pPr>
        <w:pStyle w:val="WMOSubTitle1"/>
        <w:spacing w:before="240" w:after="120"/>
      </w:pPr>
      <w:r w:rsidRPr="00A51017">
        <w:rPr>
          <w:bCs/>
          <w:iCs/>
          <w:lang w:val="fr-FR"/>
        </w:rPr>
        <w:t>Manifestations:</w:t>
      </w:r>
    </w:p>
    <w:p w14:paraId="63ADD8BD" w14:textId="3EB44599" w:rsidR="00FB6238" w:rsidRPr="00A51017" w:rsidRDefault="00FB6238" w:rsidP="0066297C">
      <w:pPr>
        <w:pStyle w:val="paragraph"/>
        <w:numPr>
          <w:ilvl w:val="0"/>
          <w:numId w:val="4"/>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2022 : Forum régional de la CEE-ONU sur le développement durable Événement parallèle sur les "Partenariats pour lutter contre le changement climatique, les événements extrêmes et la réduction des risques de catastrophe en vue de la réalisation des objectifs de développement durable" (Genève, Suisse/Hybride)</w:t>
      </w:r>
    </w:p>
    <w:p w14:paraId="1F60C83E" w14:textId="78A6236B" w:rsidR="00FB6238" w:rsidRPr="00A51017" w:rsidRDefault="00FB6238" w:rsidP="0066297C">
      <w:pPr>
        <w:pStyle w:val="paragraph"/>
        <w:numPr>
          <w:ilvl w:val="0"/>
          <w:numId w:val="4"/>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2023 : Événement parallèle du Forum régional de la CEE-ONU sur la mise en œuvre d'EW4All (Genève/Hybride)</w:t>
      </w:r>
    </w:p>
    <w:p w14:paraId="5EEEB67B" w14:textId="11319551" w:rsidR="00FB6238" w:rsidRPr="00A51017" w:rsidRDefault="00FB6238" w:rsidP="0066297C">
      <w:pPr>
        <w:pStyle w:val="paragraph"/>
        <w:numPr>
          <w:ilvl w:val="0"/>
          <w:numId w:val="4"/>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2023 : Réunion de coordination sur le plan d'action EW4All pour l'AR VI (Genève, Suisse)</w:t>
      </w:r>
    </w:p>
    <w:p w14:paraId="06DB8339" w14:textId="5341293B" w:rsidR="00FB6238" w:rsidRPr="00A51017" w:rsidRDefault="00FB6238" w:rsidP="0066297C">
      <w:pPr>
        <w:pStyle w:val="paragraph"/>
        <w:numPr>
          <w:ilvl w:val="0"/>
          <w:numId w:val="4"/>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2023 : Événement parallèle de l'ICSEED sur "l'alerte précoce pour tous" (Brdo, Slovénie)</w:t>
      </w:r>
    </w:p>
    <w:p w14:paraId="2E45E2D2" w14:textId="2A3DEC77" w:rsidR="00FB6238" w:rsidRPr="00A51017" w:rsidRDefault="00FB6238" w:rsidP="0066297C">
      <w:pPr>
        <w:pStyle w:val="paragraph"/>
        <w:numPr>
          <w:ilvl w:val="0"/>
          <w:numId w:val="4"/>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2023 : Un événement sur l'intelligence artificielle pour soutenir EW4All, organisé parallèlement au Cg-19</w:t>
      </w:r>
    </w:p>
    <w:p w14:paraId="4A1B6635" w14:textId="1FD4DB40" w:rsidR="00FB6238" w:rsidRPr="00A51017" w:rsidRDefault="00FB6238" w:rsidP="0066297C">
      <w:pPr>
        <w:pStyle w:val="paragraph"/>
        <w:numPr>
          <w:ilvl w:val="0"/>
          <w:numId w:val="4"/>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2023 : Événement EW4All dans le Caucase du Sud (Genève, Suisse)</w:t>
      </w:r>
    </w:p>
    <w:p w14:paraId="182CE9E1" w14:textId="6FA6CDA8" w:rsidR="00FB6238" w:rsidRPr="00A51017" w:rsidRDefault="00FB6238" w:rsidP="0066297C">
      <w:pPr>
        <w:pStyle w:val="paragraph"/>
        <w:numPr>
          <w:ilvl w:val="0"/>
          <w:numId w:val="4"/>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lastRenderedPageBreak/>
        <w:t>2023-2024 : Évaluations rapides des capacités de surveillance et de prévision des risques</w:t>
      </w:r>
    </w:p>
    <w:p w14:paraId="0E15226D" w14:textId="588EC999" w:rsidR="00FB6238" w:rsidRPr="00A51017" w:rsidRDefault="00FB6238" w:rsidP="0066297C">
      <w:pPr>
        <w:pStyle w:val="paragraph"/>
        <w:numPr>
          <w:ilvl w:val="0"/>
          <w:numId w:val="4"/>
        </w:numPr>
        <w:spacing w:before="240" w:beforeAutospacing="0" w:after="120" w:afterAutospacing="0"/>
        <w:ind w:left="567" w:hanging="567"/>
        <w:textAlignment w:val="baseline"/>
        <w:rPr>
          <w:rFonts w:ascii="Verdana" w:hAnsi="Verdana" w:cs="Segoe UI"/>
          <w:sz w:val="20"/>
          <w:szCs w:val="20"/>
        </w:rPr>
      </w:pPr>
      <w:r w:rsidRPr="00A51017">
        <w:rPr>
          <w:rFonts w:ascii="Verdana" w:hAnsi="Verdana"/>
          <w:sz w:val="20"/>
          <w:szCs w:val="20"/>
          <w:lang w:val="fr-FR"/>
        </w:rPr>
        <w:t>2024 : Événement d'alerte précoce pour tous dans le sud-est de l'Europe (Athènes, Grèce).</w:t>
      </w:r>
    </w:p>
    <w:p w14:paraId="4A36667D" w14:textId="18977D8A" w:rsidR="00FB6238" w:rsidRPr="00A51017" w:rsidRDefault="00FB6238" w:rsidP="00B75E19">
      <w:pPr>
        <w:pStyle w:val="paragraph"/>
        <w:spacing w:before="240" w:beforeAutospacing="0" w:after="120" w:afterAutospacing="0"/>
        <w:textAlignment w:val="baseline"/>
        <w:rPr>
          <w:rStyle w:val="normaltextrun"/>
          <w:rFonts w:ascii="Verdana" w:hAnsi="Verdana"/>
          <w:sz w:val="20"/>
          <w:szCs w:val="20"/>
        </w:rPr>
      </w:pPr>
      <w:r w:rsidRPr="00A51017">
        <w:rPr>
          <w:rFonts w:ascii="Verdana" w:hAnsi="Verdana"/>
          <w:sz w:val="20"/>
          <w:szCs w:val="20"/>
          <w:lang w:val="fr-FR"/>
        </w:rPr>
        <w:t>Dans l'exercice de ses fonctions, le président a été assisté par le bureau régional de l'OMM pour l'Europe.</w:t>
      </w:r>
    </w:p>
    <w:p w14:paraId="2406A5F3" w14:textId="0EB9E95A"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 Bureau régional de l'OMM pour l'Europe s'acquitte de sa mission en s'appuyant sur cinq fonctions essentielles : la représentation, la sensibilisation, la coordination, le soutien administratif et logistique et la gestion interne.</w:t>
      </w:r>
    </w:p>
    <w:p w14:paraId="2E191B44" w14:textId="1094FC8D" w:rsidR="00FB6238" w:rsidRPr="00A51017" w:rsidRDefault="00FB6238" w:rsidP="00B75E19">
      <w:pPr>
        <w:pStyle w:val="WMOSubTitle1"/>
        <w:spacing w:before="240" w:after="120"/>
        <w:rPr>
          <w:lang w:val="fr-CH"/>
        </w:rPr>
      </w:pPr>
      <w:r w:rsidRPr="00A51017">
        <w:rPr>
          <w:bCs/>
          <w:iCs/>
          <w:lang w:val="fr-FR"/>
        </w:rPr>
        <w:t>Représentation</w:t>
      </w:r>
    </w:p>
    <w:p w14:paraId="1437DE31" w14:textId="3875AC3B"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 Bureau représente le Secrétariat de l'OMM au sein de l'AR VI de l'OMM en conseillant les Membres sur les objectifs stratégiques de l'OMM et en assurant le suivi des principaux événements mondiaux et régionaux. Il représente également la région auprès du secrétariat de l'OMM, en fournissant des informations actualisées sur les activités liées au temps, à l'eau et au climat et en facilitant la contribution de la région aux plans stratégiques de l'OMM.</w:t>
      </w:r>
    </w:p>
    <w:p w14:paraId="3E53B326" w14:textId="08064EE6" w:rsidR="00FB6238" w:rsidRPr="00A51017" w:rsidRDefault="00FB6238" w:rsidP="00B75E19">
      <w:pPr>
        <w:pStyle w:val="WMOSubTitle1"/>
        <w:spacing w:before="240" w:after="120"/>
        <w:rPr>
          <w:lang w:val="fr-CH"/>
        </w:rPr>
      </w:pPr>
      <w:r w:rsidRPr="00A51017">
        <w:rPr>
          <w:bCs/>
          <w:iCs/>
          <w:lang w:val="fr-FR"/>
        </w:rPr>
        <w:t>Défense des intérêts</w:t>
      </w:r>
    </w:p>
    <w:p w14:paraId="2C0C9F3C" w14:textId="216A32F2"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 Bureau s'efforce d'accroître la visibilité et l'influence de l'OMM dans l'AR VI en assurant la liaison avec les partenaires régionaux et les agences des Nations Unies, en renforçant les réseaux régionaux et en plaidant pour l'investissement dans les systèmes et les services météorologiques. Il engage les parties prenantes dans des initiatives alignées sur les priorités stratégiques.</w:t>
      </w:r>
    </w:p>
    <w:p w14:paraId="7B457FE2" w14:textId="4BB27F88" w:rsidR="00FB6238" w:rsidRPr="00A51017" w:rsidRDefault="00FB6238" w:rsidP="00B75E19">
      <w:pPr>
        <w:pStyle w:val="WMOSubTitle1"/>
        <w:spacing w:before="240" w:after="120"/>
        <w:rPr>
          <w:lang w:val="fr-CH"/>
        </w:rPr>
      </w:pPr>
      <w:r w:rsidRPr="00A51017">
        <w:rPr>
          <w:bCs/>
          <w:iCs/>
          <w:lang w:val="fr-FR"/>
        </w:rPr>
        <w:t>Coordination</w:t>
      </w:r>
    </w:p>
    <w:p w14:paraId="3447FF0F" w14:textId="0CE074CB"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Il s'agit de diffuser des informations sur les évolutions météorologiques, hydriques et climatiques aux membres, d'analyser les besoins et les lacunes au niveau régional et de soutenir les centres régionaux. Le Bureau assiste également l'AR et ses dirigeants dans leurs activités et leurs projets.</w:t>
      </w:r>
    </w:p>
    <w:p w14:paraId="4910A2F6" w14:textId="2857A388" w:rsidR="00FB6238" w:rsidRPr="00A51017" w:rsidRDefault="00FB6238" w:rsidP="00B75E19">
      <w:pPr>
        <w:pStyle w:val="WMOSubTitle1"/>
        <w:spacing w:before="240" w:after="120"/>
        <w:rPr>
          <w:lang w:val="fr-CH"/>
        </w:rPr>
      </w:pPr>
      <w:r w:rsidRPr="00A51017">
        <w:rPr>
          <w:bCs/>
          <w:iCs/>
          <w:lang w:val="fr-FR"/>
        </w:rPr>
        <w:t>Soutien administratif et logistique</w:t>
      </w:r>
    </w:p>
    <w:p w14:paraId="1E48A045" w14:textId="4F92ABD2"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 Bureau contribue à la planification et à l'organisation de sessions, de réunions et d'événements régionaux. Il soutient l'élaboration de plans opérationnels, recueille des informations pour la planification et le plaidoyer, et tient à jour les profils des pays.</w:t>
      </w:r>
    </w:p>
    <w:p w14:paraId="633935EE" w14:textId="6053209A" w:rsidR="00FB6238" w:rsidRPr="00A51017" w:rsidRDefault="00FB6238" w:rsidP="00B75E19">
      <w:pPr>
        <w:pStyle w:val="WMOSubTitle1"/>
        <w:spacing w:before="240" w:after="120"/>
        <w:rPr>
          <w:lang w:val="fr-CH"/>
        </w:rPr>
      </w:pPr>
      <w:r w:rsidRPr="00A51017">
        <w:rPr>
          <w:bCs/>
          <w:iCs/>
          <w:lang w:val="fr-FR"/>
        </w:rPr>
        <w:t>Gestion interne</w:t>
      </w:r>
    </w:p>
    <w:p w14:paraId="24D6D483" w14:textId="04B28486" w:rsidR="00FB6238" w:rsidRPr="00A51017" w:rsidRDefault="00FB623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Le Bureau est composé d'un directeur, d'un chargé de programme, d'un coordinateur et d'un poste de chef qui sera supprimé en octobre 2024.</w:t>
      </w:r>
    </w:p>
    <w:p w14:paraId="46825AC1" w14:textId="4D95F9EC" w:rsidR="00C366D8" w:rsidRPr="00A51017" w:rsidRDefault="00FB6238" w:rsidP="00B75E19">
      <w:pPr>
        <w:pStyle w:val="Heading3"/>
        <w:spacing w:before="240" w:after="120"/>
        <w:rPr>
          <w:lang w:val="fr-CH"/>
        </w:rPr>
      </w:pPr>
      <w:r w:rsidRPr="00A51017">
        <w:rPr>
          <w:lang w:val="fr-FR"/>
        </w:rPr>
        <w:t>Principales réalisations</w:t>
      </w:r>
    </w:p>
    <w:p w14:paraId="60A37264" w14:textId="64866F3F" w:rsidR="00FB6238" w:rsidRPr="00A51017" w:rsidRDefault="00C366D8" w:rsidP="00B75E19">
      <w:pPr>
        <w:pStyle w:val="paragraph"/>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t>Il s'agit notamment de multiplier les plateformes et les mécanismes de sensibilisation, d'améliorer la communication, de renforcer la visibilité des activités de l'OMM et du rôle des SMHN dans le développement durable, de favoriser une collaboration plus inclusive avec des partenariats élargis, de renforcer l'implication des centres spécialisés dans des processus clés, tels que le développement des capacités et le transfert de la recherche vers les opérations, renforçant ainsi les capacités de la région.</w:t>
      </w:r>
    </w:p>
    <w:p w14:paraId="79684722" w14:textId="6D3C6615" w:rsidR="00FB6238" w:rsidRPr="00A51017" w:rsidRDefault="00FB6238" w:rsidP="007A1CA2">
      <w:pPr>
        <w:pStyle w:val="paragraph"/>
        <w:keepNext/>
        <w:spacing w:before="240" w:beforeAutospacing="0" w:after="120" w:afterAutospacing="0"/>
        <w:textAlignment w:val="baseline"/>
        <w:rPr>
          <w:rFonts w:ascii="Verdana" w:hAnsi="Verdana" w:cs="Segoe UI"/>
          <w:sz w:val="20"/>
          <w:szCs w:val="20"/>
        </w:rPr>
      </w:pPr>
      <w:r w:rsidRPr="00A51017">
        <w:rPr>
          <w:rFonts w:ascii="Verdana" w:hAnsi="Verdana"/>
          <w:sz w:val="20"/>
          <w:szCs w:val="20"/>
          <w:lang w:val="fr-FR"/>
        </w:rPr>
        <w:lastRenderedPageBreak/>
        <w:t>Pour plus de détails, vous pouvez accéder aux pages web suivantes:</w:t>
      </w:r>
    </w:p>
    <w:p w14:paraId="307DD744" w14:textId="0A686DA3" w:rsidR="00FB6238" w:rsidRPr="00A51017" w:rsidRDefault="0014278A" w:rsidP="007A1CA2">
      <w:pPr>
        <w:pStyle w:val="paragraph"/>
        <w:keepNext/>
        <w:spacing w:before="240" w:beforeAutospacing="0" w:after="120" w:afterAutospacing="0"/>
        <w:textAlignment w:val="baseline"/>
        <w:rPr>
          <w:rFonts w:ascii="Verdana" w:hAnsi="Verdana" w:cs="Segoe UI"/>
          <w:sz w:val="20"/>
          <w:szCs w:val="20"/>
        </w:rPr>
      </w:pPr>
      <w:hyperlink r:id="rId15" w:tgtFrame="_blank" w:history="1">
        <w:r w:rsidRPr="00A51017">
          <w:rPr>
            <w:rFonts w:ascii="Verdana" w:hAnsi="Verdana"/>
            <w:sz w:val="20"/>
            <w:szCs w:val="20"/>
          </w:rPr>
          <w:t>Bureau régional pour l'Europe | Organisation météorologique mondiale (wmo.int)</w:t>
        </w:r>
      </w:hyperlink>
    </w:p>
    <w:p w14:paraId="66B8258A" w14:textId="2D05DC2E" w:rsidR="00FB6238" w:rsidRPr="00A51017" w:rsidRDefault="0014278A" w:rsidP="00B75E19">
      <w:pPr>
        <w:pStyle w:val="paragraph"/>
        <w:spacing w:before="240" w:beforeAutospacing="0" w:after="120" w:afterAutospacing="0"/>
        <w:textAlignment w:val="baseline"/>
        <w:rPr>
          <w:rFonts w:ascii="Verdana" w:hAnsi="Verdana" w:cs="Segoe UI"/>
          <w:sz w:val="20"/>
          <w:szCs w:val="20"/>
        </w:rPr>
      </w:pPr>
      <w:hyperlink r:id="rId16" w:tgtFrame="_blank" w:history="1">
        <w:r w:rsidRPr="00A51017">
          <w:rPr>
            <w:rFonts w:ascii="Verdana" w:hAnsi="Verdana"/>
            <w:sz w:val="20"/>
            <w:szCs w:val="20"/>
          </w:rPr>
          <w:t>Interviews | Organisation météorologique mondiale (wmo.int)</w:t>
        </w:r>
      </w:hyperlink>
    </w:p>
    <w:p w14:paraId="4185172B" w14:textId="2FF61F67" w:rsidR="00FB6238" w:rsidRPr="00A51017" w:rsidRDefault="00FB6238" w:rsidP="00B75E19">
      <w:pPr>
        <w:pStyle w:val="Heading3"/>
        <w:spacing w:before="240" w:after="120"/>
        <w:rPr>
          <w:rStyle w:val="normaltextrun"/>
          <w:rFonts w:cs="Segoe UI"/>
          <w:lang w:val="fr-CH"/>
        </w:rPr>
      </w:pPr>
      <w:r w:rsidRPr="00A51017">
        <w:rPr>
          <w:lang w:val="fr-FR"/>
        </w:rPr>
        <w:t>Activités prévues</w:t>
      </w:r>
    </w:p>
    <w:p w14:paraId="56D18957" w14:textId="7E4C214A" w:rsidR="00556B48" w:rsidRDefault="00FB6238" w:rsidP="00556B48">
      <w:pPr>
        <w:pStyle w:val="paragraph"/>
        <w:spacing w:before="240" w:beforeAutospacing="0" w:after="480" w:afterAutospacing="0"/>
        <w:textAlignment w:val="baseline"/>
        <w:rPr>
          <w:rFonts w:ascii="Verdana" w:hAnsi="Verdana"/>
          <w:sz w:val="20"/>
          <w:szCs w:val="20"/>
          <w:lang w:val="fr-FR"/>
        </w:rPr>
      </w:pPr>
      <w:r w:rsidRPr="00A51017">
        <w:rPr>
          <w:rFonts w:ascii="Verdana" w:hAnsi="Verdana"/>
          <w:sz w:val="20"/>
          <w:szCs w:val="20"/>
          <w:lang w:val="fr-FR"/>
        </w:rPr>
        <w:t>Les efforts futurs se concentrent sur la mise en œuvre du plan régional, le soutien à l'élaboration de stratégies nationales, le renforcement des partenariats régionaux et la participation à des mécanismes de collaboration régionale. L'Office prévoit également de développer des supports de communication et des tableaux de bord opérationnels, tout en continuant à assurer le suivi des projets en cours.</w:t>
      </w:r>
    </w:p>
    <w:p w14:paraId="6150B305" w14:textId="1E5F2C82" w:rsidR="00556B48" w:rsidRPr="00556B48" w:rsidRDefault="00556B48" w:rsidP="00556B48">
      <w:pPr>
        <w:pStyle w:val="NormalWeb"/>
        <w:spacing w:before="240" w:beforeAutospacing="0" w:after="120" w:afterAutospacing="0"/>
        <w:jc w:val="center"/>
        <w:rPr>
          <w:rFonts w:ascii="Verdana" w:hAnsi="Verdana"/>
          <w:sz w:val="20"/>
          <w:szCs w:val="20"/>
          <w:lang w:val="fr-FR"/>
        </w:rPr>
      </w:pPr>
    </w:p>
    <w:sectPr w:rsidR="00556B48" w:rsidRPr="00556B48"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B8BC" w14:textId="77777777" w:rsidR="000B560B" w:rsidRDefault="000B560B">
      <w:r>
        <w:separator/>
      </w:r>
    </w:p>
    <w:p w14:paraId="1F9CB47A" w14:textId="77777777" w:rsidR="000B560B" w:rsidRDefault="000B560B"/>
    <w:p w14:paraId="59C47E4A" w14:textId="77777777" w:rsidR="000B560B" w:rsidRDefault="000B560B"/>
  </w:endnote>
  <w:endnote w:type="continuationSeparator" w:id="0">
    <w:p w14:paraId="12E3B98C" w14:textId="77777777" w:rsidR="000B560B" w:rsidRDefault="000B560B">
      <w:r>
        <w:continuationSeparator/>
      </w:r>
    </w:p>
    <w:p w14:paraId="4551FD1C" w14:textId="77777777" w:rsidR="000B560B" w:rsidRDefault="000B560B"/>
    <w:p w14:paraId="7567FF6C" w14:textId="77777777" w:rsidR="000B560B" w:rsidRDefault="000B560B"/>
  </w:endnote>
  <w:endnote w:type="continuationNotice" w:id="1">
    <w:p w14:paraId="00CFA21C" w14:textId="77777777" w:rsidR="000B560B" w:rsidRDefault="000B5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1C7E" w14:textId="77777777" w:rsidR="000B560B" w:rsidRDefault="000B560B">
      <w:r>
        <w:separator/>
      </w:r>
    </w:p>
  </w:footnote>
  <w:footnote w:type="continuationSeparator" w:id="0">
    <w:p w14:paraId="5629E140" w14:textId="77777777" w:rsidR="000B560B" w:rsidRDefault="000B560B">
      <w:r>
        <w:continuationSeparator/>
      </w:r>
    </w:p>
    <w:p w14:paraId="1FB32C25" w14:textId="77777777" w:rsidR="000B560B" w:rsidRDefault="000B560B"/>
    <w:p w14:paraId="37B13D64" w14:textId="77777777" w:rsidR="000B560B" w:rsidRDefault="000B560B"/>
  </w:footnote>
  <w:footnote w:type="continuationNotice" w:id="1">
    <w:p w14:paraId="2BE3F4C7" w14:textId="77777777" w:rsidR="000B560B" w:rsidRDefault="000B5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81D" w14:textId="77777777" w:rsidR="00B5190B" w:rsidRDefault="0014278A">
    <w:pPr>
      <w:pStyle w:val="Header"/>
    </w:pPr>
    <w:r>
      <w:rPr>
        <w:noProof/>
      </w:rPr>
      <w:pict w14:anchorId="451DDAE6">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0AC77B">
        <v:shape id="_x0000_s1025" type="#_x0000_m1048"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20A347" w14:textId="77777777" w:rsidR="00B82A85" w:rsidRDefault="00B82A85"/>
  <w:p w14:paraId="343B4968" w14:textId="77777777" w:rsidR="00B5190B" w:rsidRDefault="0014278A">
    <w:pPr>
      <w:pStyle w:val="Header"/>
    </w:pPr>
    <w:r>
      <w:rPr>
        <w:noProof/>
      </w:rPr>
      <w:pict w14:anchorId="617BE4BC">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124FE5">
        <v:shape id="_x0000_s1027" type="#_x0000_m1047"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2811AE" w14:textId="77777777" w:rsidR="00B82A85" w:rsidRDefault="00B82A85"/>
  <w:p w14:paraId="00E46D08" w14:textId="77777777" w:rsidR="00B5190B" w:rsidRDefault="0014278A">
    <w:pPr>
      <w:pStyle w:val="Header"/>
    </w:pPr>
    <w:r>
      <w:rPr>
        <w:noProof/>
      </w:rPr>
      <w:pict w14:anchorId="56378946">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DF8FDA">
        <v:shape id="_x0000_s1029" type="#_x0000_m1046"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E0234A" w14:textId="77777777" w:rsidR="00B82A85" w:rsidRDefault="00B82A85"/>
  <w:p w14:paraId="747B786E" w14:textId="77777777" w:rsidR="00FD10B9" w:rsidRDefault="0014278A">
    <w:pPr>
      <w:pStyle w:val="Header"/>
    </w:pPr>
    <w:r>
      <w:rPr>
        <w:noProof/>
      </w:rPr>
      <w:pict w14:anchorId="3FC80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4144;visibility:hidden">
          <v:path gradientshapeok="f"/>
          <o:lock v:ext="edit" selection="t"/>
        </v:shape>
      </w:pict>
    </w:r>
    <w:r>
      <w:pict w14:anchorId="04A49D01">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79ABF41">
        <v:shape id="WordPictureWatermark835936646" o:spid="_x0000_s1042" type="#_x0000_m1045"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8249" w14:textId="4A8BC778" w:rsidR="00A432CD" w:rsidRPr="0091680B" w:rsidRDefault="00AF3049" w:rsidP="00B72444">
    <w:pPr>
      <w:pStyle w:val="Header"/>
      <w:rPr>
        <w:sz w:val="18"/>
        <w:szCs w:val="18"/>
      </w:rPr>
    </w:pPr>
    <w:r w:rsidRPr="0091680B">
      <w:rPr>
        <w:sz w:val="18"/>
        <w:szCs w:val="18"/>
      </w:rPr>
      <w:t>RA VI-19(I)/INF. 2.1(1)</w:t>
    </w:r>
    <w:r w:rsidR="00A432CD" w:rsidRPr="0091680B">
      <w:rPr>
        <w:sz w:val="18"/>
        <w:szCs w:val="18"/>
      </w:rPr>
      <w:t xml:space="preserve">, p. </w:t>
    </w:r>
    <w:r w:rsidR="00A432CD" w:rsidRPr="0091680B">
      <w:rPr>
        <w:rStyle w:val="PageNumber"/>
        <w:sz w:val="18"/>
        <w:szCs w:val="18"/>
      </w:rPr>
      <w:fldChar w:fldCharType="begin"/>
    </w:r>
    <w:r w:rsidR="00A432CD" w:rsidRPr="0091680B">
      <w:rPr>
        <w:rStyle w:val="PageNumber"/>
        <w:sz w:val="18"/>
        <w:szCs w:val="18"/>
      </w:rPr>
      <w:instrText xml:space="preserve"> PAGE </w:instrText>
    </w:r>
    <w:r w:rsidR="00A432CD" w:rsidRPr="0091680B">
      <w:rPr>
        <w:rStyle w:val="PageNumber"/>
        <w:sz w:val="18"/>
        <w:szCs w:val="18"/>
      </w:rPr>
      <w:fldChar w:fldCharType="separate"/>
    </w:r>
    <w:r w:rsidR="00A432CD" w:rsidRPr="0091680B">
      <w:rPr>
        <w:rStyle w:val="PageNumber"/>
        <w:noProof/>
        <w:sz w:val="18"/>
        <w:szCs w:val="18"/>
      </w:rPr>
      <w:t>6</w:t>
    </w:r>
    <w:r w:rsidR="00A432CD" w:rsidRPr="0091680B">
      <w:rPr>
        <w:rStyle w:val="PageNumber"/>
        <w:sz w:val="18"/>
        <w:szCs w:val="18"/>
      </w:rPr>
      <w:fldChar w:fldCharType="end"/>
    </w:r>
    <w:r w:rsidR="0014278A" w:rsidRPr="0091680B">
      <w:rPr>
        <w:sz w:val="18"/>
        <w:szCs w:val="18"/>
      </w:rPr>
      <w:pict w14:anchorId="74AB0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5168;visibility:hidden;mso-position-horizontal-relative:text;mso-position-vertical-relative:text">
          <v:path gradientshapeok="f"/>
          <o:lock v:ext="edit" selection="t"/>
        </v:shape>
      </w:pict>
    </w:r>
    <w:r w:rsidR="0014278A" w:rsidRPr="0091680B">
      <w:rPr>
        <w:sz w:val="18"/>
        <w:szCs w:val="18"/>
      </w:rPr>
      <w:pict w14:anchorId="01BBD1B0">
        <v:shape id="_x0000_s1040" type="#_x0000_t75" style="position:absolute;left:0;text-align:left;margin-left:0;margin-top:0;width:50pt;height:50pt;z-index:251656192;visibility:hidden;mso-position-horizontal-relative:text;mso-position-vertical-relative:text">
          <v:path gradientshapeok="f"/>
          <o:lock v:ext="edit" selection="t"/>
        </v:shape>
      </w:pict>
    </w:r>
    <w:r w:rsidR="0014278A" w:rsidRPr="0091680B">
      <w:rPr>
        <w:sz w:val="18"/>
        <w:szCs w:val="18"/>
      </w:rPr>
      <w:pict w14:anchorId="31D68EB0">
        <v:shape id="_x0000_s1039" type="#_x0000_t75" style="position:absolute;left:0;text-align:left;margin-left:0;margin-top:0;width:50pt;height:50pt;z-index:251657216;visibility:hidden;mso-position-horizontal-relative:text;mso-position-vertical-relative:text">
          <v:path gradientshapeok="f"/>
          <o:lock v:ext="edit" selection="t"/>
        </v:shape>
      </w:pict>
    </w:r>
    <w:r w:rsidR="0014278A" w:rsidRPr="0091680B">
      <w:rPr>
        <w:sz w:val="18"/>
        <w:szCs w:val="18"/>
      </w:rPr>
      <w:pict w14:anchorId="58550420">
        <v:shape id="_x0000_s1037" type="#_x0000_t75" style="position:absolute;left:0;text-align:left;margin-left:0;margin-top:0;width:50pt;height:50pt;z-index:25165824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73F0" w14:textId="45B83898" w:rsidR="00FD10B9" w:rsidRPr="0091680B" w:rsidRDefault="0014278A" w:rsidP="0091680B">
    <w:pPr>
      <w:pStyle w:val="Header"/>
      <w:spacing w:after="0"/>
      <w:rPr>
        <w:sz w:val="2"/>
        <w:szCs w:val="2"/>
      </w:rPr>
    </w:pPr>
    <w:r w:rsidRPr="0091680B">
      <w:rPr>
        <w:noProof/>
        <w:sz w:val="2"/>
        <w:szCs w:val="2"/>
      </w:rPr>
      <w:pict w14:anchorId="7B458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9264;visibility:hidden">
          <v:path gradientshapeok="f"/>
          <o:lock v:ext="edit" selection="t"/>
        </v:shape>
      </w:pict>
    </w:r>
    <w:r w:rsidRPr="0091680B">
      <w:rPr>
        <w:sz w:val="2"/>
        <w:szCs w:val="2"/>
      </w:rPr>
      <w:pict w14:anchorId="73DD6E34">
        <v:shape id="_x0000_s1034" type="#_x0000_t75" style="position:absolute;left:0;text-align:left;margin-left:0;margin-top:0;width:50pt;height:50pt;z-index:251660288;visibility:hidden">
          <v:path gradientshapeok="f"/>
          <o:lock v:ext="edit" selection="t"/>
        </v:shape>
      </w:pict>
    </w:r>
    <w:r w:rsidRPr="0091680B">
      <w:rPr>
        <w:sz w:val="2"/>
        <w:szCs w:val="2"/>
      </w:rPr>
      <w:pict w14:anchorId="3F33CD24">
        <v:shape id="_x0000_s1032" type="#_x0000_t75" style="position:absolute;left:0;text-align:left;margin-left:0;margin-top:0;width:50pt;height:50pt;z-index:25166131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1BD"/>
    <w:multiLevelType w:val="hybridMultilevel"/>
    <w:tmpl w:val="C31A31D0"/>
    <w:lvl w:ilvl="0" w:tplc="04090011">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F07455"/>
    <w:multiLevelType w:val="hybridMultilevel"/>
    <w:tmpl w:val="840E7F28"/>
    <w:lvl w:ilvl="0" w:tplc="0409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413D14EF"/>
    <w:multiLevelType w:val="hybridMultilevel"/>
    <w:tmpl w:val="685C2CA4"/>
    <w:lvl w:ilvl="0" w:tplc="04090011">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66D838B1"/>
    <w:multiLevelType w:val="hybridMultilevel"/>
    <w:tmpl w:val="F5DCACF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6437209">
    <w:abstractNumId w:val="1"/>
  </w:num>
  <w:num w:numId="2" w16cid:durableId="163596813">
    <w:abstractNumId w:val="0"/>
  </w:num>
  <w:num w:numId="3" w16cid:durableId="1369799956">
    <w:abstractNumId w:val="2"/>
  </w:num>
  <w:num w:numId="4" w16cid:durableId="4870171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49"/>
    <w:rsid w:val="00005301"/>
    <w:rsid w:val="000133EE"/>
    <w:rsid w:val="00017F7F"/>
    <w:rsid w:val="000206A8"/>
    <w:rsid w:val="00027205"/>
    <w:rsid w:val="0003137A"/>
    <w:rsid w:val="00041171"/>
    <w:rsid w:val="00041727"/>
    <w:rsid w:val="0004226F"/>
    <w:rsid w:val="00050F8E"/>
    <w:rsid w:val="000518BB"/>
    <w:rsid w:val="00054613"/>
    <w:rsid w:val="00055077"/>
    <w:rsid w:val="00056FD4"/>
    <w:rsid w:val="000573AD"/>
    <w:rsid w:val="0006123B"/>
    <w:rsid w:val="00064F6B"/>
    <w:rsid w:val="00065628"/>
    <w:rsid w:val="00072F17"/>
    <w:rsid w:val="000731AA"/>
    <w:rsid w:val="000806D8"/>
    <w:rsid w:val="00082C80"/>
    <w:rsid w:val="00083847"/>
    <w:rsid w:val="00083C36"/>
    <w:rsid w:val="00084D58"/>
    <w:rsid w:val="000929FA"/>
    <w:rsid w:val="00092CAE"/>
    <w:rsid w:val="00095E48"/>
    <w:rsid w:val="000A184E"/>
    <w:rsid w:val="000A2A46"/>
    <w:rsid w:val="000A4F1C"/>
    <w:rsid w:val="000A69BF"/>
    <w:rsid w:val="000B1D61"/>
    <w:rsid w:val="000B2768"/>
    <w:rsid w:val="000B560B"/>
    <w:rsid w:val="000C225A"/>
    <w:rsid w:val="000C6781"/>
    <w:rsid w:val="000D0753"/>
    <w:rsid w:val="000E0357"/>
    <w:rsid w:val="000E3B9A"/>
    <w:rsid w:val="000F5E49"/>
    <w:rsid w:val="000F7A87"/>
    <w:rsid w:val="00102367"/>
    <w:rsid w:val="00102EAE"/>
    <w:rsid w:val="001047DC"/>
    <w:rsid w:val="00105D2E"/>
    <w:rsid w:val="00111BFD"/>
    <w:rsid w:val="0011498B"/>
    <w:rsid w:val="00120147"/>
    <w:rsid w:val="00123140"/>
    <w:rsid w:val="00123D94"/>
    <w:rsid w:val="00126BF7"/>
    <w:rsid w:val="00130BBC"/>
    <w:rsid w:val="00133D13"/>
    <w:rsid w:val="00140F0E"/>
    <w:rsid w:val="0014278A"/>
    <w:rsid w:val="00144BB8"/>
    <w:rsid w:val="00150DBD"/>
    <w:rsid w:val="00154EF7"/>
    <w:rsid w:val="00156F9B"/>
    <w:rsid w:val="00162EA1"/>
    <w:rsid w:val="00163BA3"/>
    <w:rsid w:val="00166B31"/>
    <w:rsid w:val="00167D54"/>
    <w:rsid w:val="001708F0"/>
    <w:rsid w:val="00176AB5"/>
    <w:rsid w:val="00180771"/>
    <w:rsid w:val="00190854"/>
    <w:rsid w:val="001923DE"/>
    <w:rsid w:val="001930A3"/>
    <w:rsid w:val="00196EB8"/>
    <w:rsid w:val="001A1089"/>
    <w:rsid w:val="001A25F0"/>
    <w:rsid w:val="001A341E"/>
    <w:rsid w:val="001A500C"/>
    <w:rsid w:val="001A61BA"/>
    <w:rsid w:val="001B0EA6"/>
    <w:rsid w:val="001B1CDF"/>
    <w:rsid w:val="001B2EC4"/>
    <w:rsid w:val="001B56F4"/>
    <w:rsid w:val="001C5462"/>
    <w:rsid w:val="001D265C"/>
    <w:rsid w:val="001D3062"/>
    <w:rsid w:val="001D3CFB"/>
    <w:rsid w:val="001D559B"/>
    <w:rsid w:val="001D6302"/>
    <w:rsid w:val="001E2C22"/>
    <w:rsid w:val="001E5353"/>
    <w:rsid w:val="001E740C"/>
    <w:rsid w:val="001E7DD0"/>
    <w:rsid w:val="001F1BDA"/>
    <w:rsid w:val="001F3E4C"/>
    <w:rsid w:val="0020095E"/>
    <w:rsid w:val="002024FC"/>
    <w:rsid w:val="00210BFE"/>
    <w:rsid w:val="00210D30"/>
    <w:rsid w:val="002204FD"/>
    <w:rsid w:val="00221020"/>
    <w:rsid w:val="00225FC4"/>
    <w:rsid w:val="00227029"/>
    <w:rsid w:val="002308B5"/>
    <w:rsid w:val="00233C0B"/>
    <w:rsid w:val="00234A34"/>
    <w:rsid w:val="00245842"/>
    <w:rsid w:val="0025255D"/>
    <w:rsid w:val="00255EE3"/>
    <w:rsid w:val="00256B3D"/>
    <w:rsid w:val="0026743C"/>
    <w:rsid w:val="00270480"/>
    <w:rsid w:val="00272189"/>
    <w:rsid w:val="002779AF"/>
    <w:rsid w:val="002823D8"/>
    <w:rsid w:val="00283167"/>
    <w:rsid w:val="0028531A"/>
    <w:rsid w:val="00285446"/>
    <w:rsid w:val="00290082"/>
    <w:rsid w:val="00293939"/>
    <w:rsid w:val="00295593"/>
    <w:rsid w:val="002A2339"/>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669"/>
    <w:rsid w:val="002D5E00"/>
    <w:rsid w:val="002D6DAC"/>
    <w:rsid w:val="002E1224"/>
    <w:rsid w:val="002E261D"/>
    <w:rsid w:val="002E3FAD"/>
    <w:rsid w:val="002E4E16"/>
    <w:rsid w:val="002F6DAC"/>
    <w:rsid w:val="002F73EB"/>
    <w:rsid w:val="00301E8C"/>
    <w:rsid w:val="0030213B"/>
    <w:rsid w:val="00307DDD"/>
    <w:rsid w:val="003143C9"/>
    <w:rsid w:val="003146E9"/>
    <w:rsid w:val="00314D5D"/>
    <w:rsid w:val="00320009"/>
    <w:rsid w:val="0032424A"/>
    <w:rsid w:val="003245D3"/>
    <w:rsid w:val="00330AA3"/>
    <w:rsid w:val="00331584"/>
    <w:rsid w:val="00331964"/>
    <w:rsid w:val="00334987"/>
    <w:rsid w:val="00336FEB"/>
    <w:rsid w:val="00340C69"/>
    <w:rsid w:val="00341F5D"/>
    <w:rsid w:val="00342E34"/>
    <w:rsid w:val="0036535A"/>
    <w:rsid w:val="00371CF1"/>
    <w:rsid w:val="0037222D"/>
    <w:rsid w:val="00373128"/>
    <w:rsid w:val="003750C1"/>
    <w:rsid w:val="003765C2"/>
    <w:rsid w:val="0038051E"/>
    <w:rsid w:val="00380AF7"/>
    <w:rsid w:val="00394A05"/>
    <w:rsid w:val="00397770"/>
    <w:rsid w:val="00397880"/>
    <w:rsid w:val="003A7016"/>
    <w:rsid w:val="003B0C08"/>
    <w:rsid w:val="003C1597"/>
    <w:rsid w:val="003C17A5"/>
    <w:rsid w:val="003C1843"/>
    <w:rsid w:val="003C336B"/>
    <w:rsid w:val="003D1552"/>
    <w:rsid w:val="003E381F"/>
    <w:rsid w:val="003E4046"/>
    <w:rsid w:val="003F003A"/>
    <w:rsid w:val="003F125B"/>
    <w:rsid w:val="003F7B3F"/>
    <w:rsid w:val="003F7D64"/>
    <w:rsid w:val="004058AD"/>
    <w:rsid w:val="0041078D"/>
    <w:rsid w:val="0041464A"/>
    <w:rsid w:val="00416F97"/>
    <w:rsid w:val="00417CD8"/>
    <w:rsid w:val="00425173"/>
    <w:rsid w:val="0043039B"/>
    <w:rsid w:val="00432ED0"/>
    <w:rsid w:val="00436197"/>
    <w:rsid w:val="004423FE"/>
    <w:rsid w:val="00445C35"/>
    <w:rsid w:val="00451C0D"/>
    <w:rsid w:val="00453A8D"/>
    <w:rsid w:val="00454B41"/>
    <w:rsid w:val="0045663A"/>
    <w:rsid w:val="0046344E"/>
    <w:rsid w:val="004634A4"/>
    <w:rsid w:val="004667E7"/>
    <w:rsid w:val="004672CF"/>
    <w:rsid w:val="00470336"/>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3A59"/>
    <w:rsid w:val="005145D6"/>
    <w:rsid w:val="00521EA5"/>
    <w:rsid w:val="00525B80"/>
    <w:rsid w:val="0053098F"/>
    <w:rsid w:val="00536B2E"/>
    <w:rsid w:val="00546D8E"/>
    <w:rsid w:val="00553738"/>
    <w:rsid w:val="00553F7E"/>
    <w:rsid w:val="00554A76"/>
    <w:rsid w:val="00556B48"/>
    <w:rsid w:val="00560C64"/>
    <w:rsid w:val="0056646F"/>
    <w:rsid w:val="00571AE1"/>
    <w:rsid w:val="00581B28"/>
    <w:rsid w:val="005859C2"/>
    <w:rsid w:val="00592267"/>
    <w:rsid w:val="0059421F"/>
    <w:rsid w:val="005A136D"/>
    <w:rsid w:val="005A3B6A"/>
    <w:rsid w:val="005B0AE2"/>
    <w:rsid w:val="005B1F2C"/>
    <w:rsid w:val="005B5F3C"/>
    <w:rsid w:val="005C41F2"/>
    <w:rsid w:val="005D03D9"/>
    <w:rsid w:val="005D1EE8"/>
    <w:rsid w:val="005D2E74"/>
    <w:rsid w:val="005D56AE"/>
    <w:rsid w:val="005D666D"/>
    <w:rsid w:val="005E3A59"/>
    <w:rsid w:val="005E764A"/>
    <w:rsid w:val="005F14D4"/>
    <w:rsid w:val="005F1886"/>
    <w:rsid w:val="00604802"/>
    <w:rsid w:val="00615AB0"/>
    <w:rsid w:val="00616247"/>
    <w:rsid w:val="0061778C"/>
    <w:rsid w:val="0063469C"/>
    <w:rsid w:val="00636B90"/>
    <w:rsid w:val="0064738B"/>
    <w:rsid w:val="00647EB2"/>
    <w:rsid w:val="006508EA"/>
    <w:rsid w:val="006518A5"/>
    <w:rsid w:val="006525E0"/>
    <w:rsid w:val="0066297C"/>
    <w:rsid w:val="00667E86"/>
    <w:rsid w:val="0068392D"/>
    <w:rsid w:val="00690983"/>
    <w:rsid w:val="00697DB5"/>
    <w:rsid w:val="006A1B33"/>
    <w:rsid w:val="006A492A"/>
    <w:rsid w:val="006B595C"/>
    <w:rsid w:val="006B5C72"/>
    <w:rsid w:val="006B7C5A"/>
    <w:rsid w:val="006C289D"/>
    <w:rsid w:val="006C346E"/>
    <w:rsid w:val="006D0310"/>
    <w:rsid w:val="006D2009"/>
    <w:rsid w:val="006D5576"/>
    <w:rsid w:val="006E766D"/>
    <w:rsid w:val="006F4B29"/>
    <w:rsid w:val="006F6CE9"/>
    <w:rsid w:val="0070517C"/>
    <w:rsid w:val="00705C9F"/>
    <w:rsid w:val="00707D01"/>
    <w:rsid w:val="00716951"/>
    <w:rsid w:val="00720F6B"/>
    <w:rsid w:val="00722A58"/>
    <w:rsid w:val="00730ADA"/>
    <w:rsid w:val="00732C37"/>
    <w:rsid w:val="00733F05"/>
    <w:rsid w:val="00735D9E"/>
    <w:rsid w:val="00745A09"/>
    <w:rsid w:val="007516A3"/>
    <w:rsid w:val="00751EAF"/>
    <w:rsid w:val="00753BBC"/>
    <w:rsid w:val="00754CF7"/>
    <w:rsid w:val="00757B0D"/>
    <w:rsid w:val="00761320"/>
    <w:rsid w:val="0076444E"/>
    <w:rsid w:val="007651B1"/>
    <w:rsid w:val="007666EB"/>
    <w:rsid w:val="00767CE1"/>
    <w:rsid w:val="00771A68"/>
    <w:rsid w:val="00773339"/>
    <w:rsid w:val="0077343E"/>
    <w:rsid w:val="00773E9F"/>
    <w:rsid w:val="007744D2"/>
    <w:rsid w:val="00781F94"/>
    <w:rsid w:val="00783218"/>
    <w:rsid w:val="00784300"/>
    <w:rsid w:val="00786136"/>
    <w:rsid w:val="007A1CA2"/>
    <w:rsid w:val="007A3A80"/>
    <w:rsid w:val="007A6F6B"/>
    <w:rsid w:val="007B05CF"/>
    <w:rsid w:val="007C212A"/>
    <w:rsid w:val="007C2A7F"/>
    <w:rsid w:val="007C4D04"/>
    <w:rsid w:val="007D5B3C"/>
    <w:rsid w:val="007E237A"/>
    <w:rsid w:val="007E3C10"/>
    <w:rsid w:val="007E7D21"/>
    <w:rsid w:val="007E7DBD"/>
    <w:rsid w:val="007F482F"/>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5B42"/>
    <w:rsid w:val="00842A4E"/>
    <w:rsid w:val="00846D31"/>
    <w:rsid w:val="00847D99"/>
    <w:rsid w:val="0085038E"/>
    <w:rsid w:val="0085230A"/>
    <w:rsid w:val="00853A16"/>
    <w:rsid w:val="00855757"/>
    <w:rsid w:val="00860B9A"/>
    <w:rsid w:val="0086271D"/>
    <w:rsid w:val="0086420B"/>
    <w:rsid w:val="00864DBF"/>
    <w:rsid w:val="00865AE2"/>
    <w:rsid w:val="008663C8"/>
    <w:rsid w:val="0088163A"/>
    <w:rsid w:val="00893376"/>
    <w:rsid w:val="0089601F"/>
    <w:rsid w:val="008970B8"/>
    <w:rsid w:val="008A5623"/>
    <w:rsid w:val="008A7313"/>
    <w:rsid w:val="008A7D91"/>
    <w:rsid w:val="008B7FC7"/>
    <w:rsid w:val="008C4337"/>
    <w:rsid w:val="008C4F06"/>
    <w:rsid w:val="008D0C90"/>
    <w:rsid w:val="008E1E4A"/>
    <w:rsid w:val="008E6CD0"/>
    <w:rsid w:val="008F0615"/>
    <w:rsid w:val="008F103E"/>
    <w:rsid w:val="008F1FDB"/>
    <w:rsid w:val="008F36FB"/>
    <w:rsid w:val="00902EA9"/>
    <w:rsid w:val="0090427F"/>
    <w:rsid w:val="0091680B"/>
    <w:rsid w:val="00920506"/>
    <w:rsid w:val="00931DEB"/>
    <w:rsid w:val="00933957"/>
    <w:rsid w:val="009356FA"/>
    <w:rsid w:val="009364A5"/>
    <w:rsid w:val="00942A77"/>
    <w:rsid w:val="0094603B"/>
    <w:rsid w:val="009504A1"/>
    <w:rsid w:val="00950605"/>
    <w:rsid w:val="00952233"/>
    <w:rsid w:val="00954D66"/>
    <w:rsid w:val="009636B2"/>
    <w:rsid w:val="00963F8F"/>
    <w:rsid w:val="0096537C"/>
    <w:rsid w:val="009653F8"/>
    <w:rsid w:val="00973C62"/>
    <w:rsid w:val="00975D76"/>
    <w:rsid w:val="00982E51"/>
    <w:rsid w:val="009874B9"/>
    <w:rsid w:val="00993581"/>
    <w:rsid w:val="009A288C"/>
    <w:rsid w:val="009A56F5"/>
    <w:rsid w:val="009A64C1"/>
    <w:rsid w:val="009B56B0"/>
    <w:rsid w:val="009B6697"/>
    <w:rsid w:val="009C2B43"/>
    <w:rsid w:val="009C2EA4"/>
    <w:rsid w:val="009C4C04"/>
    <w:rsid w:val="009C74E2"/>
    <w:rsid w:val="009D5213"/>
    <w:rsid w:val="009E1C95"/>
    <w:rsid w:val="009F196A"/>
    <w:rsid w:val="009F296C"/>
    <w:rsid w:val="009F43FA"/>
    <w:rsid w:val="009F47DB"/>
    <w:rsid w:val="009F669B"/>
    <w:rsid w:val="009F7566"/>
    <w:rsid w:val="009F7F18"/>
    <w:rsid w:val="00A02A72"/>
    <w:rsid w:val="00A02CB7"/>
    <w:rsid w:val="00A05DF0"/>
    <w:rsid w:val="00A06BFE"/>
    <w:rsid w:val="00A10F5D"/>
    <w:rsid w:val="00A1199A"/>
    <w:rsid w:val="00A1243C"/>
    <w:rsid w:val="00A135AE"/>
    <w:rsid w:val="00A14AF1"/>
    <w:rsid w:val="00A16891"/>
    <w:rsid w:val="00A268CE"/>
    <w:rsid w:val="00A332E8"/>
    <w:rsid w:val="00A34495"/>
    <w:rsid w:val="00A35AF5"/>
    <w:rsid w:val="00A35DDF"/>
    <w:rsid w:val="00A36CBA"/>
    <w:rsid w:val="00A432CD"/>
    <w:rsid w:val="00A45741"/>
    <w:rsid w:val="00A47EF6"/>
    <w:rsid w:val="00A50291"/>
    <w:rsid w:val="00A51017"/>
    <w:rsid w:val="00A530E4"/>
    <w:rsid w:val="00A604CD"/>
    <w:rsid w:val="00A60FE6"/>
    <w:rsid w:val="00A622F5"/>
    <w:rsid w:val="00A654BE"/>
    <w:rsid w:val="00A657EE"/>
    <w:rsid w:val="00A66DD6"/>
    <w:rsid w:val="00A75018"/>
    <w:rsid w:val="00A75555"/>
    <w:rsid w:val="00A771FD"/>
    <w:rsid w:val="00A776B2"/>
    <w:rsid w:val="00A80767"/>
    <w:rsid w:val="00A81C90"/>
    <w:rsid w:val="00A84B75"/>
    <w:rsid w:val="00A850AB"/>
    <w:rsid w:val="00A874EF"/>
    <w:rsid w:val="00A95415"/>
    <w:rsid w:val="00A975AD"/>
    <w:rsid w:val="00AA3C89"/>
    <w:rsid w:val="00AA71EA"/>
    <w:rsid w:val="00AB32BD"/>
    <w:rsid w:val="00AB4723"/>
    <w:rsid w:val="00AC4CDB"/>
    <w:rsid w:val="00AC70FE"/>
    <w:rsid w:val="00AD2250"/>
    <w:rsid w:val="00AD3AA3"/>
    <w:rsid w:val="00AD4358"/>
    <w:rsid w:val="00AF3049"/>
    <w:rsid w:val="00AF61E1"/>
    <w:rsid w:val="00AF638A"/>
    <w:rsid w:val="00B00141"/>
    <w:rsid w:val="00B009AA"/>
    <w:rsid w:val="00B00ECE"/>
    <w:rsid w:val="00B030C8"/>
    <w:rsid w:val="00B039C0"/>
    <w:rsid w:val="00B03A09"/>
    <w:rsid w:val="00B056E7"/>
    <w:rsid w:val="00B05B71"/>
    <w:rsid w:val="00B10035"/>
    <w:rsid w:val="00B14AC9"/>
    <w:rsid w:val="00B15C76"/>
    <w:rsid w:val="00B165E6"/>
    <w:rsid w:val="00B2103F"/>
    <w:rsid w:val="00B235DB"/>
    <w:rsid w:val="00B25A8D"/>
    <w:rsid w:val="00B424D9"/>
    <w:rsid w:val="00B447C0"/>
    <w:rsid w:val="00B5190B"/>
    <w:rsid w:val="00B52510"/>
    <w:rsid w:val="00B53E53"/>
    <w:rsid w:val="00B548A2"/>
    <w:rsid w:val="00B56934"/>
    <w:rsid w:val="00B62F03"/>
    <w:rsid w:val="00B67202"/>
    <w:rsid w:val="00B72444"/>
    <w:rsid w:val="00B737D1"/>
    <w:rsid w:val="00B75E19"/>
    <w:rsid w:val="00B82A85"/>
    <w:rsid w:val="00B93B62"/>
    <w:rsid w:val="00B953D1"/>
    <w:rsid w:val="00B96D93"/>
    <w:rsid w:val="00BA30D0"/>
    <w:rsid w:val="00BA4856"/>
    <w:rsid w:val="00BB0D32"/>
    <w:rsid w:val="00BB48B2"/>
    <w:rsid w:val="00BC133C"/>
    <w:rsid w:val="00BC27DC"/>
    <w:rsid w:val="00BC76B5"/>
    <w:rsid w:val="00BD5420"/>
    <w:rsid w:val="00BF5191"/>
    <w:rsid w:val="00C04BD2"/>
    <w:rsid w:val="00C13EEC"/>
    <w:rsid w:val="00C14689"/>
    <w:rsid w:val="00C156A4"/>
    <w:rsid w:val="00C20FAA"/>
    <w:rsid w:val="00C23509"/>
    <w:rsid w:val="00C2459D"/>
    <w:rsid w:val="00C2755A"/>
    <w:rsid w:val="00C27D9B"/>
    <w:rsid w:val="00C316F1"/>
    <w:rsid w:val="00C366D8"/>
    <w:rsid w:val="00C42C95"/>
    <w:rsid w:val="00C4470F"/>
    <w:rsid w:val="00C455B6"/>
    <w:rsid w:val="00C50727"/>
    <w:rsid w:val="00C55E5B"/>
    <w:rsid w:val="00C62739"/>
    <w:rsid w:val="00C673F1"/>
    <w:rsid w:val="00C720A4"/>
    <w:rsid w:val="00C74F59"/>
    <w:rsid w:val="00C7611C"/>
    <w:rsid w:val="00C80F80"/>
    <w:rsid w:val="00C835BC"/>
    <w:rsid w:val="00C93932"/>
    <w:rsid w:val="00C94097"/>
    <w:rsid w:val="00C961FD"/>
    <w:rsid w:val="00CA4269"/>
    <w:rsid w:val="00CA48CA"/>
    <w:rsid w:val="00CA7330"/>
    <w:rsid w:val="00CB1C84"/>
    <w:rsid w:val="00CB5363"/>
    <w:rsid w:val="00CB64F0"/>
    <w:rsid w:val="00CC2909"/>
    <w:rsid w:val="00CD0549"/>
    <w:rsid w:val="00CD59F8"/>
    <w:rsid w:val="00CE1348"/>
    <w:rsid w:val="00CE6B3C"/>
    <w:rsid w:val="00CE6B78"/>
    <w:rsid w:val="00CF68C8"/>
    <w:rsid w:val="00D05E6F"/>
    <w:rsid w:val="00D16766"/>
    <w:rsid w:val="00D20296"/>
    <w:rsid w:val="00D2231A"/>
    <w:rsid w:val="00D276BD"/>
    <w:rsid w:val="00D27929"/>
    <w:rsid w:val="00D333E9"/>
    <w:rsid w:val="00D33442"/>
    <w:rsid w:val="00D419C6"/>
    <w:rsid w:val="00D44BAD"/>
    <w:rsid w:val="00D45B55"/>
    <w:rsid w:val="00D4785A"/>
    <w:rsid w:val="00D52E43"/>
    <w:rsid w:val="00D6543C"/>
    <w:rsid w:val="00D664D7"/>
    <w:rsid w:val="00D67E1E"/>
    <w:rsid w:val="00D7097B"/>
    <w:rsid w:val="00D7197D"/>
    <w:rsid w:val="00D72BC4"/>
    <w:rsid w:val="00D815FC"/>
    <w:rsid w:val="00D84885"/>
    <w:rsid w:val="00D8517B"/>
    <w:rsid w:val="00D91DFA"/>
    <w:rsid w:val="00D93267"/>
    <w:rsid w:val="00DA0E5A"/>
    <w:rsid w:val="00DA159A"/>
    <w:rsid w:val="00DA1DCA"/>
    <w:rsid w:val="00DB1AB2"/>
    <w:rsid w:val="00DC17C2"/>
    <w:rsid w:val="00DC4FDF"/>
    <w:rsid w:val="00DC66F0"/>
    <w:rsid w:val="00DD11AA"/>
    <w:rsid w:val="00DD3105"/>
    <w:rsid w:val="00DD3A65"/>
    <w:rsid w:val="00DD62C6"/>
    <w:rsid w:val="00DE3B92"/>
    <w:rsid w:val="00DE48B4"/>
    <w:rsid w:val="00DE5ACA"/>
    <w:rsid w:val="00DE7137"/>
    <w:rsid w:val="00DF18E4"/>
    <w:rsid w:val="00DF1A93"/>
    <w:rsid w:val="00E00498"/>
    <w:rsid w:val="00E00E9A"/>
    <w:rsid w:val="00E01393"/>
    <w:rsid w:val="00E079F8"/>
    <w:rsid w:val="00E1053C"/>
    <w:rsid w:val="00E1464C"/>
    <w:rsid w:val="00E14ADB"/>
    <w:rsid w:val="00E22F78"/>
    <w:rsid w:val="00E2425D"/>
    <w:rsid w:val="00E249AA"/>
    <w:rsid w:val="00E24F87"/>
    <w:rsid w:val="00E2617A"/>
    <w:rsid w:val="00E273FB"/>
    <w:rsid w:val="00E31CD4"/>
    <w:rsid w:val="00E35456"/>
    <w:rsid w:val="00E538E6"/>
    <w:rsid w:val="00E552C8"/>
    <w:rsid w:val="00E56696"/>
    <w:rsid w:val="00E62005"/>
    <w:rsid w:val="00E660F9"/>
    <w:rsid w:val="00E72BAB"/>
    <w:rsid w:val="00E74332"/>
    <w:rsid w:val="00E768A9"/>
    <w:rsid w:val="00E76CD2"/>
    <w:rsid w:val="00E77399"/>
    <w:rsid w:val="00E802A2"/>
    <w:rsid w:val="00E81253"/>
    <w:rsid w:val="00E8410F"/>
    <w:rsid w:val="00E85C0B"/>
    <w:rsid w:val="00EA5BA3"/>
    <w:rsid w:val="00EA7089"/>
    <w:rsid w:val="00EB0ADE"/>
    <w:rsid w:val="00EB13D7"/>
    <w:rsid w:val="00EB1E83"/>
    <w:rsid w:val="00ED22CB"/>
    <w:rsid w:val="00ED4BB1"/>
    <w:rsid w:val="00ED67AF"/>
    <w:rsid w:val="00EE118D"/>
    <w:rsid w:val="00EE11F0"/>
    <w:rsid w:val="00EE128C"/>
    <w:rsid w:val="00EE19E7"/>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5438"/>
    <w:rsid w:val="00F474C9"/>
    <w:rsid w:val="00F5126B"/>
    <w:rsid w:val="00F54EA3"/>
    <w:rsid w:val="00F60102"/>
    <w:rsid w:val="00F61675"/>
    <w:rsid w:val="00F6686B"/>
    <w:rsid w:val="00F6751A"/>
    <w:rsid w:val="00F67F74"/>
    <w:rsid w:val="00F712B3"/>
    <w:rsid w:val="00F71E9F"/>
    <w:rsid w:val="00F73DE3"/>
    <w:rsid w:val="00F744BF"/>
    <w:rsid w:val="00F7632C"/>
    <w:rsid w:val="00F77219"/>
    <w:rsid w:val="00F84DD2"/>
    <w:rsid w:val="00F95439"/>
    <w:rsid w:val="00FA7416"/>
    <w:rsid w:val="00FB0872"/>
    <w:rsid w:val="00FB0BFA"/>
    <w:rsid w:val="00FB3E8A"/>
    <w:rsid w:val="00FB54CC"/>
    <w:rsid w:val="00FB6238"/>
    <w:rsid w:val="00FC10EF"/>
    <w:rsid w:val="00FD10B9"/>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1CC4B"/>
  <w15:docId w15:val="{2275ECF5-D163-49B2-96F1-0A71CBD4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FB6238"/>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FB6238"/>
  </w:style>
  <w:style w:type="character" w:customStyle="1" w:styleId="eop">
    <w:name w:val="eop"/>
    <w:basedOn w:val="DefaultParagraphFont"/>
    <w:rsid w:val="00FB6238"/>
  </w:style>
  <w:style w:type="character" w:customStyle="1" w:styleId="scxw225483759">
    <w:name w:val="scxw225483759"/>
    <w:basedOn w:val="DefaultParagraphFont"/>
    <w:rsid w:val="00FB6238"/>
  </w:style>
  <w:style w:type="character" w:customStyle="1" w:styleId="wacimagecontainer">
    <w:name w:val="wacimagecontainer"/>
    <w:basedOn w:val="DefaultParagraphFont"/>
    <w:rsid w:val="00FB6238"/>
  </w:style>
  <w:style w:type="character" w:customStyle="1" w:styleId="scxw1649113">
    <w:name w:val="scxw1649113"/>
    <w:basedOn w:val="DefaultParagraphFont"/>
    <w:rsid w:val="001E5353"/>
  </w:style>
  <w:style w:type="paragraph" w:styleId="NormalWeb">
    <w:name w:val="Normal (Web)"/>
    <w:basedOn w:val="Normal"/>
    <w:uiPriority w:val="99"/>
    <w:unhideWhenUsed/>
    <w:rsid w:val="00556B48"/>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304">
      <w:bodyDiv w:val="1"/>
      <w:marLeft w:val="0"/>
      <w:marRight w:val="0"/>
      <w:marTop w:val="0"/>
      <w:marBottom w:val="0"/>
      <w:divBdr>
        <w:top w:val="none" w:sz="0" w:space="0" w:color="auto"/>
        <w:left w:val="none" w:sz="0" w:space="0" w:color="auto"/>
        <w:bottom w:val="none" w:sz="0" w:space="0" w:color="auto"/>
        <w:right w:val="none" w:sz="0" w:space="0" w:color="auto"/>
      </w:divBdr>
    </w:div>
    <w:div w:id="210381473">
      <w:bodyDiv w:val="1"/>
      <w:marLeft w:val="0"/>
      <w:marRight w:val="0"/>
      <w:marTop w:val="0"/>
      <w:marBottom w:val="0"/>
      <w:divBdr>
        <w:top w:val="none" w:sz="0" w:space="0" w:color="auto"/>
        <w:left w:val="none" w:sz="0" w:space="0" w:color="auto"/>
        <w:bottom w:val="none" w:sz="0" w:space="0" w:color="auto"/>
        <w:right w:val="none" w:sz="0" w:space="0" w:color="auto"/>
      </w:divBdr>
      <w:divsChild>
        <w:div w:id="74666107">
          <w:marLeft w:val="0"/>
          <w:marRight w:val="0"/>
          <w:marTop w:val="0"/>
          <w:marBottom w:val="0"/>
          <w:divBdr>
            <w:top w:val="none" w:sz="0" w:space="0" w:color="auto"/>
            <w:left w:val="none" w:sz="0" w:space="0" w:color="auto"/>
            <w:bottom w:val="none" w:sz="0" w:space="0" w:color="auto"/>
            <w:right w:val="none" w:sz="0" w:space="0" w:color="auto"/>
          </w:divBdr>
          <w:divsChild>
            <w:div w:id="1880390404">
              <w:marLeft w:val="-75"/>
              <w:marRight w:val="0"/>
              <w:marTop w:val="30"/>
              <w:marBottom w:val="30"/>
              <w:divBdr>
                <w:top w:val="none" w:sz="0" w:space="0" w:color="auto"/>
                <w:left w:val="none" w:sz="0" w:space="0" w:color="auto"/>
                <w:bottom w:val="none" w:sz="0" w:space="0" w:color="auto"/>
                <w:right w:val="none" w:sz="0" w:space="0" w:color="auto"/>
              </w:divBdr>
              <w:divsChild>
                <w:div w:id="869804269">
                  <w:marLeft w:val="0"/>
                  <w:marRight w:val="0"/>
                  <w:marTop w:val="0"/>
                  <w:marBottom w:val="0"/>
                  <w:divBdr>
                    <w:top w:val="none" w:sz="0" w:space="0" w:color="auto"/>
                    <w:left w:val="none" w:sz="0" w:space="0" w:color="auto"/>
                    <w:bottom w:val="none" w:sz="0" w:space="0" w:color="auto"/>
                    <w:right w:val="none" w:sz="0" w:space="0" w:color="auto"/>
                  </w:divBdr>
                  <w:divsChild>
                    <w:div w:id="1420254583">
                      <w:marLeft w:val="0"/>
                      <w:marRight w:val="0"/>
                      <w:marTop w:val="0"/>
                      <w:marBottom w:val="0"/>
                      <w:divBdr>
                        <w:top w:val="none" w:sz="0" w:space="0" w:color="auto"/>
                        <w:left w:val="none" w:sz="0" w:space="0" w:color="auto"/>
                        <w:bottom w:val="none" w:sz="0" w:space="0" w:color="auto"/>
                        <w:right w:val="none" w:sz="0" w:space="0" w:color="auto"/>
                      </w:divBdr>
                    </w:div>
                  </w:divsChild>
                </w:div>
                <w:div w:id="1690718224">
                  <w:marLeft w:val="0"/>
                  <w:marRight w:val="0"/>
                  <w:marTop w:val="0"/>
                  <w:marBottom w:val="0"/>
                  <w:divBdr>
                    <w:top w:val="none" w:sz="0" w:space="0" w:color="auto"/>
                    <w:left w:val="none" w:sz="0" w:space="0" w:color="auto"/>
                    <w:bottom w:val="none" w:sz="0" w:space="0" w:color="auto"/>
                    <w:right w:val="none" w:sz="0" w:space="0" w:color="auto"/>
                  </w:divBdr>
                  <w:divsChild>
                    <w:div w:id="258102556">
                      <w:marLeft w:val="0"/>
                      <w:marRight w:val="0"/>
                      <w:marTop w:val="0"/>
                      <w:marBottom w:val="0"/>
                      <w:divBdr>
                        <w:top w:val="none" w:sz="0" w:space="0" w:color="auto"/>
                        <w:left w:val="none" w:sz="0" w:space="0" w:color="auto"/>
                        <w:bottom w:val="none" w:sz="0" w:space="0" w:color="auto"/>
                        <w:right w:val="none" w:sz="0" w:space="0" w:color="auto"/>
                      </w:divBdr>
                    </w:div>
                    <w:div w:id="944729474">
                      <w:marLeft w:val="0"/>
                      <w:marRight w:val="0"/>
                      <w:marTop w:val="0"/>
                      <w:marBottom w:val="0"/>
                      <w:divBdr>
                        <w:top w:val="none" w:sz="0" w:space="0" w:color="auto"/>
                        <w:left w:val="none" w:sz="0" w:space="0" w:color="auto"/>
                        <w:bottom w:val="none" w:sz="0" w:space="0" w:color="auto"/>
                        <w:right w:val="none" w:sz="0" w:space="0" w:color="auto"/>
                      </w:divBdr>
                    </w:div>
                    <w:div w:id="782964657">
                      <w:marLeft w:val="0"/>
                      <w:marRight w:val="0"/>
                      <w:marTop w:val="0"/>
                      <w:marBottom w:val="0"/>
                      <w:divBdr>
                        <w:top w:val="none" w:sz="0" w:space="0" w:color="auto"/>
                        <w:left w:val="none" w:sz="0" w:space="0" w:color="auto"/>
                        <w:bottom w:val="none" w:sz="0" w:space="0" w:color="auto"/>
                        <w:right w:val="none" w:sz="0" w:space="0" w:color="auto"/>
                      </w:divBdr>
                    </w:div>
                  </w:divsChild>
                </w:div>
                <w:div w:id="580600981">
                  <w:marLeft w:val="0"/>
                  <w:marRight w:val="0"/>
                  <w:marTop w:val="0"/>
                  <w:marBottom w:val="0"/>
                  <w:divBdr>
                    <w:top w:val="none" w:sz="0" w:space="0" w:color="auto"/>
                    <w:left w:val="none" w:sz="0" w:space="0" w:color="auto"/>
                    <w:bottom w:val="none" w:sz="0" w:space="0" w:color="auto"/>
                    <w:right w:val="none" w:sz="0" w:space="0" w:color="auto"/>
                  </w:divBdr>
                  <w:divsChild>
                    <w:div w:id="94634552">
                      <w:marLeft w:val="0"/>
                      <w:marRight w:val="0"/>
                      <w:marTop w:val="0"/>
                      <w:marBottom w:val="0"/>
                      <w:divBdr>
                        <w:top w:val="none" w:sz="0" w:space="0" w:color="auto"/>
                        <w:left w:val="none" w:sz="0" w:space="0" w:color="auto"/>
                        <w:bottom w:val="none" w:sz="0" w:space="0" w:color="auto"/>
                        <w:right w:val="none" w:sz="0" w:space="0" w:color="auto"/>
                      </w:divBdr>
                    </w:div>
                  </w:divsChild>
                </w:div>
                <w:div w:id="2005621513">
                  <w:marLeft w:val="0"/>
                  <w:marRight w:val="0"/>
                  <w:marTop w:val="0"/>
                  <w:marBottom w:val="0"/>
                  <w:divBdr>
                    <w:top w:val="none" w:sz="0" w:space="0" w:color="auto"/>
                    <w:left w:val="none" w:sz="0" w:space="0" w:color="auto"/>
                    <w:bottom w:val="none" w:sz="0" w:space="0" w:color="auto"/>
                    <w:right w:val="none" w:sz="0" w:space="0" w:color="auto"/>
                  </w:divBdr>
                  <w:divsChild>
                    <w:div w:id="583607028">
                      <w:marLeft w:val="0"/>
                      <w:marRight w:val="0"/>
                      <w:marTop w:val="0"/>
                      <w:marBottom w:val="0"/>
                      <w:divBdr>
                        <w:top w:val="none" w:sz="0" w:space="0" w:color="auto"/>
                        <w:left w:val="none" w:sz="0" w:space="0" w:color="auto"/>
                        <w:bottom w:val="none" w:sz="0" w:space="0" w:color="auto"/>
                        <w:right w:val="none" w:sz="0" w:space="0" w:color="auto"/>
                      </w:divBdr>
                    </w:div>
                    <w:div w:id="19332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23205229">
      <w:bodyDiv w:val="1"/>
      <w:marLeft w:val="0"/>
      <w:marRight w:val="0"/>
      <w:marTop w:val="0"/>
      <w:marBottom w:val="0"/>
      <w:divBdr>
        <w:top w:val="none" w:sz="0" w:space="0" w:color="auto"/>
        <w:left w:val="none" w:sz="0" w:space="0" w:color="auto"/>
        <w:bottom w:val="none" w:sz="0" w:space="0" w:color="auto"/>
        <w:right w:val="none" w:sz="0" w:space="0" w:color="auto"/>
      </w:divBdr>
      <w:divsChild>
        <w:div w:id="1665620936">
          <w:marLeft w:val="0"/>
          <w:marRight w:val="0"/>
          <w:marTop w:val="0"/>
          <w:marBottom w:val="0"/>
          <w:divBdr>
            <w:top w:val="none" w:sz="0" w:space="0" w:color="auto"/>
            <w:left w:val="none" w:sz="0" w:space="0" w:color="auto"/>
            <w:bottom w:val="none" w:sz="0" w:space="0" w:color="auto"/>
            <w:right w:val="none" w:sz="0" w:space="0" w:color="auto"/>
          </w:divBdr>
          <w:divsChild>
            <w:div w:id="140469604">
              <w:marLeft w:val="-75"/>
              <w:marRight w:val="0"/>
              <w:marTop w:val="30"/>
              <w:marBottom w:val="30"/>
              <w:divBdr>
                <w:top w:val="none" w:sz="0" w:space="0" w:color="auto"/>
                <w:left w:val="none" w:sz="0" w:space="0" w:color="auto"/>
                <w:bottom w:val="none" w:sz="0" w:space="0" w:color="auto"/>
                <w:right w:val="none" w:sz="0" w:space="0" w:color="auto"/>
              </w:divBdr>
              <w:divsChild>
                <w:div w:id="2001039223">
                  <w:marLeft w:val="0"/>
                  <w:marRight w:val="0"/>
                  <w:marTop w:val="0"/>
                  <w:marBottom w:val="0"/>
                  <w:divBdr>
                    <w:top w:val="none" w:sz="0" w:space="0" w:color="auto"/>
                    <w:left w:val="none" w:sz="0" w:space="0" w:color="auto"/>
                    <w:bottom w:val="none" w:sz="0" w:space="0" w:color="auto"/>
                    <w:right w:val="none" w:sz="0" w:space="0" w:color="auto"/>
                  </w:divBdr>
                  <w:divsChild>
                    <w:div w:id="535970714">
                      <w:marLeft w:val="0"/>
                      <w:marRight w:val="0"/>
                      <w:marTop w:val="0"/>
                      <w:marBottom w:val="0"/>
                      <w:divBdr>
                        <w:top w:val="none" w:sz="0" w:space="0" w:color="auto"/>
                        <w:left w:val="none" w:sz="0" w:space="0" w:color="auto"/>
                        <w:bottom w:val="none" w:sz="0" w:space="0" w:color="auto"/>
                        <w:right w:val="none" w:sz="0" w:space="0" w:color="auto"/>
                      </w:divBdr>
                    </w:div>
                  </w:divsChild>
                </w:div>
                <w:div w:id="400253616">
                  <w:marLeft w:val="0"/>
                  <w:marRight w:val="0"/>
                  <w:marTop w:val="0"/>
                  <w:marBottom w:val="0"/>
                  <w:divBdr>
                    <w:top w:val="none" w:sz="0" w:space="0" w:color="auto"/>
                    <w:left w:val="none" w:sz="0" w:space="0" w:color="auto"/>
                    <w:bottom w:val="none" w:sz="0" w:space="0" w:color="auto"/>
                    <w:right w:val="none" w:sz="0" w:space="0" w:color="auto"/>
                  </w:divBdr>
                  <w:divsChild>
                    <w:div w:id="1292976758">
                      <w:marLeft w:val="0"/>
                      <w:marRight w:val="0"/>
                      <w:marTop w:val="0"/>
                      <w:marBottom w:val="0"/>
                      <w:divBdr>
                        <w:top w:val="none" w:sz="0" w:space="0" w:color="auto"/>
                        <w:left w:val="none" w:sz="0" w:space="0" w:color="auto"/>
                        <w:bottom w:val="none" w:sz="0" w:space="0" w:color="auto"/>
                        <w:right w:val="none" w:sz="0" w:space="0" w:color="auto"/>
                      </w:divBdr>
                    </w:div>
                    <w:div w:id="949362043">
                      <w:marLeft w:val="0"/>
                      <w:marRight w:val="0"/>
                      <w:marTop w:val="0"/>
                      <w:marBottom w:val="0"/>
                      <w:divBdr>
                        <w:top w:val="none" w:sz="0" w:space="0" w:color="auto"/>
                        <w:left w:val="none" w:sz="0" w:space="0" w:color="auto"/>
                        <w:bottom w:val="none" w:sz="0" w:space="0" w:color="auto"/>
                        <w:right w:val="none" w:sz="0" w:space="0" w:color="auto"/>
                      </w:divBdr>
                    </w:div>
                    <w:div w:id="277955649">
                      <w:marLeft w:val="0"/>
                      <w:marRight w:val="0"/>
                      <w:marTop w:val="0"/>
                      <w:marBottom w:val="0"/>
                      <w:divBdr>
                        <w:top w:val="none" w:sz="0" w:space="0" w:color="auto"/>
                        <w:left w:val="none" w:sz="0" w:space="0" w:color="auto"/>
                        <w:bottom w:val="none" w:sz="0" w:space="0" w:color="auto"/>
                        <w:right w:val="none" w:sz="0" w:space="0" w:color="auto"/>
                      </w:divBdr>
                    </w:div>
                  </w:divsChild>
                </w:div>
                <w:div w:id="521632552">
                  <w:marLeft w:val="0"/>
                  <w:marRight w:val="0"/>
                  <w:marTop w:val="0"/>
                  <w:marBottom w:val="0"/>
                  <w:divBdr>
                    <w:top w:val="none" w:sz="0" w:space="0" w:color="auto"/>
                    <w:left w:val="none" w:sz="0" w:space="0" w:color="auto"/>
                    <w:bottom w:val="none" w:sz="0" w:space="0" w:color="auto"/>
                    <w:right w:val="none" w:sz="0" w:space="0" w:color="auto"/>
                  </w:divBdr>
                  <w:divsChild>
                    <w:div w:id="540704664">
                      <w:marLeft w:val="0"/>
                      <w:marRight w:val="0"/>
                      <w:marTop w:val="0"/>
                      <w:marBottom w:val="0"/>
                      <w:divBdr>
                        <w:top w:val="none" w:sz="0" w:space="0" w:color="auto"/>
                        <w:left w:val="none" w:sz="0" w:space="0" w:color="auto"/>
                        <w:bottom w:val="none" w:sz="0" w:space="0" w:color="auto"/>
                        <w:right w:val="none" w:sz="0" w:space="0" w:color="auto"/>
                      </w:divBdr>
                    </w:div>
                  </w:divsChild>
                </w:div>
                <w:div w:id="1862208917">
                  <w:marLeft w:val="0"/>
                  <w:marRight w:val="0"/>
                  <w:marTop w:val="0"/>
                  <w:marBottom w:val="0"/>
                  <w:divBdr>
                    <w:top w:val="none" w:sz="0" w:space="0" w:color="auto"/>
                    <w:left w:val="none" w:sz="0" w:space="0" w:color="auto"/>
                    <w:bottom w:val="none" w:sz="0" w:space="0" w:color="auto"/>
                    <w:right w:val="none" w:sz="0" w:space="0" w:color="auto"/>
                  </w:divBdr>
                  <w:divsChild>
                    <w:div w:id="1369186038">
                      <w:marLeft w:val="0"/>
                      <w:marRight w:val="0"/>
                      <w:marTop w:val="0"/>
                      <w:marBottom w:val="0"/>
                      <w:divBdr>
                        <w:top w:val="none" w:sz="0" w:space="0" w:color="auto"/>
                        <w:left w:val="none" w:sz="0" w:space="0" w:color="auto"/>
                        <w:bottom w:val="none" w:sz="0" w:space="0" w:color="auto"/>
                        <w:right w:val="none" w:sz="0" w:space="0" w:color="auto"/>
                      </w:divBdr>
                    </w:div>
                    <w:div w:id="1277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1332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en/news/wmo-regional-association-vi-europe-convened-high-level-meeting-discuss-future-role-national-meteorological-and-hydrological-servi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wmo.int/en/interview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ommunity.wmo.int/en/activity-areas/regional-office-europ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en/meetings/ra-vi-regional-scientific-forum-uniting-minds-pursuit-knowled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CCE1A-E3A2-4969-AAE9-643A34AEA3F0}">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0C240F99-28A6-4DEE-8C16-451346837019}"/>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95D503C-54D6-413D-811B-F6EC81E6A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19160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Frédérique Julliard</cp:lastModifiedBy>
  <cp:revision>15</cp:revision>
  <cp:lastPrinted>2013-03-12T09:27:00Z</cp:lastPrinted>
  <dcterms:created xsi:type="dcterms:W3CDTF">2024-09-06T07:22:00Z</dcterms:created>
  <dcterms:modified xsi:type="dcterms:W3CDTF">2024-09-06T09:22:00Z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jullien.aurelie</vt:lpwstr>
  </property>
  <property fmtid="{D5CDD505-2E9C-101B-9397-08002B2CF9AE}" pid="6" name="GeneratedDate">
    <vt:lpwstr>09/06/2024 07:38:13</vt:lpwstr>
  </property>
  <property fmtid="{D5CDD505-2E9C-101B-9397-08002B2CF9AE}" pid="7" name="OriginalDocID">
    <vt:lpwstr>c0ed3f87-8ca2-4c6a-8efd-95b156ea5201</vt:lpwstr>
  </property>
</Properties>
</file>