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A29BD" w14:paraId="6415B180" w14:textId="77777777" w:rsidTr="00826D53">
        <w:trPr>
          <w:trHeight w:val="282"/>
        </w:trPr>
        <w:tc>
          <w:tcPr>
            <w:tcW w:w="500" w:type="dxa"/>
            <w:vMerge w:val="restart"/>
            <w:tcBorders>
              <w:bottom w:val="nil"/>
            </w:tcBorders>
            <w:textDirection w:val="btLr"/>
          </w:tcPr>
          <w:p w14:paraId="405BB050" w14:textId="77777777" w:rsidR="00A80767" w:rsidRPr="002A29BD" w:rsidRDefault="00F075C1" w:rsidP="00826D53">
            <w:pPr>
              <w:tabs>
                <w:tab w:val="clear" w:pos="1134"/>
                <w:tab w:val="left" w:pos="6946"/>
              </w:tabs>
              <w:suppressAutoHyphens/>
              <w:spacing w:after="120" w:line="252" w:lineRule="auto"/>
              <w:ind w:left="175" w:right="113"/>
              <w:jc w:val="right"/>
              <w:rPr>
                <w:color w:val="365F91" w:themeColor="accent1" w:themeShade="BF"/>
                <w:sz w:val="12"/>
                <w:szCs w:val="12"/>
                <w:lang w:val="es-419" w:eastAsia="zh-CN"/>
              </w:rPr>
            </w:pPr>
            <w:r w:rsidRPr="002A29BD">
              <w:rPr>
                <w:color w:val="365F91" w:themeColor="accent1" w:themeShade="BF"/>
                <w:sz w:val="10"/>
                <w:szCs w:val="10"/>
                <w:lang w:val="es-419" w:eastAsia="zh-CN"/>
              </w:rPr>
              <w:t>T</w:t>
            </w:r>
            <w:r w:rsidR="002A29BD">
              <w:rPr>
                <w:color w:val="365F91" w:themeColor="accent1" w:themeShade="BF"/>
                <w:sz w:val="10"/>
                <w:szCs w:val="10"/>
                <w:lang w:val="es-419" w:eastAsia="zh-CN"/>
              </w:rPr>
              <w:t>I</w:t>
            </w:r>
            <w:r w:rsidRPr="002A29BD">
              <w:rPr>
                <w:color w:val="365F91" w:themeColor="accent1" w:themeShade="BF"/>
                <w:sz w:val="10"/>
                <w:szCs w:val="10"/>
                <w:lang w:val="es-419" w:eastAsia="zh-CN"/>
              </w:rPr>
              <w:t>EMP</w:t>
            </w:r>
            <w:r w:rsidR="00472D8C" w:rsidRPr="002A29BD">
              <w:rPr>
                <w:color w:val="365F91" w:themeColor="accent1" w:themeShade="BF"/>
                <w:sz w:val="10"/>
                <w:szCs w:val="10"/>
                <w:lang w:val="es-419" w:eastAsia="zh-CN"/>
              </w:rPr>
              <w:t>O</w:t>
            </w:r>
            <w:r w:rsidRPr="002A29BD">
              <w:rPr>
                <w:color w:val="365F91" w:themeColor="accent1" w:themeShade="BF"/>
                <w:sz w:val="10"/>
                <w:szCs w:val="10"/>
                <w:lang w:val="es-419" w:eastAsia="zh-CN"/>
              </w:rPr>
              <w:t xml:space="preserve"> CLIMA </w:t>
            </w:r>
            <w:r w:rsidR="00472D8C" w:rsidRPr="002A29BD">
              <w:rPr>
                <w:color w:val="365F91" w:themeColor="accent1" w:themeShade="BF"/>
                <w:sz w:val="10"/>
                <w:szCs w:val="10"/>
                <w:lang w:val="es-419" w:eastAsia="zh-CN"/>
              </w:rPr>
              <w:t>AGUA</w:t>
            </w:r>
          </w:p>
        </w:tc>
        <w:tc>
          <w:tcPr>
            <w:tcW w:w="6852" w:type="dxa"/>
            <w:vMerge w:val="restart"/>
          </w:tcPr>
          <w:p w14:paraId="1887B30C" w14:textId="77777777" w:rsidR="00A80767" w:rsidRPr="002A29BD" w:rsidRDefault="005E6AA1" w:rsidP="00826D53">
            <w:pPr>
              <w:tabs>
                <w:tab w:val="left" w:pos="6946"/>
              </w:tabs>
              <w:suppressAutoHyphens/>
              <w:spacing w:after="120" w:line="252" w:lineRule="auto"/>
              <w:ind w:left="1134"/>
              <w:jc w:val="left"/>
              <w:rPr>
                <w:rFonts w:cs="Tahoma"/>
                <w:b/>
                <w:bCs/>
                <w:color w:val="365F91" w:themeColor="accent1" w:themeShade="BF"/>
                <w:szCs w:val="22"/>
                <w:lang w:val="es-419"/>
              </w:rPr>
            </w:pPr>
            <w:r w:rsidRPr="002A29BD">
              <w:rPr>
                <w:rFonts w:cs="Tahoma"/>
                <w:b/>
                <w:bCs/>
                <w:color w:val="365F91" w:themeColor="accent1" w:themeShade="BF"/>
                <w:szCs w:val="22"/>
                <w:lang w:val="es-419"/>
              </w:rPr>
              <w:t>Organi</w:t>
            </w:r>
            <w:r w:rsidR="003D423B" w:rsidRPr="002A29BD">
              <w:rPr>
                <w:rFonts w:cs="Tahoma"/>
                <w:b/>
                <w:bCs/>
                <w:color w:val="365F91" w:themeColor="accent1" w:themeShade="BF"/>
                <w:szCs w:val="22"/>
                <w:lang w:val="es-419"/>
              </w:rPr>
              <w:t>zación</w:t>
            </w:r>
            <w:r w:rsidRPr="002A29BD">
              <w:rPr>
                <w:rFonts w:cs="Tahoma"/>
                <w:b/>
                <w:bCs/>
                <w:color w:val="365F91" w:themeColor="accent1" w:themeShade="BF"/>
                <w:szCs w:val="22"/>
                <w:lang w:val="es-419"/>
              </w:rPr>
              <w:t xml:space="preserve"> </w:t>
            </w:r>
            <w:r w:rsidR="00472D8C" w:rsidRPr="002A29BD">
              <w:rPr>
                <w:rFonts w:cs="Tahoma"/>
                <w:b/>
                <w:bCs/>
                <w:color w:val="365F91" w:themeColor="accent1" w:themeShade="BF"/>
                <w:szCs w:val="22"/>
                <w:lang w:val="es-419"/>
              </w:rPr>
              <w:t>M</w:t>
            </w:r>
            <w:r w:rsidR="003D423B" w:rsidRPr="002A29BD">
              <w:rPr>
                <w:rFonts w:cs="Tahoma"/>
                <w:b/>
                <w:bCs/>
                <w:color w:val="365F91" w:themeColor="accent1" w:themeShade="BF"/>
                <w:szCs w:val="22"/>
                <w:lang w:val="es-419"/>
              </w:rPr>
              <w:t xml:space="preserve">eteorológica </w:t>
            </w:r>
            <w:r w:rsidR="00472D8C" w:rsidRPr="002A29BD">
              <w:rPr>
                <w:rFonts w:cs="Tahoma"/>
                <w:b/>
                <w:bCs/>
                <w:color w:val="365F91" w:themeColor="accent1" w:themeShade="BF"/>
                <w:szCs w:val="22"/>
                <w:lang w:val="es-419"/>
              </w:rPr>
              <w:t>M</w:t>
            </w:r>
            <w:r w:rsidR="003D423B" w:rsidRPr="002A29BD">
              <w:rPr>
                <w:rFonts w:cs="Tahoma"/>
                <w:b/>
                <w:bCs/>
                <w:color w:val="365F91" w:themeColor="accent1" w:themeShade="BF"/>
                <w:szCs w:val="22"/>
                <w:lang w:val="es-419"/>
              </w:rPr>
              <w:t>undial</w:t>
            </w:r>
            <w:r w:rsidR="00A80767" w:rsidRPr="002A29BD">
              <w:rPr>
                <w:noProof/>
                <w:color w:val="365F91" w:themeColor="accent1" w:themeShade="BF"/>
                <w:szCs w:val="22"/>
                <w:lang w:val="es-419" w:eastAsia="zh-CN"/>
              </w:rPr>
              <w:drawing>
                <wp:anchor distT="0" distB="0" distL="114300" distR="114300" simplePos="0" relativeHeight="251659264" behindDoc="1" locked="1" layoutInCell="1" allowOverlap="1" wp14:anchorId="3AF53F6A" wp14:editId="6D8E97D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EC9FDD" w14:textId="77777777" w:rsidR="00A80767" w:rsidRPr="002A29BD" w:rsidRDefault="008C11BE" w:rsidP="00826D53">
            <w:pPr>
              <w:tabs>
                <w:tab w:val="left" w:pos="6946"/>
              </w:tabs>
              <w:suppressAutoHyphens/>
              <w:spacing w:after="120" w:line="252" w:lineRule="auto"/>
              <w:ind w:left="1134"/>
              <w:jc w:val="left"/>
              <w:rPr>
                <w:rFonts w:cs="Tahoma"/>
                <w:b/>
                <w:color w:val="365F91" w:themeColor="accent1" w:themeShade="BF"/>
                <w:spacing w:val="-2"/>
                <w:szCs w:val="22"/>
                <w:lang w:val="es-419"/>
              </w:rPr>
            </w:pPr>
            <w:r w:rsidRPr="002A29BD">
              <w:rPr>
                <w:rFonts w:cs="Tahoma"/>
                <w:b/>
                <w:color w:val="365F91" w:themeColor="accent1" w:themeShade="BF"/>
                <w:spacing w:val="-2"/>
                <w:szCs w:val="22"/>
                <w:lang w:val="es-419"/>
              </w:rPr>
              <w:t>ASOCIACIÓN REGIONAL</w:t>
            </w:r>
            <w:r w:rsidR="00BF2233" w:rsidRPr="002A29BD">
              <w:rPr>
                <w:rFonts w:cs="Tahoma"/>
                <w:b/>
                <w:color w:val="365F91" w:themeColor="accent1" w:themeShade="BF"/>
                <w:spacing w:val="-2"/>
                <w:szCs w:val="22"/>
                <w:lang w:val="es-419"/>
              </w:rPr>
              <w:t xml:space="preserve"> </w:t>
            </w:r>
            <w:r w:rsidR="00B24C31" w:rsidRPr="002A29BD">
              <w:rPr>
                <w:rFonts w:cs="Tahoma"/>
                <w:b/>
                <w:color w:val="365F91" w:themeColor="accent1" w:themeShade="BF"/>
                <w:spacing w:val="-2"/>
                <w:szCs w:val="22"/>
                <w:lang w:val="es-419"/>
              </w:rPr>
              <w:t>V</w:t>
            </w:r>
            <w:r w:rsidR="00FD0351" w:rsidRPr="002A29BD">
              <w:rPr>
                <w:rFonts w:cs="Tahoma"/>
                <w:b/>
                <w:color w:val="365F91" w:themeColor="accent1" w:themeShade="BF"/>
                <w:spacing w:val="-2"/>
                <w:szCs w:val="22"/>
                <w:lang w:val="es-419"/>
              </w:rPr>
              <w:t>I (</w:t>
            </w:r>
            <w:r w:rsidR="00B24C31" w:rsidRPr="002A29BD">
              <w:rPr>
                <w:rFonts w:cs="Tahoma"/>
                <w:b/>
                <w:color w:val="365F91" w:themeColor="accent1" w:themeShade="BF"/>
                <w:spacing w:val="-2"/>
                <w:szCs w:val="22"/>
                <w:lang w:val="es-419"/>
              </w:rPr>
              <w:t>EUROPA</w:t>
            </w:r>
            <w:r w:rsidR="00FD0351" w:rsidRPr="002A29BD">
              <w:rPr>
                <w:rFonts w:cs="Tahoma"/>
                <w:b/>
                <w:color w:val="365F91" w:themeColor="accent1" w:themeShade="BF"/>
                <w:spacing w:val="-2"/>
                <w:szCs w:val="22"/>
                <w:lang w:val="es-419"/>
              </w:rPr>
              <w:t>)</w:t>
            </w:r>
          </w:p>
          <w:p w14:paraId="18BDA639" w14:textId="77777777" w:rsidR="00A80767" w:rsidRPr="002A29BD" w:rsidRDefault="00751667" w:rsidP="00826D53">
            <w:pPr>
              <w:tabs>
                <w:tab w:val="left" w:pos="6946"/>
              </w:tabs>
              <w:suppressAutoHyphens/>
              <w:spacing w:after="120" w:line="252" w:lineRule="auto"/>
              <w:ind w:left="1134"/>
              <w:jc w:val="left"/>
              <w:rPr>
                <w:rFonts w:cs="Tahoma"/>
                <w:b/>
                <w:bCs/>
                <w:color w:val="365F91" w:themeColor="accent1" w:themeShade="BF"/>
                <w:szCs w:val="22"/>
                <w:lang w:val="es-419"/>
              </w:rPr>
            </w:pPr>
            <w:r w:rsidRPr="002A29BD">
              <w:rPr>
                <w:rFonts w:cstheme="minorBidi"/>
                <w:b/>
                <w:snapToGrid w:val="0"/>
                <w:color w:val="365F91" w:themeColor="accent1" w:themeShade="BF"/>
                <w:szCs w:val="22"/>
                <w:lang w:val="es-419"/>
              </w:rPr>
              <w:t>D</w:t>
            </w:r>
            <w:r w:rsidR="00BF2233" w:rsidRPr="002A29BD">
              <w:rPr>
                <w:rFonts w:cstheme="minorBidi"/>
                <w:b/>
                <w:snapToGrid w:val="0"/>
                <w:color w:val="365F91" w:themeColor="accent1" w:themeShade="BF"/>
                <w:szCs w:val="22"/>
                <w:lang w:val="es-419"/>
              </w:rPr>
              <w:t>ecimonovena reunión</w:t>
            </w:r>
            <w:r w:rsidR="00EA6A2D" w:rsidRPr="002A29BD">
              <w:rPr>
                <w:rFonts w:cstheme="minorBidi"/>
                <w:b/>
                <w:snapToGrid w:val="0"/>
                <w:color w:val="365F91" w:themeColor="accent1" w:themeShade="BF"/>
                <w:szCs w:val="22"/>
                <w:lang w:val="es-419"/>
              </w:rPr>
              <w:t xml:space="preserve"> (</w:t>
            </w:r>
            <w:r w:rsidR="008C11BE" w:rsidRPr="002A29BD">
              <w:rPr>
                <w:rFonts w:cstheme="minorBidi"/>
                <w:b/>
                <w:snapToGrid w:val="0"/>
                <w:color w:val="365F91" w:themeColor="accent1" w:themeShade="BF"/>
                <w:szCs w:val="22"/>
                <w:lang w:val="es-419"/>
              </w:rPr>
              <w:t xml:space="preserve">primera </w:t>
            </w:r>
            <w:r w:rsidR="00BF2233" w:rsidRPr="002A29BD">
              <w:rPr>
                <w:rFonts w:cstheme="minorBidi"/>
                <w:b/>
                <w:snapToGrid w:val="0"/>
                <w:color w:val="365F91" w:themeColor="accent1" w:themeShade="BF"/>
                <w:szCs w:val="22"/>
                <w:lang w:val="es-419"/>
              </w:rPr>
              <w:t>fa</w:t>
            </w:r>
            <w:r w:rsidR="00EA6A2D" w:rsidRPr="002A29BD">
              <w:rPr>
                <w:rFonts w:cstheme="minorBidi"/>
                <w:b/>
                <w:snapToGrid w:val="0"/>
                <w:color w:val="365F91" w:themeColor="accent1" w:themeShade="BF"/>
                <w:szCs w:val="22"/>
                <w:lang w:val="es-419"/>
              </w:rPr>
              <w:t>se)</w:t>
            </w:r>
            <w:r w:rsidR="00A80767" w:rsidRPr="002A29BD">
              <w:rPr>
                <w:rFonts w:cstheme="minorBidi"/>
                <w:b/>
                <w:snapToGrid w:val="0"/>
                <w:color w:val="365F91" w:themeColor="accent1" w:themeShade="BF"/>
                <w:szCs w:val="22"/>
                <w:lang w:val="es-419"/>
              </w:rPr>
              <w:br/>
            </w:r>
            <w:r w:rsidR="008C11BE" w:rsidRPr="002A29BD">
              <w:rPr>
                <w:snapToGrid w:val="0"/>
                <w:color w:val="365F91" w:themeColor="accent1" w:themeShade="BF"/>
                <w:szCs w:val="22"/>
                <w:lang w:val="es-419"/>
              </w:rPr>
              <w:t xml:space="preserve">Reunión virtual, </w:t>
            </w:r>
            <w:r w:rsidR="00FC2996" w:rsidRPr="002A29BD">
              <w:rPr>
                <w:snapToGrid w:val="0"/>
                <w:color w:val="365F91" w:themeColor="accent1" w:themeShade="BF"/>
                <w:szCs w:val="22"/>
                <w:lang w:val="es-419"/>
              </w:rPr>
              <w:t>1</w:t>
            </w:r>
            <w:r w:rsidR="00B24C31" w:rsidRPr="002A29BD">
              <w:rPr>
                <w:snapToGrid w:val="0"/>
                <w:color w:val="365F91" w:themeColor="accent1" w:themeShade="BF"/>
                <w:szCs w:val="22"/>
                <w:lang w:val="es-419"/>
              </w:rPr>
              <w:t>5</w:t>
            </w:r>
            <w:r w:rsidR="00BF2233" w:rsidRPr="002A29BD">
              <w:rPr>
                <w:snapToGrid w:val="0"/>
                <w:color w:val="365F91" w:themeColor="accent1" w:themeShade="BF"/>
                <w:szCs w:val="22"/>
                <w:lang w:val="es-419"/>
              </w:rPr>
              <w:t xml:space="preserve"> </w:t>
            </w:r>
            <w:r w:rsidR="00B24C31" w:rsidRPr="002A29BD">
              <w:rPr>
                <w:snapToGrid w:val="0"/>
                <w:color w:val="365F91" w:themeColor="accent1" w:themeShade="BF"/>
                <w:szCs w:val="22"/>
                <w:lang w:val="es-419"/>
              </w:rPr>
              <w:t>y</w:t>
            </w:r>
            <w:r w:rsidR="00BF2233" w:rsidRPr="002A29BD">
              <w:rPr>
                <w:snapToGrid w:val="0"/>
                <w:color w:val="365F91" w:themeColor="accent1" w:themeShade="BF"/>
                <w:szCs w:val="22"/>
                <w:lang w:val="es-419"/>
              </w:rPr>
              <w:t xml:space="preserve"> </w:t>
            </w:r>
            <w:r w:rsidR="00FC2996" w:rsidRPr="002A29BD">
              <w:rPr>
                <w:snapToGrid w:val="0"/>
                <w:color w:val="365F91" w:themeColor="accent1" w:themeShade="BF"/>
                <w:szCs w:val="22"/>
                <w:lang w:val="es-419"/>
              </w:rPr>
              <w:t>1</w:t>
            </w:r>
            <w:r w:rsidR="00B24C31" w:rsidRPr="002A29BD">
              <w:rPr>
                <w:snapToGrid w:val="0"/>
                <w:color w:val="365F91" w:themeColor="accent1" w:themeShade="BF"/>
                <w:szCs w:val="22"/>
                <w:lang w:val="es-419"/>
              </w:rPr>
              <w:t>6</w:t>
            </w:r>
            <w:r w:rsidR="00FC2996" w:rsidRPr="002A29BD">
              <w:rPr>
                <w:snapToGrid w:val="0"/>
                <w:color w:val="365F91" w:themeColor="accent1" w:themeShade="BF"/>
                <w:szCs w:val="22"/>
                <w:lang w:val="es-419"/>
              </w:rPr>
              <w:t xml:space="preserve"> </w:t>
            </w:r>
            <w:r w:rsidR="00BF2233" w:rsidRPr="002A29BD">
              <w:rPr>
                <w:snapToGrid w:val="0"/>
                <w:color w:val="365F91" w:themeColor="accent1" w:themeShade="BF"/>
                <w:szCs w:val="22"/>
                <w:lang w:val="es-419"/>
              </w:rPr>
              <w:t xml:space="preserve">de </w:t>
            </w:r>
            <w:r w:rsidR="00B24C31" w:rsidRPr="002A29BD">
              <w:rPr>
                <w:snapToGrid w:val="0"/>
                <w:color w:val="365F91" w:themeColor="accent1" w:themeShade="BF"/>
                <w:szCs w:val="22"/>
                <w:lang w:val="es-419"/>
              </w:rPr>
              <w:t xml:space="preserve">octubre de </w:t>
            </w:r>
            <w:r w:rsidR="00EA6A2D" w:rsidRPr="002A29BD">
              <w:rPr>
                <w:snapToGrid w:val="0"/>
                <w:color w:val="365F91" w:themeColor="accent1" w:themeShade="BF"/>
                <w:szCs w:val="22"/>
                <w:lang w:val="es-419"/>
              </w:rPr>
              <w:t>2024</w:t>
            </w:r>
          </w:p>
        </w:tc>
        <w:tc>
          <w:tcPr>
            <w:tcW w:w="2962" w:type="dxa"/>
          </w:tcPr>
          <w:p w14:paraId="3E9E9061" w14:textId="7392CF22" w:rsidR="00A80767" w:rsidRPr="00490076" w:rsidRDefault="0069167A" w:rsidP="00826D53">
            <w:pPr>
              <w:tabs>
                <w:tab w:val="clear" w:pos="1134"/>
              </w:tabs>
              <w:spacing w:after="60"/>
              <w:ind w:right="-108"/>
              <w:jc w:val="right"/>
              <w:rPr>
                <w:rFonts w:cs="Tahoma"/>
                <w:b/>
                <w:bCs/>
                <w:color w:val="365F91" w:themeColor="accent1" w:themeShade="BF"/>
                <w:szCs w:val="22"/>
                <w:lang w:val="en-US"/>
              </w:rPr>
            </w:pPr>
            <w:r w:rsidRPr="00490076">
              <w:rPr>
                <w:rFonts w:cs="Tahoma"/>
                <w:b/>
                <w:bCs/>
                <w:color w:val="365F91" w:themeColor="accent1" w:themeShade="BF"/>
                <w:szCs w:val="22"/>
                <w:lang w:val="en-US"/>
              </w:rPr>
              <w:t>AR</w:t>
            </w:r>
            <w:r w:rsidR="00FC2996" w:rsidRPr="00490076">
              <w:rPr>
                <w:rFonts w:cs="Tahoma"/>
                <w:b/>
                <w:bCs/>
                <w:color w:val="365F91" w:themeColor="accent1" w:themeShade="BF"/>
                <w:szCs w:val="22"/>
                <w:lang w:val="en-US"/>
              </w:rPr>
              <w:t xml:space="preserve"> </w:t>
            </w:r>
            <w:r w:rsidR="00B24C31" w:rsidRPr="00490076">
              <w:rPr>
                <w:rFonts w:cs="Tahoma"/>
                <w:b/>
                <w:bCs/>
                <w:color w:val="365F91" w:themeColor="accent1" w:themeShade="BF"/>
                <w:szCs w:val="22"/>
                <w:lang w:val="en-US"/>
              </w:rPr>
              <w:t>V</w:t>
            </w:r>
            <w:r w:rsidR="00FC2996" w:rsidRPr="00490076">
              <w:rPr>
                <w:rFonts w:cs="Tahoma"/>
                <w:b/>
                <w:bCs/>
                <w:color w:val="365F91" w:themeColor="accent1" w:themeShade="BF"/>
                <w:szCs w:val="22"/>
                <w:lang w:val="en-US"/>
              </w:rPr>
              <w:t>I</w:t>
            </w:r>
            <w:r w:rsidR="002A29BD" w:rsidRPr="00490076">
              <w:rPr>
                <w:rFonts w:cs="Tahoma"/>
                <w:b/>
                <w:bCs/>
                <w:color w:val="365F91" w:themeColor="accent1" w:themeShade="BF"/>
                <w:szCs w:val="22"/>
                <w:lang w:val="en-US"/>
              </w:rPr>
              <w:t>-</w:t>
            </w:r>
            <w:r w:rsidR="00FC2996" w:rsidRPr="00490076">
              <w:rPr>
                <w:rFonts w:cs="Tahoma"/>
                <w:b/>
                <w:bCs/>
                <w:color w:val="365F91" w:themeColor="accent1" w:themeShade="BF"/>
                <w:szCs w:val="22"/>
                <w:lang w:val="en-US"/>
              </w:rPr>
              <w:t>1</w:t>
            </w:r>
            <w:r w:rsidR="00EA6A2D" w:rsidRPr="00490076">
              <w:rPr>
                <w:rFonts w:cs="Tahoma"/>
                <w:b/>
                <w:bCs/>
                <w:color w:val="365F91" w:themeColor="accent1" w:themeShade="BF"/>
                <w:szCs w:val="22"/>
                <w:lang w:val="en-US"/>
              </w:rPr>
              <w:t>9(I)</w:t>
            </w:r>
            <w:r w:rsidR="00FC2996" w:rsidRPr="00490076">
              <w:rPr>
                <w:rFonts w:cs="Tahoma"/>
                <w:b/>
                <w:bCs/>
                <w:color w:val="365F91" w:themeColor="accent1" w:themeShade="BF"/>
                <w:szCs w:val="22"/>
                <w:lang w:val="en-US"/>
              </w:rPr>
              <w:t>/</w:t>
            </w:r>
            <w:r w:rsidR="00490076">
              <w:rPr>
                <w:rFonts w:cs="Tahoma"/>
                <w:b/>
                <w:bCs/>
                <w:color w:val="365F91" w:themeColor="accent1" w:themeShade="BF"/>
                <w:szCs w:val="22"/>
                <w:lang w:val="en-US"/>
              </w:rPr>
              <w:t>INF</w:t>
            </w:r>
            <w:r w:rsidR="00FC2996" w:rsidRPr="00490076">
              <w:rPr>
                <w:rFonts w:cs="Tahoma"/>
                <w:b/>
                <w:bCs/>
                <w:color w:val="365F91" w:themeColor="accent1" w:themeShade="BF"/>
                <w:szCs w:val="22"/>
                <w:lang w:val="en-US"/>
              </w:rPr>
              <w:t xml:space="preserve">. </w:t>
            </w:r>
            <w:r w:rsidR="00490076">
              <w:rPr>
                <w:rFonts w:cs="Tahoma"/>
                <w:b/>
                <w:bCs/>
                <w:color w:val="365F91" w:themeColor="accent1" w:themeShade="BF"/>
                <w:szCs w:val="22"/>
                <w:lang w:val="en-US"/>
              </w:rPr>
              <w:t>2.2(1)</w:t>
            </w:r>
          </w:p>
        </w:tc>
      </w:tr>
      <w:tr w:rsidR="00A80767" w:rsidRPr="002A29BD" w14:paraId="742218F5" w14:textId="77777777" w:rsidTr="00826D53">
        <w:trPr>
          <w:trHeight w:val="730"/>
        </w:trPr>
        <w:tc>
          <w:tcPr>
            <w:tcW w:w="500" w:type="dxa"/>
            <w:vMerge/>
            <w:tcBorders>
              <w:bottom w:val="nil"/>
            </w:tcBorders>
          </w:tcPr>
          <w:p w14:paraId="2F477AA8" w14:textId="77777777" w:rsidR="00A80767" w:rsidRPr="00490076" w:rsidRDefault="00A80767" w:rsidP="00826D53">
            <w:pPr>
              <w:tabs>
                <w:tab w:val="left" w:pos="6946"/>
              </w:tabs>
              <w:suppressAutoHyphens/>
              <w:spacing w:after="120" w:line="252" w:lineRule="auto"/>
              <w:ind w:left="1134"/>
              <w:jc w:val="left"/>
              <w:rPr>
                <w:color w:val="365F91" w:themeColor="accent1" w:themeShade="BF"/>
                <w:szCs w:val="22"/>
                <w:lang w:val="en-US" w:eastAsia="zh-CN"/>
              </w:rPr>
            </w:pPr>
          </w:p>
        </w:tc>
        <w:tc>
          <w:tcPr>
            <w:tcW w:w="6852" w:type="dxa"/>
            <w:vMerge/>
          </w:tcPr>
          <w:p w14:paraId="64393BDF" w14:textId="77777777" w:rsidR="00A80767" w:rsidRPr="00490076" w:rsidRDefault="00A80767" w:rsidP="00826D53">
            <w:pPr>
              <w:tabs>
                <w:tab w:val="left" w:pos="6946"/>
              </w:tabs>
              <w:suppressAutoHyphens/>
              <w:spacing w:after="120" w:line="252" w:lineRule="auto"/>
              <w:ind w:left="1134"/>
              <w:jc w:val="left"/>
              <w:rPr>
                <w:color w:val="365F91" w:themeColor="accent1" w:themeShade="BF"/>
                <w:szCs w:val="22"/>
                <w:lang w:val="en-US" w:eastAsia="zh-CN"/>
              </w:rPr>
            </w:pPr>
          </w:p>
        </w:tc>
        <w:tc>
          <w:tcPr>
            <w:tcW w:w="2962" w:type="dxa"/>
          </w:tcPr>
          <w:p w14:paraId="02BAC6BD" w14:textId="77777777" w:rsidR="00A80767" w:rsidRPr="00490076" w:rsidRDefault="00347201" w:rsidP="00826D53">
            <w:pPr>
              <w:tabs>
                <w:tab w:val="clear" w:pos="1134"/>
              </w:tabs>
              <w:spacing w:before="120" w:after="60"/>
              <w:ind w:right="-108"/>
              <w:jc w:val="right"/>
              <w:rPr>
                <w:rFonts w:cs="Tahoma"/>
                <w:color w:val="365F91" w:themeColor="accent1" w:themeShade="BF"/>
                <w:szCs w:val="22"/>
                <w:lang w:val="es-419"/>
              </w:rPr>
            </w:pPr>
            <w:r w:rsidRPr="00490076">
              <w:rPr>
                <w:rFonts w:cs="Tahoma"/>
                <w:color w:val="365F91" w:themeColor="accent1" w:themeShade="BF"/>
                <w:szCs w:val="22"/>
                <w:lang w:val="es-419"/>
              </w:rPr>
              <w:t>Pr</w:t>
            </w:r>
            <w:r w:rsidR="00BF2233" w:rsidRPr="00490076">
              <w:rPr>
                <w:rFonts w:cs="Tahoma"/>
                <w:color w:val="365F91" w:themeColor="accent1" w:themeShade="BF"/>
                <w:szCs w:val="22"/>
                <w:lang w:val="es-419"/>
              </w:rPr>
              <w:t>esentado por</w:t>
            </w:r>
            <w:r w:rsidRPr="00490076">
              <w:rPr>
                <w:rFonts w:cs="Tahoma"/>
                <w:color w:val="365F91" w:themeColor="accent1" w:themeShade="BF"/>
                <w:szCs w:val="22"/>
                <w:lang w:val="es-419"/>
              </w:rPr>
              <w:t>:</w:t>
            </w:r>
            <w:r w:rsidR="00A80767" w:rsidRPr="00490076">
              <w:rPr>
                <w:rFonts w:cs="Tahoma"/>
                <w:color w:val="365F91" w:themeColor="accent1" w:themeShade="BF"/>
                <w:szCs w:val="22"/>
                <w:lang w:val="es-419"/>
              </w:rPr>
              <w:br/>
            </w:r>
            <w:r w:rsidR="00B24C31" w:rsidRPr="00490076">
              <w:rPr>
                <w:rFonts w:cs="Tahoma"/>
                <w:color w:val="365F91" w:themeColor="accent1" w:themeShade="BF"/>
                <w:szCs w:val="22"/>
                <w:lang w:val="es-419"/>
              </w:rPr>
              <w:t>presidenta de la AR VI</w:t>
            </w:r>
          </w:p>
          <w:p w14:paraId="5266E347" w14:textId="20E84048" w:rsidR="00A80767" w:rsidRPr="002A29BD" w:rsidRDefault="00490076" w:rsidP="00826D53">
            <w:pPr>
              <w:tabs>
                <w:tab w:val="clear" w:pos="1134"/>
              </w:tabs>
              <w:spacing w:before="120" w:after="60"/>
              <w:ind w:right="-108"/>
              <w:jc w:val="right"/>
              <w:rPr>
                <w:rFonts w:cs="Tahoma"/>
                <w:color w:val="365F91" w:themeColor="accent1" w:themeShade="BF"/>
                <w:szCs w:val="22"/>
                <w:highlight w:val="lightGray"/>
                <w:lang w:val="es-419"/>
              </w:rPr>
            </w:pPr>
            <w:r w:rsidRPr="00490076">
              <w:rPr>
                <w:rFonts w:cs="Tahoma"/>
                <w:color w:val="365F91" w:themeColor="accent1" w:themeShade="BF"/>
                <w:szCs w:val="22"/>
                <w:lang w:val="es-419"/>
              </w:rPr>
              <w:t>4</w:t>
            </w:r>
            <w:r w:rsidR="00FC2996" w:rsidRPr="00490076">
              <w:rPr>
                <w:rFonts w:cs="Tahoma"/>
                <w:color w:val="365F91" w:themeColor="accent1" w:themeShade="BF"/>
                <w:szCs w:val="22"/>
                <w:lang w:val="es-419"/>
              </w:rPr>
              <w:t>.</w:t>
            </w:r>
            <w:r w:rsidRPr="00490076">
              <w:rPr>
                <w:rFonts w:cs="Tahoma"/>
                <w:color w:val="365F91" w:themeColor="accent1" w:themeShade="BF"/>
                <w:szCs w:val="22"/>
                <w:lang w:val="es-419"/>
              </w:rPr>
              <w:t>I</w:t>
            </w:r>
            <w:r w:rsidR="00740EE4" w:rsidRPr="00490076">
              <w:rPr>
                <w:rFonts w:cs="Tahoma"/>
                <w:color w:val="365F91" w:themeColor="accent1" w:themeShade="BF"/>
                <w:szCs w:val="22"/>
                <w:lang w:val="es-419"/>
              </w:rPr>
              <w:t>X</w:t>
            </w:r>
            <w:r w:rsidR="00FC2996" w:rsidRPr="00490076">
              <w:rPr>
                <w:rFonts w:cs="Tahoma"/>
                <w:color w:val="365F91" w:themeColor="accent1" w:themeShade="BF"/>
                <w:szCs w:val="22"/>
                <w:lang w:val="es-419"/>
              </w:rPr>
              <w:t>.202</w:t>
            </w:r>
            <w:r w:rsidR="00EA6A2D" w:rsidRPr="00490076">
              <w:rPr>
                <w:rFonts w:cs="Tahoma"/>
                <w:color w:val="365F91" w:themeColor="accent1" w:themeShade="BF"/>
                <w:szCs w:val="22"/>
                <w:lang w:val="es-419"/>
              </w:rPr>
              <w:t>4</w:t>
            </w:r>
          </w:p>
          <w:p w14:paraId="5029F17D" w14:textId="77777777" w:rsidR="00A80767" w:rsidRPr="002A29BD" w:rsidRDefault="00740EE4" w:rsidP="00826D53">
            <w:pPr>
              <w:tabs>
                <w:tab w:val="clear" w:pos="1134"/>
              </w:tabs>
              <w:spacing w:before="120" w:after="60"/>
              <w:ind w:right="-108"/>
              <w:jc w:val="right"/>
              <w:rPr>
                <w:rFonts w:cs="Tahoma"/>
                <w:b/>
                <w:bCs/>
                <w:color w:val="365F91" w:themeColor="accent1" w:themeShade="BF"/>
                <w:szCs w:val="22"/>
                <w:highlight w:val="lightGray"/>
                <w:lang w:val="es-419"/>
              </w:rPr>
            </w:pPr>
            <w:r w:rsidRPr="002A29BD">
              <w:rPr>
                <w:rFonts w:cs="Tahoma"/>
                <w:b/>
                <w:bCs/>
                <w:color w:val="365F91" w:themeColor="accent1" w:themeShade="BF"/>
                <w:szCs w:val="22"/>
                <w:lang w:val="es-419"/>
              </w:rPr>
              <w:t>VERSI</w:t>
            </w:r>
            <w:r w:rsidR="002A29BD" w:rsidRPr="002A29BD">
              <w:rPr>
                <w:rFonts w:cs="Tahoma"/>
                <w:b/>
                <w:bCs/>
                <w:color w:val="365F91" w:themeColor="accent1" w:themeShade="BF"/>
                <w:szCs w:val="22"/>
                <w:lang w:val="es-419"/>
              </w:rPr>
              <w:t>Ó</w:t>
            </w:r>
            <w:r w:rsidRPr="002A29BD">
              <w:rPr>
                <w:rFonts w:cs="Tahoma"/>
                <w:b/>
                <w:bCs/>
                <w:color w:val="365F91" w:themeColor="accent1" w:themeShade="BF"/>
                <w:szCs w:val="22"/>
                <w:lang w:val="es-419"/>
              </w:rPr>
              <w:t>N</w:t>
            </w:r>
            <w:r w:rsidR="00A80767" w:rsidRPr="002A29BD">
              <w:rPr>
                <w:rFonts w:cs="Tahoma"/>
                <w:b/>
                <w:bCs/>
                <w:color w:val="365F91" w:themeColor="accent1" w:themeShade="BF"/>
                <w:szCs w:val="22"/>
                <w:lang w:val="es-419"/>
              </w:rPr>
              <w:t xml:space="preserve"> 1</w:t>
            </w:r>
          </w:p>
        </w:tc>
      </w:tr>
    </w:tbl>
    <w:p w14:paraId="62A9AB9D" w14:textId="77777777" w:rsidR="00490076" w:rsidRDefault="00490076" w:rsidP="00490076">
      <w:pPr>
        <w:rPr>
          <w:rFonts w:ascii="Calibri" w:hAnsi="Calibri" w:cs="Calibri"/>
          <w:i/>
          <w:iCs/>
          <w:color w:val="FF0000"/>
          <w:lang w:val="es-ES"/>
        </w:rPr>
      </w:pPr>
      <w:bookmarkStart w:id="0" w:name="_APPENDIX_A:_"/>
      <w:bookmarkEnd w:id="0"/>
      <w:r>
        <w:rPr>
          <w:rFonts w:ascii="Calibri" w:eastAsia="Calibri" w:hAnsi="Calibri" w:cs="Calibri"/>
          <w:i/>
          <w:iCs/>
          <w:color w:val="FF0000"/>
          <w:sz w:val="22"/>
          <w:szCs w:val="22"/>
          <w:lang w:val="es-ES"/>
        </w:rPr>
        <w:t xml:space="preserve">[El presente documento ha sido traducido para su comodidad empleando tecnologías de traducción automática sin </w:t>
      </w:r>
      <w:proofErr w:type="spellStart"/>
      <w:r>
        <w:rPr>
          <w:rFonts w:ascii="Calibri" w:eastAsia="Calibri" w:hAnsi="Calibri" w:cs="Calibri"/>
          <w:i/>
          <w:iCs/>
          <w:color w:val="FF0000"/>
          <w:sz w:val="22"/>
          <w:szCs w:val="22"/>
          <w:lang w:val="es-ES"/>
        </w:rPr>
        <w:t>posedición</w:t>
      </w:r>
      <w:proofErr w:type="spellEnd"/>
      <w:r>
        <w:rPr>
          <w:rFonts w:ascii="Calibri" w:eastAsia="Calibri" w:hAnsi="Calibri" w:cs="Calibri"/>
          <w:i/>
          <w:iCs/>
          <w:color w:val="FF0000"/>
          <w:sz w:val="22"/>
          <w:szCs w:val="22"/>
          <w:lang w:val="es-ES"/>
        </w:rPr>
        <w:t xml:space="preserve">. </w:t>
      </w:r>
      <w:r>
        <w:rPr>
          <w:i/>
          <w:iCs/>
          <w:color w:val="FF0000"/>
          <w:lang w:val="es-ES"/>
        </w:rPr>
        <w:t>No se garantiza en modo alguno, ni de forma expresa ni implícita, su exactitud, fiabilidad o corrección. Toda discrepancia o diferencia que pudiera deberse a la traducción del contenido del documento original al español no será vinculante y no conllevará ninguna consecuencia jurídica a efectos de cumplimiento o aplicación, entre otros. Tenga en cuenta que determinados contenidos, como las imágenes, no pueden traducirse a causa de las limitaciones técnicas del sistema. Si tuviera alguna duda relacionada con la exactitud de la información de un documento traducido, sírvase consultar su versión oficial redactada en inglés.]</w:t>
      </w:r>
    </w:p>
    <w:p w14:paraId="3200CDA9" w14:textId="77777777" w:rsidR="00490076" w:rsidRDefault="00490076" w:rsidP="00490076">
      <w:pPr>
        <w:pStyle w:val="Heading2"/>
        <w:rPr>
          <w:lang w:val="es-ES"/>
        </w:rPr>
      </w:pPr>
      <w:r>
        <w:rPr>
          <w:lang w:val="es-ES"/>
        </w:rPr>
        <w:t>INFORME DE SITUACIÓN DEL PRESIDENTE DEL RA VI (INCLUIDOS LOS ÓRGANOS DEL RA VI Y LA OFICINA REGIONAL PARA EUROPA)</w:t>
      </w:r>
    </w:p>
    <w:p w14:paraId="63DEAC13" w14:textId="77777777" w:rsidR="00490076" w:rsidRDefault="00490076" w:rsidP="00490076">
      <w:pPr>
        <w:pStyle w:val="Heading3"/>
        <w:rPr>
          <w:lang w:val="es-ES"/>
        </w:rPr>
      </w:pPr>
      <w:r>
        <w:rPr>
          <w:lang w:val="es-ES"/>
        </w:rPr>
        <w:t>El informe abarca el periodo entre sesiones de noviembre de 2020 a octubre de 2024</w:t>
      </w:r>
    </w:p>
    <w:p w14:paraId="707C5361" w14:textId="77777777" w:rsidR="00490076" w:rsidRDefault="00490076" w:rsidP="00490076">
      <w:pPr>
        <w:pStyle w:val="paragraph"/>
        <w:spacing w:before="240" w:beforeAutospacing="0" w:after="120" w:afterAutospacing="0"/>
        <w:textAlignment w:val="baseline"/>
        <w:rPr>
          <w:rFonts w:ascii="Verdana" w:hAnsi="Verdana" w:cs="Segoe UI"/>
          <w:sz w:val="20"/>
          <w:szCs w:val="20"/>
          <w:lang w:val="es-ES"/>
        </w:rPr>
      </w:pPr>
      <w:r>
        <w:rPr>
          <w:rFonts w:ascii="Verdana" w:hAnsi="Verdana"/>
          <w:sz w:val="20"/>
          <w:szCs w:val="20"/>
          <w:lang w:val="es-ES"/>
        </w:rPr>
        <w:t>Entre noviembre de 2020 y octubre de 2024, la Asociación Regional VI (AR VI) (Europa) de la Organización Meteorológica Mundial (OMM) se enfrentará a una serie de importantes retos y cambios transformadores. Entre ellos se incluyen las transiciones de liderazgo, la pandemia COVID-19, los conflictos regionales, las iniciativas de reforma y la integración de nuevas herramientas digitales.</w:t>
      </w:r>
    </w:p>
    <w:p w14:paraId="6C97A174" w14:textId="77777777" w:rsidR="00490076" w:rsidRDefault="00490076" w:rsidP="00490076">
      <w:pPr>
        <w:pStyle w:val="Heading3"/>
        <w:spacing w:before="240" w:after="120"/>
        <w:rPr>
          <w:lang w:val="es-ES"/>
        </w:rPr>
      </w:pPr>
      <w:r>
        <w:rPr>
          <w:lang w:val="es-ES"/>
        </w:rPr>
        <w:t>Sesiones RA VI y transiciones de liderazgo:</w:t>
      </w:r>
    </w:p>
    <w:p w14:paraId="1019CAAA" w14:textId="77777777" w:rsidR="00490076" w:rsidRDefault="00490076" w:rsidP="00490076">
      <w:pPr>
        <w:pStyle w:val="paragraph"/>
        <w:spacing w:before="240" w:beforeAutospacing="0" w:after="120" w:afterAutospacing="0"/>
        <w:textAlignment w:val="baseline"/>
        <w:rPr>
          <w:rFonts w:ascii="Verdana" w:hAnsi="Verdana" w:cs="Segoe UI"/>
          <w:sz w:val="20"/>
          <w:szCs w:val="20"/>
          <w:lang w:val="es-ES"/>
        </w:rPr>
      </w:pPr>
      <w:r>
        <w:rPr>
          <w:rFonts w:ascii="Verdana" w:hAnsi="Verdana"/>
          <w:sz w:val="20"/>
          <w:szCs w:val="20"/>
          <w:lang w:val="es-ES"/>
        </w:rPr>
        <w:t xml:space="preserve">La decimoctava sesión de la AR VI (AR VI-18) (Primera Fase) se celebró, en noviembre de 2020, prácticamente debido a la pandemia de COVID-19, bajo la dirección del Dr. Michael </w:t>
      </w:r>
      <w:proofErr w:type="spellStart"/>
      <w:r>
        <w:rPr>
          <w:rFonts w:ascii="Verdana" w:hAnsi="Verdana"/>
          <w:sz w:val="20"/>
          <w:szCs w:val="20"/>
          <w:lang w:val="es-ES"/>
        </w:rPr>
        <w:t>Staudinger</w:t>
      </w:r>
      <w:proofErr w:type="spellEnd"/>
      <w:r>
        <w:rPr>
          <w:rFonts w:ascii="Verdana" w:hAnsi="Verdana"/>
          <w:sz w:val="20"/>
          <w:szCs w:val="20"/>
          <w:lang w:val="es-ES"/>
        </w:rPr>
        <w:t>. La pandemia, que comenzó a finales de 2019 y fue declarada pandemia mundial en marzo de 2020, perturbó gravemente las operaciones tradicionales. La necesidad de pasar a un formato virtual para la sesión supuso un reto importante, ya que exigía adaptarse a nuevos métodos de comunicación y colaboración y, al mismo tiempo, garantizar que no se retrasaran las actividades y decisiones críticas.</w:t>
      </w:r>
    </w:p>
    <w:p w14:paraId="4880A869" w14:textId="77777777" w:rsidR="00490076" w:rsidRPr="00490076" w:rsidRDefault="00490076" w:rsidP="00490076">
      <w:pPr>
        <w:pStyle w:val="paragraph"/>
        <w:spacing w:before="240" w:beforeAutospacing="0" w:after="120" w:afterAutospacing="0"/>
        <w:textAlignment w:val="baseline"/>
        <w:rPr>
          <w:rStyle w:val="normaltextrun"/>
          <w:rFonts w:eastAsia="Verdana"/>
          <w:lang w:val="es-ES"/>
        </w:rPr>
      </w:pPr>
      <w:r>
        <w:rPr>
          <w:rFonts w:ascii="Verdana" w:hAnsi="Verdana"/>
          <w:sz w:val="20"/>
          <w:szCs w:val="20"/>
          <w:lang w:val="es-ES"/>
        </w:rPr>
        <w:t xml:space="preserve">En la segunda fase, celebrada en noviembre de 2021, se produjo una transición de liderazgo: la Dra. </w:t>
      </w:r>
      <w:proofErr w:type="spellStart"/>
      <w:r>
        <w:rPr>
          <w:rFonts w:ascii="Verdana" w:hAnsi="Verdana"/>
          <w:sz w:val="20"/>
          <w:szCs w:val="20"/>
          <w:lang w:val="es-ES"/>
        </w:rPr>
        <w:t>Kornélia</w:t>
      </w:r>
      <w:proofErr w:type="spellEnd"/>
      <w:r>
        <w:rPr>
          <w:rFonts w:ascii="Verdana" w:hAnsi="Verdana"/>
          <w:sz w:val="20"/>
          <w:szCs w:val="20"/>
          <w:lang w:val="es-ES"/>
        </w:rPr>
        <w:t xml:space="preserve"> </w:t>
      </w:r>
      <w:proofErr w:type="spellStart"/>
      <w:r>
        <w:rPr>
          <w:rFonts w:ascii="Verdana" w:hAnsi="Verdana"/>
          <w:sz w:val="20"/>
          <w:szCs w:val="20"/>
          <w:lang w:val="es-ES"/>
        </w:rPr>
        <w:t>Radics</w:t>
      </w:r>
      <w:proofErr w:type="spellEnd"/>
      <w:r>
        <w:rPr>
          <w:rFonts w:ascii="Verdana" w:hAnsi="Verdana"/>
          <w:sz w:val="20"/>
          <w:szCs w:val="20"/>
          <w:lang w:val="es-ES"/>
        </w:rPr>
        <w:t xml:space="preserve"> (Hungría) asumió la presidencia de la AR VI y el Dr. </w:t>
      </w:r>
      <w:proofErr w:type="spellStart"/>
      <w:r>
        <w:rPr>
          <w:rFonts w:ascii="Verdana" w:hAnsi="Verdana"/>
          <w:sz w:val="20"/>
          <w:szCs w:val="20"/>
          <w:lang w:val="es-ES"/>
        </w:rPr>
        <w:t>Roar</w:t>
      </w:r>
      <w:proofErr w:type="spellEnd"/>
      <w:r>
        <w:rPr>
          <w:rFonts w:ascii="Verdana" w:hAnsi="Verdana"/>
          <w:sz w:val="20"/>
          <w:szCs w:val="20"/>
          <w:lang w:val="es-ES"/>
        </w:rPr>
        <w:t xml:space="preserve"> </w:t>
      </w:r>
      <w:proofErr w:type="spellStart"/>
      <w:r>
        <w:rPr>
          <w:rFonts w:ascii="Verdana" w:hAnsi="Verdana"/>
          <w:sz w:val="20"/>
          <w:szCs w:val="20"/>
          <w:lang w:val="es-ES"/>
        </w:rPr>
        <w:t>Skålin</w:t>
      </w:r>
      <w:proofErr w:type="spellEnd"/>
      <w:r>
        <w:rPr>
          <w:rFonts w:ascii="Verdana" w:hAnsi="Verdana"/>
          <w:sz w:val="20"/>
          <w:szCs w:val="20"/>
          <w:lang w:val="es-ES"/>
        </w:rPr>
        <w:t xml:space="preserve"> (Noruega) la vicepresidencia. Esta transición se produjo en medio de los continuos retos relacionados con la pandemia, lo que añadió otra capa de complejidad al trabajo de la Asociación. La nueva dirección tuvo que sortear las dificultades de continuar las operaciones en un entorno predominantemente virtual, garantizando al mismo tiempo un traspaso fluido de responsabilidades.</w:t>
      </w:r>
    </w:p>
    <w:p w14:paraId="0AC99705" w14:textId="77777777" w:rsidR="00490076" w:rsidRPr="00490076" w:rsidRDefault="00490076" w:rsidP="00490076">
      <w:pPr>
        <w:pStyle w:val="paragraph"/>
        <w:spacing w:before="240" w:beforeAutospacing="0" w:after="120" w:afterAutospacing="0"/>
        <w:textAlignment w:val="baseline"/>
        <w:rPr>
          <w:rFonts w:eastAsia="Verdana"/>
          <w:lang w:val="es-ES"/>
        </w:rPr>
      </w:pPr>
      <w:r>
        <w:rPr>
          <w:rFonts w:ascii="Verdana" w:hAnsi="Verdana"/>
          <w:sz w:val="20"/>
          <w:szCs w:val="20"/>
          <w:lang w:val="es-ES"/>
        </w:rPr>
        <w:t xml:space="preserve">Durante una sesión extraordinaria de la AR VI, celebrada en mayo de 2023, coincidiendo con el XIX Congreso Meteorológico Mundial (Cg-19), la AR VI eligió a la Dra. Elena </w:t>
      </w:r>
      <w:proofErr w:type="spellStart"/>
      <w:r>
        <w:rPr>
          <w:rFonts w:ascii="Verdana" w:hAnsi="Verdana"/>
          <w:sz w:val="20"/>
          <w:szCs w:val="20"/>
          <w:lang w:val="es-ES"/>
        </w:rPr>
        <w:t>Mateescu</w:t>
      </w:r>
      <w:proofErr w:type="spellEnd"/>
      <w:r>
        <w:rPr>
          <w:rFonts w:ascii="Verdana" w:hAnsi="Verdana"/>
          <w:sz w:val="20"/>
          <w:szCs w:val="20"/>
          <w:lang w:val="es-ES"/>
        </w:rPr>
        <w:t xml:space="preserve"> (Rumanía) como </w:t>
      </w:r>
      <w:proofErr w:type="gramStart"/>
      <w:r>
        <w:rPr>
          <w:rFonts w:ascii="Verdana" w:hAnsi="Verdana"/>
          <w:sz w:val="20"/>
          <w:szCs w:val="20"/>
          <w:lang w:val="es-ES"/>
        </w:rPr>
        <w:t>Presidenta</w:t>
      </w:r>
      <w:proofErr w:type="gramEnd"/>
      <w:r>
        <w:rPr>
          <w:rFonts w:ascii="Verdana" w:hAnsi="Verdana"/>
          <w:sz w:val="20"/>
          <w:szCs w:val="20"/>
          <w:lang w:val="es-ES"/>
        </w:rPr>
        <w:t xml:space="preserve"> de la AR VI y al Sr. Mark </w:t>
      </w:r>
      <w:proofErr w:type="spellStart"/>
      <w:r>
        <w:rPr>
          <w:rFonts w:ascii="Verdana" w:hAnsi="Verdana"/>
          <w:sz w:val="20"/>
          <w:szCs w:val="20"/>
          <w:lang w:val="es-ES"/>
        </w:rPr>
        <w:t>Rieder</w:t>
      </w:r>
      <w:proofErr w:type="spellEnd"/>
      <w:r>
        <w:rPr>
          <w:rFonts w:ascii="Verdana" w:hAnsi="Verdana"/>
          <w:sz w:val="20"/>
          <w:szCs w:val="20"/>
          <w:lang w:val="es-ES"/>
        </w:rPr>
        <w:t xml:space="preserve"> (República Checa) como Vicepresidente de la AR VI. Sus mandatos durarán hasta la conclusión de la 19ª reunión de la AR VI, de conformidad con el Reglamento General 10 de la OMM.</w:t>
      </w:r>
    </w:p>
    <w:p w14:paraId="72B34A3E" w14:textId="77777777" w:rsidR="00490076" w:rsidRDefault="00490076" w:rsidP="00490076">
      <w:pPr>
        <w:pStyle w:val="paragraph"/>
        <w:spacing w:before="240" w:beforeAutospacing="0" w:after="120" w:afterAutospacing="0"/>
        <w:textAlignment w:val="baseline"/>
        <w:rPr>
          <w:rFonts w:ascii="Verdana" w:hAnsi="Verdana" w:cs="Segoe UI"/>
          <w:sz w:val="20"/>
          <w:szCs w:val="20"/>
          <w:lang w:val="es-ES"/>
        </w:rPr>
      </w:pPr>
      <w:r>
        <w:rPr>
          <w:rFonts w:ascii="Verdana" w:hAnsi="Verdana"/>
          <w:sz w:val="20"/>
          <w:szCs w:val="20"/>
          <w:lang w:val="es-ES"/>
        </w:rPr>
        <w:t>La sesión extraordinaria de la AR VI, celebrada paralelamente a la Cg-19, facilitó una importante participación presencial, al tiempo que dio cabida a asistentes remotos, demostrando la resistencia y adaptabilidad de la AR VI.</w:t>
      </w:r>
    </w:p>
    <w:p w14:paraId="63342BE6" w14:textId="77777777" w:rsidR="00490076" w:rsidRDefault="00490076" w:rsidP="00490076">
      <w:pPr>
        <w:pStyle w:val="paragraph"/>
        <w:spacing w:before="240" w:beforeAutospacing="0" w:after="120" w:afterAutospacing="0"/>
        <w:textAlignment w:val="baseline"/>
        <w:rPr>
          <w:rFonts w:ascii="Verdana" w:hAnsi="Verdana" w:cs="Segoe UI"/>
          <w:sz w:val="20"/>
          <w:szCs w:val="20"/>
          <w:lang w:val="es-ES"/>
        </w:rPr>
      </w:pPr>
      <w:r>
        <w:rPr>
          <w:rFonts w:ascii="Verdana" w:hAnsi="Verdana"/>
          <w:sz w:val="20"/>
          <w:szCs w:val="20"/>
          <w:lang w:val="es-ES"/>
        </w:rPr>
        <w:t>El periodo ha estado marcado tanto por retos importantes como por avances estratégicos.</w:t>
      </w:r>
    </w:p>
    <w:p w14:paraId="63850EAA" w14:textId="77777777" w:rsidR="00490076" w:rsidRDefault="00490076" w:rsidP="00490076">
      <w:pPr>
        <w:pStyle w:val="Heading3"/>
        <w:spacing w:before="240" w:after="120"/>
      </w:pPr>
      <w:r>
        <w:rPr>
          <w:lang w:val="es-ES"/>
        </w:rPr>
        <w:lastRenderedPageBreak/>
        <w:t>Retos e impactos:</w:t>
      </w:r>
    </w:p>
    <w:p w14:paraId="0290701F" w14:textId="77777777" w:rsidR="00490076" w:rsidRDefault="00490076" w:rsidP="00490076">
      <w:pPr>
        <w:pStyle w:val="paragraph"/>
        <w:numPr>
          <w:ilvl w:val="0"/>
          <w:numId w:val="46"/>
        </w:numPr>
        <w:spacing w:before="240" w:beforeAutospacing="0" w:after="120" w:afterAutospacing="0"/>
        <w:ind w:left="567" w:hanging="567"/>
        <w:textAlignment w:val="baseline"/>
        <w:rPr>
          <w:rFonts w:ascii="Verdana" w:hAnsi="Verdana" w:cs="Segoe UI"/>
          <w:sz w:val="20"/>
          <w:szCs w:val="20"/>
          <w:lang w:val="es-ES"/>
        </w:rPr>
      </w:pPr>
      <w:r>
        <w:rPr>
          <w:rFonts w:ascii="Verdana" w:hAnsi="Verdana"/>
          <w:sz w:val="20"/>
          <w:szCs w:val="20"/>
          <w:lang w:val="es-ES"/>
        </w:rPr>
        <w:t>Pandemia y conflictos regionales: la pandemia COVID-19 y los conflictos regionales en curso crearon un entorno operativo complejo, que afectó al compromiso de los Miembros y a la estabilidad regional.</w:t>
      </w:r>
    </w:p>
    <w:p w14:paraId="7A29F900" w14:textId="77777777" w:rsidR="00490076" w:rsidRDefault="00490076" w:rsidP="00490076">
      <w:pPr>
        <w:pStyle w:val="paragraph"/>
        <w:numPr>
          <w:ilvl w:val="0"/>
          <w:numId w:val="46"/>
        </w:numPr>
        <w:spacing w:before="240" w:beforeAutospacing="0" w:after="120" w:afterAutospacing="0"/>
        <w:ind w:left="567" w:hanging="567"/>
        <w:textAlignment w:val="baseline"/>
        <w:rPr>
          <w:rFonts w:ascii="Verdana" w:hAnsi="Verdana" w:cs="Segoe UI"/>
          <w:sz w:val="20"/>
          <w:szCs w:val="20"/>
          <w:lang w:val="es-ES"/>
        </w:rPr>
      </w:pPr>
      <w:r>
        <w:rPr>
          <w:rFonts w:ascii="Verdana" w:hAnsi="Verdana"/>
          <w:sz w:val="20"/>
          <w:szCs w:val="20"/>
          <w:lang w:val="es-ES"/>
        </w:rPr>
        <w:t>Transiciones en la dirección y nuevo formato de las sesiones: el periodo incluyó importantes transiciones en la dirección y un nuevo formato de las sesiones en dos fases, lo que aumentó la frecuencia de las reuniones y exigió una mayor movilización y organización estratégica.</w:t>
      </w:r>
    </w:p>
    <w:p w14:paraId="3742677E" w14:textId="77777777" w:rsidR="00490076" w:rsidRDefault="00490076" w:rsidP="00490076">
      <w:pPr>
        <w:pStyle w:val="paragraph"/>
        <w:numPr>
          <w:ilvl w:val="0"/>
          <w:numId w:val="46"/>
        </w:numPr>
        <w:spacing w:before="240" w:beforeAutospacing="0" w:after="120" w:afterAutospacing="0"/>
        <w:ind w:left="567" w:hanging="567"/>
        <w:textAlignment w:val="baseline"/>
        <w:rPr>
          <w:rFonts w:ascii="Verdana" w:hAnsi="Verdana" w:cs="Segoe UI"/>
          <w:sz w:val="20"/>
          <w:szCs w:val="20"/>
          <w:lang w:val="es-ES"/>
        </w:rPr>
      </w:pPr>
      <w:r>
        <w:rPr>
          <w:rFonts w:ascii="Verdana" w:hAnsi="Verdana"/>
          <w:sz w:val="20"/>
          <w:szCs w:val="20"/>
          <w:lang w:val="es-ES"/>
        </w:rPr>
        <w:t>Reforma regional y transformación digital: la reforma regional y la transformación digital han presentado oportunidades y retos.</w:t>
      </w:r>
    </w:p>
    <w:p w14:paraId="09892C50" w14:textId="77777777" w:rsidR="00490076" w:rsidRDefault="00490076" w:rsidP="00490076">
      <w:pPr>
        <w:pStyle w:val="paragraph"/>
        <w:spacing w:before="240" w:beforeAutospacing="0" w:after="120" w:afterAutospacing="0"/>
        <w:ind w:left="567"/>
        <w:textAlignment w:val="baseline"/>
        <w:rPr>
          <w:rFonts w:ascii="Verdana" w:hAnsi="Verdana" w:cs="Segoe UI"/>
          <w:sz w:val="20"/>
          <w:szCs w:val="20"/>
          <w:lang w:val="es-ES"/>
        </w:rPr>
      </w:pPr>
      <w:r>
        <w:rPr>
          <w:rFonts w:ascii="Verdana" w:hAnsi="Verdana"/>
          <w:sz w:val="20"/>
          <w:szCs w:val="20"/>
          <w:lang w:val="es-ES"/>
        </w:rPr>
        <w:t>Iniciativas como la revisión y optimización de los mecanismos regionales, la integración de herramientas digitales (por ejemplo, la Plataforma Comunitaria y las bases de datos de Miembros y Expertos) y la ampliación de las asociaciones han tenido como objetivo mejorar la eficiencia.</w:t>
      </w:r>
    </w:p>
    <w:p w14:paraId="6E759CE0" w14:textId="77777777" w:rsidR="00490076" w:rsidRDefault="00490076" w:rsidP="00490076">
      <w:pPr>
        <w:pStyle w:val="paragraph"/>
        <w:spacing w:before="240" w:beforeAutospacing="0" w:after="120" w:afterAutospacing="0"/>
        <w:ind w:left="567"/>
        <w:textAlignment w:val="baseline"/>
        <w:rPr>
          <w:rFonts w:ascii="Verdana" w:hAnsi="Verdana" w:cs="Segoe UI"/>
          <w:sz w:val="20"/>
          <w:szCs w:val="20"/>
          <w:lang w:val="es-ES"/>
        </w:rPr>
      </w:pPr>
      <w:r>
        <w:rPr>
          <w:rFonts w:ascii="Verdana" w:hAnsi="Verdana"/>
          <w:sz w:val="20"/>
          <w:szCs w:val="20"/>
          <w:lang w:val="es-ES"/>
        </w:rPr>
        <w:t>El énfasis en el enfoque del sistema Tierra y la aplicación de una Política Unificada de Datos han sido fundamentales para orientar estas reformas.</w:t>
      </w:r>
    </w:p>
    <w:p w14:paraId="311036D6" w14:textId="77777777" w:rsidR="00490076" w:rsidRDefault="00490076" w:rsidP="00490076">
      <w:pPr>
        <w:pStyle w:val="paragraph"/>
        <w:spacing w:before="240" w:beforeAutospacing="0" w:after="120" w:afterAutospacing="0"/>
        <w:ind w:left="567"/>
        <w:textAlignment w:val="baseline"/>
        <w:rPr>
          <w:rFonts w:ascii="Verdana" w:hAnsi="Verdana" w:cs="Segoe UI"/>
          <w:sz w:val="20"/>
          <w:szCs w:val="20"/>
          <w:lang w:val="es-ES"/>
        </w:rPr>
      </w:pPr>
      <w:r>
        <w:rPr>
          <w:rFonts w:ascii="Verdana" w:hAnsi="Verdana"/>
          <w:sz w:val="20"/>
          <w:szCs w:val="20"/>
          <w:lang w:val="es-ES"/>
        </w:rPr>
        <w:t>El desarrollo de un marco para el compromiso público-privado ha sido crucial para aprovechar los diversos conocimientos y recursos. Los esfuerzos para mejorar la colaboración dentro del sistema de las Naciones Unidas, incluido el compromiso con los Coordinadores Residentes de las Naciones Unidas y las Oficinas de País de las Naciones Unidas, han sido fundamentales para reforzar la cooperación regional.</w:t>
      </w:r>
    </w:p>
    <w:p w14:paraId="56147427" w14:textId="77777777" w:rsidR="00490076" w:rsidRDefault="00490076" w:rsidP="00490076">
      <w:pPr>
        <w:pStyle w:val="paragraph"/>
        <w:numPr>
          <w:ilvl w:val="0"/>
          <w:numId w:val="46"/>
        </w:numPr>
        <w:spacing w:before="240" w:beforeAutospacing="0" w:after="120" w:afterAutospacing="0"/>
        <w:ind w:left="567" w:hanging="567"/>
        <w:textAlignment w:val="baseline"/>
        <w:rPr>
          <w:rFonts w:ascii="Verdana" w:hAnsi="Verdana" w:cs="Segoe UI"/>
          <w:sz w:val="20"/>
          <w:szCs w:val="20"/>
          <w:lang w:val="es-ES"/>
        </w:rPr>
      </w:pPr>
      <w:r>
        <w:rPr>
          <w:rFonts w:ascii="Verdana" w:hAnsi="Verdana"/>
          <w:sz w:val="20"/>
          <w:szCs w:val="20"/>
          <w:lang w:val="es-ES"/>
        </w:rPr>
        <w:t>Exigencias para los Miembros y el Mecanismo Regional: la mayor frecuencia de las sesiones y el formato híbrido de las reuniones supusieron exigencias considerables tanto para los Miembros (que tuvieron que adaptarse a los nuevos formatos y a los mayores requisitos de participación) como para la Oficina Regional para Europa. En su calidad de Oficina regional más pequeña de la Secretaría de la OMM, la Oficina se enfrentó a importantes limitaciones de recursos para gestionar un calendario de reuniones más amplio y complejo y atender las necesidades de la segunda AR más grande de la OMM.</w:t>
      </w:r>
    </w:p>
    <w:p w14:paraId="69B8CFC9" w14:textId="77777777" w:rsidR="00490076" w:rsidRDefault="00490076" w:rsidP="00490076">
      <w:pPr>
        <w:pStyle w:val="Heading3"/>
        <w:spacing w:before="240" w:after="120"/>
        <w:rPr>
          <w:rFonts w:cs="Segoe UI"/>
          <w:lang w:val="es-ES"/>
        </w:rPr>
      </w:pPr>
      <w:r>
        <w:rPr>
          <w:lang w:val="es-ES"/>
        </w:rPr>
        <w:t>Avances estratégicos</w:t>
      </w:r>
    </w:p>
    <w:p w14:paraId="72084721" w14:textId="77777777" w:rsidR="00490076" w:rsidRDefault="00490076" w:rsidP="00490076">
      <w:pPr>
        <w:pStyle w:val="paragraph"/>
        <w:spacing w:before="240" w:beforeAutospacing="0" w:after="120" w:afterAutospacing="0"/>
        <w:textAlignment w:val="baseline"/>
        <w:rPr>
          <w:rFonts w:ascii="Verdana" w:hAnsi="Verdana" w:cs="Segoe UI"/>
          <w:sz w:val="20"/>
          <w:szCs w:val="20"/>
          <w:lang w:val="es-ES"/>
        </w:rPr>
      </w:pPr>
      <w:r>
        <w:rPr>
          <w:rFonts w:ascii="Verdana" w:hAnsi="Verdana"/>
          <w:sz w:val="20"/>
          <w:szCs w:val="20"/>
          <w:lang w:val="es-ES"/>
        </w:rPr>
        <w:t>Las reformas regionales en curso, junto con el refuerzo de la colaboración, las asociaciones público-privadas y la integración de las herramientas digitales, están posicionando continuamente a la AR VI -con el apoyo del Grupo de Gestión y la experiencia del Mecanismo de Trabajo de la AR VI- para abordar con eficacia los retos futuros y avanzar en su misión en toda Europa.</w:t>
      </w:r>
    </w:p>
    <w:p w14:paraId="429DB985" w14:textId="77777777" w:rsidR="00490076" w:rsidRPr="00490076" w:rsidRDefault="00490076" w:rsidP="00490076">
      <w:pPr>
        <w:pStyle w:val="Heading3"/>
        <w:spacing w:before="240" w:after="120"/>
        <w:rPr>
          <w:rStyle w:val="normaltextrun"/>
          <w:lang w:val="es-ES"/>
        </w:rPr>
      </w:pPr>
      <w:r>
        <w:rPr>
          <w:lang w:val="es-ES"/>
        </w:rPr>
        <w:t>Composición del Grupo de Gestión RA VI</w:t>
      </w:r>
    </w:p>
    <w:p w14:paraId="37E2F8F6" w14:textId="77777777" w:rsidR="00490076" w:rsidRPr="00490076" w:rsidRDefault="00490076" w:rsidP="00490076">
      <w:pPr>
        <w:pStyle w:val="paragraph"/>
        <w:spacing w:before="240" w:beforeAutospacing="0" w:after="120" w:afterAutospacing="0"/>
        <w:textAlignment w:val="baseline"/>
        <w:rPr>
          <w:rFonts w:ascii="Verdana" w:eastAsia="Verdana" w:hAnsi="Verdana" w:cs="Segoe UI"/>
          <w:sz w:val="20"/>
          <w:szCs w:val="20"/>
          <w:lang w:val="es-ES"/>
        </w:rPr>
      </w:pPr>
      <w:r>
        <w:rPr>
          <w:rFonts w:ascii="Verdana" w:hAnsi="Verdana"/>
          <w:sz w:val="20"/>
          <w:szCs w:val="20"/>
          <w:lang w:val="es-ES"/>
        </w:rPr>
        <w:t xml:space="preserve">El Grupo de Gestión de la RA VI está formado por figuras clave, como el </w:t>
      </w:r>
      <w:proofErr w:type="gramStart"/>
      <w:r>
        <w:rPr>
          <w:rFonts w:ascii="Verdana" w:hAnsi="Verdana"/>
          <w:sz w:val="20"/>
          <w:szCs w:val="20"/>
          <w:lang w:val="es-ES"/>
        </w:rPr>
        <w:t>Presidente</w:t>
      </w:r>
      <w:proofErr w:type="gramEnd"/>
      <w:r>
        <w:rPr>
          <w:rFonts w:ascii="Verdana" w:hAnsi="Verdana"/>
          <w:sz w:val="20"/>
          <w:szCs w:val="20"/>
          <w:lang w:val="es-ES"/>
        </w:rPr>
        <w:t>, el Vicepresidente y el Asesor Hidrológico de la RA VI.</w:t>
      </w:r>
    </w:p>
    <w:p w14:paraId="1975C073" w14:textId="77777777" w:rsidR="00490076" w:rsidRDefault="00490076" w:rsidP="00490076">
      <w:pPr>
        <w:pStyle w:val="paragraph"/>
        <w:spacing w:before="240" w:beforeAutospacing="0" w:after="120" w:afterAutospacing="0"/>
        <w:textAlignment w:val="baseline"/>
        <w:rPr>
          <w:rFonts w:ascii="Verdana" w:hAnsi="Verdana" w:cs="Segoe UI"/>
          <w:sz w:val="20"/>
          <w:szCs w:val="20"/>
          <w:lang w:val="es-ES"/>
        </w:rPr>
      </w:pPr>
      <w:r>
        <w:rPr>
          <w:rFonts w:ascii="Verdana" w:hAnsi="Verdana"/>
          <w:sz w:val="20"/>
          <w:szCs w:val="20"/>
          <w:lang w:val="es-ES"/>
        </w:rPr>
        <w:t xml:space="preserve">Mientras que los miembros principales están representados por unos pocos Representantes Permanentes ante la OMM; Entre los Miembros asociados figuran los Presidentes de la Conferencia Informal de Directores de Europa Sudoriental (ICSEED), la Conferencia Informal de Directores de Europa Central (ICCED), la Conferencia Informal de Directores de Europa Occidental y el Consejo Interestatal de </w:t>
      </w:r>
      <w:proofErr w:type="spellStart"/>
      <w:r>
        <w:rPr>
          <w:rFonts w:ascii="Verdana" w:hAnsi="Verdana"/>
          <w:sz w:val="20"/>
          <w:szCs w:val="20"/>
          <w:lang w:val="es-ES"/>
        </w:rPr>
        <w:t>Hidrometeorología</w:t>
      </w:r>
      <w:proofErr w:type="spellEnd"/>
      <w:r>
        <w:rPr>
          <w:rFonts w:ascii="Verdana" w:hAnsi="Verdana"/>
          <w:sz w:val="20"/>
          <w:szCs w:val="20"/>
          <w:lang w:val="es-ES"/>
        </w:rPr>
        <w:t xml:space="preserve"> de la Comunidad de Estados Independientes (ICH CIS), así como el Segundo Vicepresidente de la OMM. Este grupo diverso garantiza una supervisión y orientación exhaustivas de las iniciativas y operaciones de la AR VI.</w:t>
      </w:r>
    </w:p>
    <w:p w14:paraId="5564AF67" w14:textId="77777777" w:rsidR="00490076" w:rsidRPr="00490076" w:rsidRDefault="00490076" w:rsidP="00490076">
      <w:pPr>
        <w:pStyle w:val="Heading3"/>
        <w:spacing w:before="240" w:after="120"/>
        <w:rPr>
          <w:rStyle w:val="normaltextrun"/>
          <w:lang w:val="es-ES"/>
        </w:rPr>
      </w:pPr>
      <w:r>
        <w:rPr>
          <w:lang w:val="es-ES"/>
        </w:rPr>
        <w:lastRenderedPageBreak/>
        <w:t>Prioridades regionales de la AR VI hasta 2027</w:t>
      </w:r>
    </w:p>
    <w:p w14:paraId="12A9E208" w14:textId="77777777" w:rsidR="00490076" w:rsidRPr="00490076" w:rsidRDefault="00490076" w:rsidP="00490076">
      <w:pPr>
        <w:pStyle w:val="paragraph"/>
        <w:spacing w:before="240" w:beforeAutospacing="0" w:after="120" w:afterAutospacing="0"/>
        <w:textAlignment w:val="baseline"/>
        <w:rPr>
          <w:rFonts w:ascii="Verdana" w:eastAsia="Verdana" w:hAnsi="Verdana" w:cs="Segoe UI"/>
          <w:sz w:val="20"/>
          <w:szCs w:val="20"/>
          <w:lang w:val="es-ES"/>
        </w:rPr>
      </w:pPr>
      <w:r>
        <w:rPr>
          <w:rFonts w:ascii="Verdana" w:hAnsi="Verdana"/>
          <w:sz w:val="20"/>
          <w:szCs w:val="20"/>
          <w:lang w:val="es-ES"/>
        </w:rPr>
        <w:t>Durante el período comprendido entre 2020 y 2024, un paso estratégico crucial para la AR VI fue alinear sus prioridades con los objetivos globales de la OMM y optimizar sus mecanismos de trabajo para mejorar la inclusión y el impacto. Los objetivos regionales se integraron en el plan mundial de la OMM, garantizando la coherencia con los Objetivos de Desarrollo Sostenible (ODS) y reforzando la coherencia entre los distintos niveles.</w:t>
      </w:r>
    </w:p>
    <w:p w14:paraId="1A50F7B1" w14:textId="77777777" w:rsidR="00490076" w:rsidRDefault="00490076" w:rsidP="00490076">
      <w:pPr>
        <w:pStyle w:val="paragraph"/>
        <w:spacing w:before="240" w:beforeAutospacing="0" w:after="120" w:afterAutospacing="0"/>
        <w:textAlignment w:val="baseline"/>
        <w:rPr>
          <w:rFonts w:ascii="Verdana" w:hAnsi="Verdana" w:cs="Segoe UI"/>
          <w:sz w:val="20"/>
          <w:szCs w:val="20"/>
          <w:lang w:val="es-ES"/>
        </w:rPr>
      </w:pPr>
      <w:r>
        <w:rPr>
          <w:rFonts w:ascii="Verdana" w:hAnsi="Verdana"/>
          <w:sz w:val="20"/>
          <w:szCs w:val="20"/>
          <w:lang w:val="es-ES"/>
        </w:rPr>
        <w:t>En preparación del Plan Estratégico de la OMM para 2024-2027, aprobado por el Cg-19, el Grupo de Gestión ha ampliado las prioridades regionales de 2023 a 2027. Esta ampliación introduce dos prioridades adicionales, lo que da un total de cinco ámbitos clave que deben abordarse:</w:t>
      </w:r>
    </w:p>
    <w:p w14:paraId="2F3B1047" w14:textId="77777777" w:rsidR="00490076" w:rsidRDefault="00490076" w:rsidP="00490076">
      <w:pPr>
        <w:pStyle w:val="paragraph"/>
        <w:numPr>
          <w:ilvl w:val="0"/>
          <w:numId w:val="47"/>
        </w:numPr>
        <w:spacing w:before="240" w:beforeAutospacing="0" w:after="120" w:afterAutospacing="0"/>
        <w:ind w:left="567" w:hanging="567"/>
        <w:textAlignment w:val="baseline"/>
        <w:rPr>
          <w:rFonts w:ascii="Verdana" w:hAnsi="Verdana" w:cs="Segoe UI"/>
          <w:sz w:val="20"/>
          <w:szCs w:val="20"/>
          <w:lang w:val="es-ES"/>
        </w:rPr>
      </w:pPr>
      <w:r>
        <w:rPr>
          <w:rFonts w:ascii="Verdana" w:hAnsi="Verdana"/>
          <w:sz w:val="20"/>
          <w:szCs w:val="20"/>
          <w:lang w:val="es-ES"/>
        </w:rPr>
        <w:t>Política de Datos Unificada: mejorar la disponibilidad de datos y el intercambio transfronterizo para apoyar la cooperación regional y la toma de decisiones con conocimiento de causa.</w:t>
      </w:r>
    </w:p>
    <w:p w14:paraId="07EC3882" w14:textId="77777777" w:rsidR="00490076" w:rsidRPr="00490076" w:rsidRDefault="00490076" w:rsidP="00490076">
      <w:pPr>
        <w:pStyle w:val="paragraph"/>
        <w:numPr>
          <w:ilvl w:val="0"/>
          <w:numId w:val="47"/>
        </w:numPr>
        <w:spacing w:before="240" w:beforeAutospacing="0" w:after="120" w:afterAutospacing="0"/>
        <w:ind w:left="567" w:hanging="567"/>
        <w:textAlignment w:val="baseline"/>
        <w:rPr>
          <w:rStyle w:val="normaltextrun"/>
          <w:rFonts w:eastAsia="Verdana"/>
          <w:lang w:val="es-ES"/>
        </w:rPr>
      </w:pPr>
      <w:r>
        <w:rPr>
          <w:rFonts w:ascii="Verdana" w:hAnsi="Verdana"/>
          <w:sz w:val="20"/>
          <w:szCs w:val="20"/>
          <w:lang w:val="es-ES"/>
        </w:rPr>
        <w:t>Mejora de los servicios: avanzar en los servicios meteorológicos, hídricos, climáticos y medioambientales para garantizar que sean fiables, accesibles y respondan a las necesidades regionales.</w:t>
      </w:r>
    </w:p>
    <w:p w14:paraId="0C4075FF" w14:textId="77777777" w:rsidR="00490076" w:rsidRDefault="00490076" w:rsidP="00490076">
      <w:pPr>
        <w:pStyle w:val="paragraph"/>
        <w:numPr>
          <w:ilvl w:val="0"/>
          <w:numId w:val="47"/>
        </w:numPr>
        <w:spacing w:before="240" w:beforeAutospacing="0" w:after="120" w:afterAutospacing="0"/>
        <w:ind w:left="567" w:hanging="567"/>
        <w:textAlignment w:val="baseline"/>
        <w:rPr>
          <w:rStyle w:val="normaltextrun"/>
          <w:rFonts w:eastAsia="Verdana"/>
          <w:sz w:val="20"/>
          <w:szCs w:val="20"/>
          <w:lang w:val="es-ES"/>
        </w:rPr>
      </w:pPr>
      <w:r>
        <w:rPr>
          <w:rFonts w:ascii="Verdana" w:hAnsi="Verdana"/>
          <w:sz w:val="20"/>
          <w:szCs w:val="20"/>
          <w:lang w:val="es-ES"/>
        </w:rPr>
        <w:t>Investigación y desarrollo: impulsar la innovación para apoyar mejores estrategias de adaptación y mitigación frente al cambio climático.</w:t>
      </w:r>
    </w:p>
    <w:p w14:paraId="1FFB75E8" w14:textId="77777777" w:rsidR="00490076" w:rsidRDefault="00490076" w:rsidP="00490076">
      <w:pPr>
        <w:pStyle w:val="paragraph"/>
        <w:numPr>
          <w:ilvl w:val="0"/>
          <w:numId w:val="47"/>
        </w:numPr>
        <w:spacing w:before="240" w:beforeAutospacing="0" w:after="120" w:afterAutospacing="0"/>
        <w:ind w:left="567" w:hanging="567"/>
        <w:textAlignment w:val="baseline"/>
        <w:rPr>
          <w:rStyle w:val="normaltextrun"/>
          <w:rFonts w:eastAsia="Verdana"/>
          <w:sz w:val="20"/>
          <w:szCs w:val="20"/>
          <w:lang w:val="es-ES"/>
        </w:rPr>
      </w:pPr>
      <w:r>
        <w:rPr>
          <w:rFonts w:ascii="Verdana" w:hAnsi="Verdana"/>
          <w:sz w:val="20"/>
          <w:szCs w:val="20"/>
          <w:lang w:val="es-ES"/>
        </w:rPr>
        <w:t>Desarrollo de capacidades y tecnología: aprovechar la inteligencia artificial y las nuevas tecnologías para avanzar en los servicios meteorológicos, hídricos y climáticos, mejorando su precisión y eficacia.</w:t>
      </w:r>
    </w:p>
    <w:p w14:paraId="0CE6F696" w14:textId="77777777" w:rsidR="00490076" w:rsidRDefault="00490076" w:rsidP="00490076">
      <w:pPr>
        <w:pStyle w:val="paragraph"/>
        <w:numPr>
          <w:ilvl w:val="0"/>
          <w:numId w:val="47"/>
        </w:numPr>
        <w:spacing w:before="240" w:beforeAutospacing="0" w:after="120" w:afterAutospacing="0"/>
        <w:ind w:left="567" w:hanging="567"/>
        <w:textAlignment w:val="baseline"/>
        <w:rPr>
          <w:rStyle w:val="normaltextrun"/>
          <w:rFonts w:eastAsia="Verdana"/>
          <w:sz w:val="20"/>
          <w:szCs w:val="20"/>
          <w:lang w:val="es-ES"/>
        </w:rPr>
      </w:pPr>
      <w:r>
        <w:rPr>
          <w:rFonts w:ascii="Verdana" w:hAnsi="Verdana"/>
          <w:sz w:val="20"/>
          <w:szCs w:val="20"/>
          <w:lang w:val="es-ES"/>
        </w:rPr>
        <w:t xml:space="preserve">Implantación de </w:t>
      </w:r>
      <w:proofErr w:type="spellStart"/>
      <w:r>
        <w:rPr>
          <w:rFonts w:ascii="Verdana" w:hAnsi="Verdana"/>
          <w:sz w:val="20"/>
          <w:szCs w:val="20"/>
          <w:lang w:val="es-ES"/>
        </w:rPr>
        <w:t>HydroSOS</w:t>
      </w:r>
      <w:proofErr w:type="spellEnd"/>
      <w:r>
        <w:rPr>
          <w:rFonts w:ascii="Verdana" w:hAnsi="Verdana"/>
          <w:sz w:val="20"/>
          <w:szCs w:val="20"/>
          <w:lang w:val="es-ES"/>
        </w:rPr>
        <w:t>: mejorar la gestión de los recursos hídricos y la capacidad de recuperación mediante el Sistema de Estado y Perspectivas Hidrológicas (</w:t>
      </w:r>
      <w:proofErr w:type="spellStart"/>
      <w:r>
        <w:rPr>
          <w:rFonts w:ascii="Verdana" w:hAnsi="Verdana"/>
          <w:sz w:val="20"/>
          <w:szCs w:val="20"/>
          <w:lang w:val="es-ES"/>
        </w:rPr>
        <w:t>HydroSOS</w:t>
      </w:r>
      <w:proofErr w:type="spellEnd"/>
      <w:r>
        <w:rPr>
          <w:rFonts w:ascii="Verdana" w:hAnsi="Verdana"/>
          <w:sz w:val="20"/>
          <w:szCs w:val="20"/>
          <w:lang w:val="es-ES"/>
        </w:rPr>
        <w:t>), centrándose en la gestión sostenible del agua.</w:t>
      </w:r>
    </w:p>
    <w:p w14:paraId="138E9FE7" w14:textId="77777777" w:rsidR="00490076" w:rsidRPr="00490076" w:rsidRDefault="00490076" w:rsidP="00490076">
      <w:pPr>
        <w:pStyle w:val="paragraph"/>
        <w:spacing w:before="240" w:beforeAutospacing="0" w:after="120" w:afterAutospacing="0"/>
        <w:textAlignment w:val="baseline"/>
        <w:rPr>
          <w:rFonts w:eastAsia="Verdana" w:cs="Segoe UI"/>
          <w:lang w:val="es-ES"/>
        </w:rPr>
      </w:pPr>
      <w:r>
        <w:rPr>
          <w:rFonts w:ascii="Verdana" w:hAnsi="Verdana"/>
          <w:sz w:val="20"/>
          <w:szCs w:val="20"/>
          <w:lang w:val="es-ES"/>
        </w:rPr>
        <w:t>Estas prioridades reflejan el compromiso de la AR VI con iniciativas tanto regionales como mundiales. El Grupo de Gestión supervisará su aplicación, garantizando una coordinación y un liderazgo eficaces. Con estas prioridades ampliadas y el sólido apoyo de centros especializados, grupos de trabajo, equipos de tareas y foros regionales, la AR VI está bien posicionada para seguir contribuyendo de forma significativa a los avances mundiales y demostrar su dedicación al bienestar de la comunidad y a la sostenibilidad medioambiental.</w:t>
      </w:r>
    </w:p>
    <w:p w14:paraId="6199185D" w14:textId="77777777" w:rsidR="00490076" w:rsidRDefault="00490076" w:rsidP="00490076">
      <w:pPr>
        <w:pStyle w:val="Heading3"/>
        <w:spacing w:before="240" w:after="120"/>
        <w:rPr>
          <w:rFonts w:cs="Segoe UI"/>
          <w:color w:val="FF0000"/>
          <w:lang w:val="es-ES"/>
        </w:rPr>
      </w:pPr>
      <w:r>
        <w:rPr>
          <w:lang w:val="es-ES"/>
        </w:rPr>
        <w:t>Mecanismos de trabajo regionales</w:t>
      </w:r>
    </w:p>
    <w:p w14:paraId="49489182" w14:textId="77777777" w:rsidR="00490076" w:rsidRDefault="00490076" w:rsidP="00490076">
      <w:pPr>
        <w:pStyle w:val="paragraph"/>
        <w:spacing w:before="240" w:beforeAutospacing="0" w:after="120" w:afterAutospacing="0"/>
        <w:textAlignment w:val="baseline"/>
        <w:rPr>
          <w:rFonts w:ascii="Verdana" w:hAnsi="Verdana" w:cs="Segoe UI"/>
          <w:sz w:val="20"/>
          <w:szCs w:val="20"/>
          <w:lang w:val="es-ES"/>
        </w:rPr>
      </w:pPr>
      <w:r>
        <w:rPr>
          <w:rFonts w:ascii="Verdana" w:hAnsi="Verdana"/>
          <w:sz w:val="20"/>
          <w:szCs w:val="20"/>
          <w:lang w:val="es-ES"/>
        </w:rPr>
        <w:t>El Grupo de Gestión de la AR VI, con el apoyo de la Oficina Regional para Europa y en coordinación con los presidentes de los Grupos de Trabajo de la AR VI, ha introducido recientemente cambios clave para optimizar sus mecanismos de trabajo. El Grupo de Gestión RA VI ha racionalizado sus operaciones suprimiendo determinados equipos e integrando sus funciones en el Grupo de Gestión y otros foros. Se revisaron las áreas de interés, como el traslado del Equipo Marco del Sistema Mundial de Alerta contra Riesgos Múltiples (GMAS) a la iniciativa Alerta Temprana para Todos (EW4All) y la reestructuración de los grupos de trabajo mediante la consolidación de tareas y la disolución de los equipos inactivos. En el Grupo de Trabajo (GT) sobre Servicios y Aplicaciones, los ponentes sectoriales se fusionaron en un Equipo de Trabajo sobre Servicios Multisectoriales, y se creó un nuevo Equipo de Coordinación sobre Previsiones que incluye a los equipos subregionales existentes o a representantes de los socios para apoyar las actividades de desarrollo de capacidades. Las consideraciones de género y de reducción del riesgo de catástrofes se integraron en actividades más amplias.</w:t>
      </w:r>
    </w:p>
    <w:p w14:paraId="00030D62" w14:textId="77777777" w:rsidR="00490076" w:rsidRDefault="00490076" w:rsidP="00490076">
      <w:pPr>
        <w:pStyle w:val="paragraph"/>
        <w:spacing w:before="240" w:beforeAutospacing="0" w:after="120" w:afterAutospacing="0"/>
        <w:textAlignment w:val="baseline"/>
        <w:rPr>
          <w:rFonts w:ascii="Verdana" w:hAnsi="Verdana" w:cs="Segoe UI"/>
          <w:sz w:val="20"/>
          <w:szCs w:val="20"/>
          <w:lang w:val="es-ES"/>
        </w:rPr>
      </w:pPr>
      <w:r>
        <w:rPr>
          <w:rFonts w:ascii="Verdana" w:hAnsi="Verdana"/>
          <w:sz w:val="20"/>
          <w:szCs w:val="20"/>
          <w:lang w:val="es-ES"/>
        </w:rPr>
        <w:lastRenderedPageBreak/>
        <w:t>Estos ajustes estratégicos están diseñados para agilizar los debates, fomentar la inclusión, priorizar las acciones de impacto y aprovechar las oportunidades de colaboración para lograr una mayor eficiencia y eficacia.</w:t>
      </w:r>
    </w:p>
    <w:p w14:paraId="10252453" w14:textId="77777777" w:rsidR="00490076" w:rsidRPr="00490076" w:rsidRDefault="00490076" w:rsidP="00490076">
      <w:pPr>
        <w:pStyle w:val="Heading3"/>
        <w:spacing w:before="240" w:after="120"/>
        <w:rPr>
          <w:rStyle w:val="normaltextrun"/>
          <w:lang w:val="es-ES"/>
        </w:rPr>
      </w:pPr>
      <w:r>
        <w:rPr>
          <w:lang w:val="es-ES"/>
        </w:rPr>
        <w:t>Imagen: Mecanismo de trabajo de RA VI, 2024 (abajo)</w:t>
      </w:r>
    </w:p>
    <w:p w14:paraId="7BEF2EB6" w14:textId="0D5775D5" w:rsidR="00490076" w:rsidRDefault="00490076" w:rsidP="00490076">
      <w:pPr>
        <w:pStyle w:val="paragraph"/>
        <w:spacing w:before="240" w:beforeAutospacing="0" w:after="120" w:afterAutospacing="0"/>
        <w:textAlignment w:val="baseline"/>
        <w:rPr>
          <w:rFonts w:ascii="Verdana" w:eastAsia="Verdana" w:hAnsi="Verdana" w:cs="Segoe UI"/>
          <w:sz w:val="20"/>
          <w:szCs w:val="20"/>
          <w:lang w:val="en-GB"/>
        </w:rPr>
      </w:pPr>
      <w:r>
        <w:rPr>
          <w:rFonts w:ascii="Verdana" w:hAnsi="Verdana" w:cs="Segoe UI"/>
          <w:noProof/>
          <w:sz w:val="20"/>
          <w:szCs w:val="20"/>
          <w:lang w:val="en-GB"/>
        </w:rPr>
        <w:drawing>
          <wp:inline distT="0" distB="0" distL="0" distR="0" wp14:anchorId="577C9D41" wp14:editId="5C5393BC">
            <wp:extent cx="6120765" cy="3436620"/>
            <wp:effectExtent l="0" t="0" r="0" b="0"/>
            <wp:docPr id="878775593"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company&#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3436620"/>
                    </a:xfrm>
                    <a:prstGeom prst="rect">
                      <a:avLst/>
                    </a:prstGeom>
                    <a:noFill/>
                    <a:ln>
                      <a:noFill/>
                    </a:ln>
                  </pic:spPr>
                </pic:pic>
              </a:graphicData>
            </a:graphic>
          </wp:inline>
        </w:drawing>
      </w:r>
    </w:p>
    <w:p w14:paraId="21DFEA60" w14:textId="77777777" w:rsidR="00490076" w:rsidRDefault="00490076" w:rsidP="00490076">
      <w:pPr>
        <w:pStyle w:val="Heading3"/>
        <w:spacing w:before="240" w:after="120"/>
        <w:rPr>
          <w:rStyle w:val="normaltextrun"/>
          <w:lang w:val="es-ES"/>
        </w:rPr>
      </w:pPr>
      <w:r>
        <w:rPr>
          <w:lang w:val="es-ES"/>
        </w:rPr>
        <w:t>Principales iniciativas emblemáticas de la Región</w:t>
      </w:r>
    </w:p>
    <w:p w14:paraId="262F3679" w14:textId="77777777" w:rsidR="00490076" w:rsidRPr="00490076" w:rsidRDefault="00490076" w:rsidP="00490076">
      <w:pPr>
        <w:pStyle w:val="paragraph"/>
        <w:spacing w:before="240" w:beforeAutospacing="0" w:after="120" w:afterAutospacing="0"/>
        <w:textAlignment w:val="baseline"/>
        <w:rPr>
          <w:rFonts w:ascii="Verdana" w:eastAsia="Verdana" w:hAnsi="Verdana" w:cs="Segoe UI"/>
          <w:sz w:val="20"/>
          <w:szCs w:val="20"/>
          <w:lang w:val="es-ES"/>
        </w:rPr>
      </w:pPr>
      <w:r>
        <w:rPr>
          <w:rFonts w:ascii="Verdana" w:hAnsi="Verdana"/>
          <w:sz w:val="20"/>
          <w:szCs w:val="20"/>
          <w:lang w:val="es-ES"/>
        </w:rPr>
        <w:t>El Foro Regional sobre Desarrollo Sostenible para la región de la Comisión Económica para Europa (CEPE), convocado anualmente en primavera por la CEPE, sirve de plataforma regional vital para los debates políticos, el intercambio de buenas prácticas y el aprendizaje entre iguales sobre la aplicación de los ODS. Este foro ofrece a los países la oportunidad de compartir experiencias, debatir los retos y explorar soluciones innovadoras para avanzar en la Agenda 2030 para el Desarrollo Sostenible.</w:t>
      </w:r>
    </w:p>
    <w:p w14:paraId="7C499260" w14:textId="77777777" w:rsidR="00490076" w:rsidRDefault="00490076" w:rsidP="00490076">
      <w:pPr>
        <w:pStyle w:val="paragraph"/>
        <w:spacing w:before="240" w:beforeAutospacing="0" w:after="120" w:afterAutospacing="0"/>
        <w:textAlignment w:val="baseline"/>
        <w:rPr>
          <w:rFonts w:ascii="Verdana" w:hAnsi="Verdana" w:cs="Segoe UI"/>
          <w:sz w:val="20"/>
          <w:szCs w:val="20"/>
          <w:lang w:val="es-ES"/>
        </w:rPr>
      </w:pPr>
      <w:r>
        <w:rPr>
          <w:rFonts w:ascii="Verdana" w:hAnsi="Verdana"/>
          <w:sz w:val="20"/>
          <w:szCs w:val="20"/>
          <w:lang w:val="es-ES"/>
        </w:rPr>
        <w:t>En el marco del foro se celebraron las siguientes mesas redondas de aprendizaje entre iguales:</w:t>
      </w:r>
    </w:p>
    <w:p w14:paraId="2D816596" w14:textId="59319884" w:rsidR="00490076" w:rsidRDefault="00490076" w:rsidP="00490076">
      <w:pPr>
        <w:pStyle w:val="paragraph"/>
        <w:spacing w:before="240" w:beforeAutospacing="0" w:after="120" w:afterAutospacing="0"/>
        <w:textAlignment w:val="baseline"/>
        <w:rPr>
          <w:rFonts w:ascii="Verdana" w:hAnsi="Verdana" w:cs="Segoe UI"/>
          <w:sz w:val="20"/>
          <w:szCs w:val="20"/>
          <w:lang w:val="es-ES"/>
        </w:rPr>
      </w:pPr>
      <w:r>
        <w:rPr>
          <w:rFonts w:ascii="Verdana" w:hAnsi="Verdana"/>
          <w:sz w:val="20"/>
          <w:szCs w:val="20"/>
          <w:lang w:val="es-ES"/>
        </w:rPr>
        <w:t xml:space="preserve">2022: </w:t>
      </w:r>
      <w:hyperlink r:id="rId13" w:history="1">
        <w:r w:rsidRPr="00490076">
          <w:rPr>
            <w:rStyle w:val="Hyperlink"/>
            <w:rFonts w:ascii="Verdana" w:hAnsi="Verdana"/>
            <w:sz w:val="20"/>
            <w:szCs w:val="20"/>
            <w:lang w:val="es-ES"/>
          </w:rPr>
          <w:t>Sesiones sobre la mejora de la alfabetización oceánica y el desarrollo sostenible de los mares regionales, en relación con el ODS 14 - Vida bajo el agua, y sobre "Navegar en el boom de los datos: encontrar, comprender y utilizar los datos de los ODS", contribuyendo al ODS 17 - Asociaciones para los objetivos</w:t>
        </w:r>
      </w:hyperlink>
      <w:r>
        <w:rPr>
          <w:rFonts w:ascii="Verdana" w:hAnsi="Verdana"/>
          <w:sz w:val="20"/>
          <w:szCs w:val="20"/>
          <w:lang w:val="es-ES"/>
        </w:rPr>
        <w:t>.</w:t>
      </w:r>
    </w:p>
    <w:p w14:paraId="5822F6F2" w14:textId="15D62281" w:rsidR="00490076" w:rsidRDefault="00490076" w:rsidP="00490076">
      <w:pPr>
        <w:pStyle w:val="paragraph"/>
        <w:spacing w:before="240" w:beforeAutospacing="0" w:after="120" w:afterAutospacing="0"/>
        <w:textAlignment w:val="baseline"/>
        <w:rPr>
          <w:rFonts w:ascii="Verdana" w:hAnsi="Verdana" w:cs="Segoe UI"/>
          <w:sz w:val="20"/>
          <w:szCs w:val="20"/>
          <w:lang w:val="es-ES"/>
        </w:rPr>
      </w:pPr>
      <w:r>
        <w:rPr>
          <w:rFonts w:ascii="Verdana" w:hAnsi="Verdana"/>
          <w:sz w:val="20"/>
          <w:szCs w:val="20"/>
          <w:lang w:val="es-ES"/>
        </w:rPr>
        <w:t xml:space="preserve">2023: </w:t>
      </w:r>
      <w:hyperlink r:id="rId14" w:history="1">
        <w:r w:rsidRPr="00490076">
          <w:rPr>
            <w:rStyle w:val="Hyperlink"/>
            <w:rFonts w:ascii="Verdana" w:hAnsi="Verdana"/>
            <w:sz w:val="20"/>
            <w:szCs w:val="20"/>
            <w:lang w:val="es-ES"/>
          </w:rPr>
          <w:t>Sesión sobre el ODS 6: Agua y saneamiento para todos</w:t>
        </w:r>
      </w:hyperlink>
    </w:p>
    <w:p w14:paraId="50687861" w14:textId="6438CC78" w:rsidR="00490076" w:rsidRDefault="00490076" w:rsidP="00490076">
      <w:pPr>
        <w:pStyle w:val="paragraph"/>
        <w:spacing w:before="240" w:beforeAutospacing="0" w:after="120" w:afterAutospacing="0"/>
        <w:textAlignment w:val="baseline"/>
        <w:rPr>
          <w:rFonts w:ascii="Verdana" w:hAnsi="Verdana" w:cs="Segoe UI"/>
          <w:sz w:val="20"/>
          <w:szCs w:val="20"/>
          <w:lang w:val="es-ES"/>
        </w:rPr>
      </w:pPr>
      <w:r>
        <w:rPr>
          <w:rFonts w:ascii="Verdana" w:hAnsi="Verdana"/>
          <w:sz w:val="20"/>
          <w:szCs w:val="20"/>
          <w:lang w:val="es-ES"/>
        </w:rPr>
        <w:t xml:space="preserve">2023: </w:t>
      </w:r>
      <w:hyperlink r:id="rId15" w:history="1">
        <w:r w:rsidRPr="00490076">
          <w:rPr>
            <w:rStyle w:val="Hyperlink"/>
            <w:rFonts w:ascii="Verdana" w:hAnsi="Verdana"/>
            <w:sz w:val="20"/>
            <w:szCs w:val="20"/>
            <w:lang w:val="es-ES"/>
          </w:rPr>
          <w:t>Sesión sobre el ODS 17: Alianzas para un desarrollo digital inclusivo y sostenible</w:t>
        </w:r>
      </w:hyperlink>
    </w:p>
    <w:p w14:paraId="52DF129B" w14:textId="5F8DE2AA" w:rsidR="00490076" w:rsidRDefault="00490076" w:rsidP="00490076">
      <w:pPr>
        <w:pStyle w:val="paragraph"/>
        <w:spacing w:before="240" w:beforeAutospacing="0" w:after="120" w:afterAutospacing="0"/>
        <w:textAlignment w:val="baseline"/>
        <w:rPr>
          <w:rFonts w:ascii="Verdana" w:hAnsi="Verdana" w:cs="Segoe UI"/>
          <w:sz w:val="20"/>
          <w:szCs w:val="20"/>
          <w:lang w:val="es-ES"/>
        </w:rPr>
      </w:pPr>
      <w:r>
        <w:rPr>
          <w:rFonts w:ascii="Verdana" w:hAnsi="Verdana"/>
          <w:sz w:val="20"/>
          <w:szCs w:val="20"/>
          <w:lang w:val="es-ES"/>
        </w:rPr>
        <w:t xml:space="preserve">2024: Mesa redonda de aprendizaje entre iguales sobre el ODS 13 - Resolver el cubo de Rubik de la crisis planetaria: alinear soluciones políticas para los riesgos climáticos y la pérdida de biodiversidad y </w:t>
      </w:r>
      <w:hyperlink r:id="rId16" w:history="1">
        <w:r w:rsidRPr="00490076">
          <w:rPr>
            <w:rStyle w:val="Hyperlink"/>
            <w:rFonts w:ascii="Verdana" w:hAnsi="Verdana"/>
            <w:sz w:val="20"/>
            <w:szCs w:val="20"/>
            <w:lang w:val="es-ES"/>
          </w:rPr>
          <w:t>Sesión sobre la transformación de los sistemas alimentarios como acelerador de la aplicación de los ODS y la acción por el clima en relación con el ODS 1: Hambre cero</w:t>
        </w:r>
      </w:hyperlink>
      <w:r>
        <w:rPr>
          <w:rFonts w:ascii="Verdana" w:hAnsi="Verdana"/>
          <w:sz w:val="20"/>
          <w:szCs w:val="20"/>
          <w:lang w:val="es-ES"/>
        </w:rPr>
        <w:t>.</w:t>
      </w:r>
    </w:p>
    <w:p w14:paraId="52D99754" w14:textId="2EE82869" w:rsidR="00490076" w:rsidRDefault="00490076" w:rsidP="00490076">
      <w:pPr>
        <w:pStyle w:val="paragraph"/>
        <w:spacing w:before="240" w:beforeAutospacing="0" w:after="120" w:afterAutospacing="0"/>
        <w:textAlignment w:val="baseline"/>
        <w:rPr>
          <w:rFonts w:ascii="Verdana" w:hAnsi="Verdana" w:cs="Segoe UI"/>
          <w:sz w:val="20"/>
          <w:szCs w:val="20"/>
          <w:lang w:val="es-ES"/>
        </w:rPr>
      </w:pPr>
      <w:hyperlink r:id="rId17" w:history="1">
        <w:r w:rsidRPr="00490076">
          <w:rPr>
            <w:rStyle w:val="Hyperlink"/>
            <w:rFonts w:ascii="Verdana" w:hAnsi="Verdana"/>
            <w:sz w:val="20"/>
            <w:szCs w:val="20"/>
            <w:lang w:val="es-ES"/>
          </w:rPr>
          <w:t>La Conferencia Regional sobre el Futuro Papel del Liderazgo y la Gestión de los Servicios Meteorológicos e Hidrológicos Nacionales (SMHN)</w:t>
        </w:r>
      </w:hyperlink>
      <w:r w:rsidRPr="00490076">
        <w:rPr>
          <w:rFonts w:ascii="Verdana" w:hAnsi="Verdana"/>
          <w:sz w:val="20"/>
          <w:szCs w:val="20"/>
          <w:lang w:val="es-ES"/>
        </w:rPr>
        <w:t xml:space="preserve"> se celebró en noviembre de 2022. El acto incluyó una sesión de alto nivel que coincidió con la presentación del informe sobre el estado </w:t>
      </w:r>
      <w:r w:rsidRPr="00490076">
        <w:rPr>
          <w:rFonts w:ascii="Verdana" w:hAnsi="Verdana"/>
          <w:sz w:val="20"/>
          <w:szCs w:val="20"/>
          <w:lang w:val="es-ES"/>
        </w:rPr>
        <w:lastRenderedPageBreak/>
        <w:t>del clima en Europa y se celebró paralelamente al Foro Regional inaugural sobre el Compromiso Público-Privado (PPE). Esta conferencia desempeñó un papel crucial en el apoyo a todas las prioridades regionales, incluida la aplicación de la Política Unificada de Datos. También hizo hincapié en el desarrollo de infraestructuras y servicios en colaboración con múltiples socios del sector, como Microsoft, para mejorar las capacidades y la resistencia regionales.</w:t>
      </w:r>
    </w:p>
    <w:p w14:paraId="008F5540" w14:textId="331888D8" w:rsidR="00490076" w:rsidRDefault="00490076" w:rsidP="00490076">
      <w:pPr>
        <w:pStyle w:val="paragraph"/>
        <w:spacing w:before="240" w:beforeAutospacing="0" w:after="120" w:afterAutospacing="0"/>
        <w:textAlignment w:val="baseline"/>
        <w:rPr>
          <w:rFonts w:ascii="Verdana" w:hAnsi="Verdana" w:cs="Segoe UI"/>
          <w:sz w:val="20"/>
          <w:szCs w:val="20"/>
          <w:lang w:val="es-ES"/>
        </w:rPr>
      </w:pPr>
      <w:r>
        <w:rPr>
          <w:rFonts w:ascii="Verdana" w:hAnsi="Verdana"/>
          <w:sz w:val="20"/>
          <w:szCs w:val="20"/>
          <w:lang w:val="es-ES"/>
        </w:rPr>
        <w:t>El lanzamiento anual del informe sobre el estado del clima en Europa (</w:t>
      </w:r>
      <w:hyperlink r:id="rId18" w:history="1">
        <w:r w:rsidRPr="00490076">
          <w:rPr>
            <w:rStyle w:val="Hyperlink"/>
            <w:rFonts w:ascii="Verdana" w:hAnsi="Verdana"/>
            <w:sz w:val="20"/>
            <w:szCs w:val="20"/>
            <w:lang w:val="es-ES"/>
          </w:rPr>
          <w:t>2021</w:t>
        </w:r>
      </w:hyperlink>
      <w:r>
        <w:rPr>
          <w:rFonts w:ascii="Verdana" w:hAnsi="Verdana"/>
          <w:sz w:val="20"/>
          <w:szCs w:val="20"/>
          <w:lang w:val="es-ES"/>
        </w:rPr>
        <w:t xml:space="preserve">, </w:t>
      </w:r>
      <w:hyperlink r:id="rId19" w:history="1">
        <w:r w:rsidRPr="00490076">
          <w:rPr>
            <w:rStyle w:val="Hyperlink"/>
            <w:rFonts w:ascii="Verdana" w:hAnsi="Verdana"/>
            <w:sz w:val="20"/>
            <w:szCs w:val="20"/>
            <w:lang w:val="es-ES"/>
          </w:rPr>
          <w:t>2022</w:t>
        </w:r>
      </w:hyperlink>
      <w:r>
        <w:rPr>
          <w:rFonts w:ascii="Verdana" w:hAnsi="Verdana"/>
          <w:sz w:val="20"/>
          <w:szCs w:val="20"/>
          <w:lang w:val="es-ES"/>
        </w:rPr>
        <w:t xml:space="preserve">, </w:t>
      </w:r>
      <w:hyperlink r:id="rId20" w:history="1">
        <w:r w:rsidRPr="00490076">
          <w:rPr>
            <w:rStyle w:val="Hyperlink"/>
            <w:rFonts w:ascii="Verdana" w:hAnsi="Verdana"/>
            <w:sz w:val="20"/>
            <w:szCs w:val="20"/>
            <w:lang w:val="es-ES"/>
          </w:rPr>
          <w:t>2023</w:t>
        </w:r>
      </w:hyperlink>
      <w:r>
        <w:rPr>
          <w:rFonts w:ascii="Verdana" w:hAnsi="Verdana"/>
          <w:sz w:val="20"/>
          <w:szCs w:val="20"/>
          <w:lang w:val="es-ES"/>
        </w:rPr>
        <w:t xml:space="preserve">), que se ha convertido en una publicación conjunta de la OMM y el Servicio de Cambio Climático </w:t>
      </w:r>
      <w:proofErr w:type="spellStart"/>
      <w:r>
        <w:rPr>
          <w:rFonts w:ascii="Verdana" w:hAnsi="Verdana"/>
          <w:sz w:val="20"/>
          <w:szCs w:val="20"/>
          <w:lang w:val="es-ES"/>
        </w:rPr>
        <w:t>Copernicus</w:t>
      </w:r>
      <w:proofErr w:type="spellEnd"/>
      <w:r>
        <w:rPr>
          <w:rFonts w:ascii="Verdana" w:hAnsi="Verdana"/>
          <w:sz w:val="20"/>
          <w:szCs w:val="20"/>
          <w:lang w:val="es-ES"/>
        </w:rPr>
        <w:t xml:space="preserve"> de la Comisión Europea. Este informe ofrece una visión en profundidad del estado del clima dentro de la Región VI de la OMM.</w:t>
      </w:r>
    </w:p>
    <w:p w14:paraId="15C622AA" w14:textId="47193AA1" w:rsidR="00490076" w:rsidRDefault="00490076" w:rsidP="00490076">
      <w:pPr>
        <w:pStyle w:val="paragraph"/>
        <w:spacing w:before="240" w:beforeAutospacing="0" w:after="120" w:afterAutospacing="0"/>
        <w:textAlignment w:val="baseline"/>
        <w:rPr>
          <w:rFonts w:ascii="Verdana" w:hAnsi="Verdana" w:cs="Segoe UI"/>
          <w:sz w:val="20"/>
          <w:szCs w:val="20"/>
          <w:lang w:val="es-ES"/>
        </w:rPr>
      </w:pPr>
      <w:r w:rsidRPr="00490076">
        <w:rPr>
          <w:rFonts w:ascii="Verdana" w:hAnsi="Verdana"/>
          <w:sz w:val="20"/>
          <w:szCs w:val="20"/>
          <w:lang w:val="es-ES"/>
        </w:rPr>
        <w:t xml:space="preserve">El </w:t>
      </w:r>
      <w:hyperlink r:id="rId21" w:history="1">
        <w:r w:rsidRPr="00490076">
          <w:rPr>
            <w:rStyle w:val="Hyperlink"/>
            <w:rFonts w:ascii="Verdana" w:hAnsi="Verdana"/>
            <w:sz w:val="20"/>
            <w:szCs w:val="20"/>
            <w:lang w:val="es-ES"/>
          </w:rPr>
          <w:t>Foro Científico Regional</w:t>
        </w:r>
      </w:hyperlink>
      <w:r w:rsidRPr="00490076">
        <w:rPr>
          <w:rFonts w:ascii="Verdana" w:hAnsi="Verdana"/>
          <w:sz w:val="20"/>
          <w:szCs w:val="20"/>
          <w:lang w:val="es-ES"/>
        </w:rPr>
        <w:t>, celebrado en octubre de 2023 en Bucarest (Rumanía), se diseñó para reforzar el componente de investigación de la región y facilitar la transferencia de la investigación a las prácticas operativas. Como plataforma vital, reunió a investigadores y científicos especializados en meteorología, agua, clima y cuestiones medioambientales afines para fomentar la colaboración e impulsar la innovación. El foro contó también con una sesión de comunicación en ciencias sociales, complementada con una exposición de arte y ciencia, que potenció el intercambio interdisciplinar y el compromiso público.</w:t>
      </w:r>
    </w:p>
    <w:p w14:paraId="6D2C7FE4" w14:textId="77777777" w:rsidR="00490076" w:rsidRDefault="00490076" w:rsidP="00490076">
      <w:pPr>
        <w:pStyle w:val="paragraph"/>
        <w:spacing w:before="240" w:beforeAutospacing="0" w:after="120" w:afterAutospacing="0"/>
        <w:textAlignment w:val="baseline"/>
        <w:rPr>
          <w:rFonts w:ascii="Verdana" w:hAnsi="Verdana" w:cs="Segoe UI"/>
          <w:sz w:val="20"/>
          <w:szCs w:val="20"/>
          <w:lang w:val="es-ES"/>
        </w:rPr>
      </w:pPr>
      <w:r>
        <w:rPr>
          <w:rFonts w:ascii="Verdana" w:hAnsi="Verdana"/>
          <w:sz w:val="20"/>
          <w:szCs w:val="20"/>
          <w:lang w:val="es-ES"/>
        </w:rPr>
        <w:t>La puesta en marcha de la iniciativa EW4All en la AR VI ha contado con el apoyo de actividades y una serie de eventos significativos, entre los que se incluyen:</w:t>
      </w:r>
    </w:p>
    <w:p w14:paraId="5F3332A4" w14:textId="77777777" w:rsidR="00490076" w:rsidRDefault="00490076" w:rsidP="00490076">
      <w:pPr>
        <w:pStyle w:val="WMOSubTitle1"/>
        <w:spacing w:before="240" w:after="120"/>
      </w:pPr>
      <w:r>
        <w:rPr>
          <w:bCs/>
          <w:iCs/>
          <w:lang w:val="es-ES"/>
        </w:rPr>
        <w:t>Actividades:</w:t>
      </w:r>
    </w:p>
    <w:p w14:paraId="4A2AB9E2" w14:textId="77777777" w:rsidR="00490076" w:rsidRDefault="00490076" w:rsidP="00490076">
      <w:pPr>
        <w:pStyle w:val="paragraph"/>
        <w:numPr>
          <w:ilvl w:val="0"/>
          <w:numId w:val="48"/>
        </w:numPr>
        <w:spacing w:before="240" w:beforeAutospacing="0" w:after="120" w:afterAutospacing="0"/>
        <w:ind w:left="567" w:hanging="567"/>
        <w:textAlignment w:val="baseline"/>
        <w:rPr>
          <w:rFonts w:ascii="Verdana" w:hAnsi="Verdana" w:cs="Segoe UI"/>
          <w:sz w:val="20"/>
          <w:szCs w:val="20"/>
          <w:lang w:val="es-ES"/>
        </w:rPr>
      </w:pPr>
      <w:r>
        <w:rPr>
          <w:rFonts w:ascii="Verdana" w:hAnsi="Verdana"/>
          <w:sz w:val="20"/>
          <w:szCs w:val="20"/>
          <w:lang w:val="es-ES"/>
        </w:rPr>
        <w:t>Establecimiento de Centros Regionales de la Subdivisión del Sistema Mundial Integrado de Observación de la OMM (WIGOS) en modo piloto en 2024</w:t>
      </w:r>
    </w:p>
    <w:p w14:paraId="6429FA0D" w14:textId="77777777" w:rsidR="00490076" w:rsidRDefault="00490076" w:rsidP="00490076">
      <w:pPr>
        <w:pStyle w:val="paragraph"/>
        <w:numPr>
          <w:ilvl w:val="0"/>
          <w:numId w:val="48"/>
        </w:numPr>
        <w:spacing w:before="240" w:beforeAutospacing="0" w:after="120" w:afterAutospacing="0"/>
        <w:ind w:left="567" w:hanging="567"/>
        <w:textAlignment w:val="baseline"/>
        <w:rPr>
          <w:rFonts w:ascii="Verdana" w:hAnsi="Verdana" w:cs="Segoe UI"/>
          <w:sz w:val="20"/>
          <w:szCs w:val="20"/>
          <w:lang w:val="es-ES"/>
        </w:rPr>
      </w:pPr>
      <w:r>
        <w:rPr>
          <w:rFonts w:ascii="Verdana" w:hAnsi="Verdana"/>
          <w:sz w:val="20"/>
          <w:szCs w:val="20"/>
          <w:lang w:val="es-ES"/>
        </w:rPr>
        <w:t xml:space="preserve">Implantación del prototipo del Sistema de Observación Hidrológica de la OMM (WHOS) en la cuenca del río </w:t>
      </w:r>
      <w:proofErr w:type="spellStart"/>
      <w:r>
        <w:rPr>
          <w:rFonts w:ascii="Verdana" w:hAnsi="Verdana"/>
          <w:sz w:val="20"/>
          <w:szCs w:val="20"/>
          <w:lang w:val="es-ES"/>
        </w:rPr>
        <w:t>Sava</w:t>
      </w:r>
      <w:proofErr w:type="spellEnd"/>
    </w:p>
    <w:p w14:paraId="396AB497" w14:textId="77777777" w:rsidR="00490076" w:rsidRDefault="00490076" w:rsidP="00490076">
      <w:pPr>
        <w:pStyle w:val="paragraph"/>
        <w:numPr>
          <w:ilvl w:val="0"/>
          <w:numId w:val="48"/>
        </w:numPr>
        <w:spacing w:before="240" w:beforeAutospacing="0" w:after="120" w:afterAutospacing="0"/>
        <w:ind w:left="567" w:hanging="567"/>
        <w:textAlignment w:val="baseline"/>
        <w:rPr>
          <w:rFonts w:ascii="Verdana" w:hAnsi="Verdana" w:cs="Segoe UI"/>
          <w:sz w:val="20"/>
          <w:szCs w:val="20"/>
          <w:lang w:val="es-ES"/>
        </w:rPr>
      </w:pPr>
      <w:r>
        <w:rPr>
          <w:rFonts w:ascii="Verdana" w:hAnsi="Verdana"/>
          <w:sz w:val="20"/>
          <w:szCs w:val="20"/>
          <w:lang w:val="es-ES"/>
        </w:rPr>
        <w:t>Desarrollo y mantenimiento del Sistema de Alerta Temprana del sureste de Europa albergado por el ECMWF.</w:t>
      </w:r>
    </w:p>
    <w:p w14:paraId="4D9EE5F6" w14:textId="77777777" w:rsidR="00490076" w:rsidRDefault="00490076" w:rsidP="00490076">
      <w:pPr>
        <w:pStyle w:val="WMOSubTitle1"/>
        <w:spacing w:before="240" w:after="120"/>
      </w:pPr>
      <w:r>
        <w:t>Events:</w:t>
      </w:r>
    </w:p>
    <w:p w14:paraId="63E8F7CA" w14:textId="32A3ACC2" w:rsidR="00490076" w:rsidRDefault="00490076" w:rsidP="00490076">
      <w:pPr>
        <w:pStyle w:val="paragraph"/>
        <w:numPr>
          <w:ilvl w:val="0"/>
          <w:numId w:val="49"/>
        </w:numPr>
        <w:spacing w:before="240" w:beforeAutospacing="0" w:after="120" w:afterAutospacing="0"/>
        <w:ind w:left="567" w:hanging="567"/>
        <w:textAlignment w:val="baseline"/>
        <w:rPr>
          <w:rFonts w:ascii="Verdana" w:hAnsi="Verdana" w:cs="Segoe UI"/>
          <w:sz w:val="20"/>
          <w:szCs w:val="20"/>
          <w:lang w:val="es-ES"/>
        </w:rPr>
      </w:pPr>
      <w:r>
        <w:rPr>
          <w:rFonts w:ascii="Verdana" w:hAnsi="Verdana"/>
          <w:sz w:val="20"/>
          <w:szCs w:val="20"/>
          <w:lang w:val="es-ES"/>
        </w:rPr>
        <w:t>2022: Foro Regional de la CEPE sobre Desarrollo Sostenible Evento paralelo sobre "</w:t>
      </w:r>
      <w:hyperlink r:id="rId22" w:history="1">
        <w:r w:rsidRPr="00490076">
          <w:rPr>
            <w:rStyle w:val="Hyperlink"/>
            <w:rFonts w:ascii="Verdana" w:hAnsi="Verdana"/>
            <w:sz w:val="20"/>
            <w:szCs w:val="20"/>
            <w:lang w:val="es-ES"/>
          </w:rPr>
          <w:t>Asociaciones para abordar el cambio climático, los fenómenos extremos y la reducción del riesgo de catástrofes con miras a los ODS</w:t>
        </w:r>
      </w:hyperlink>
      <w:r>
        <w:rPr>
          <w:rFonts w:ascii="Verdana" w:hAnsi="Verdana"/>
          <w:sz w:val="20"/>
          <w:szCs w:val="20"/>
          <w:lang w:val="es-ES"/>
        </w:rPr>
        <w:t>" (Ginebra, Suiza/Híbrido)</w:t>
      </w:r>
    </w:p>
    <w:p w14:paraId="7B76F006" w14:textId="55E467EB" w:rsidR="00490076" w:rsidRDefault="00490076" w:rsidP="00490076">
      <w:pPr>
        <w:pStyle w:val="paragraph"/>
        <w:numPr>
          <w:ilvl w:val="0"/>
          <w:numId w:val="49"/>
        </w:numPr>
        <w:spacing w:before="240" w:beforeAutospacing="0" w:after="120" w:afterAutospacing="0"/>
        <w:ind w:left="567" w:hanging="567"/>
        <w:textAlignment w:val="baseline"/>
        <w:rPr>
          <w:rFonts w:ascii="Verdana" w:hAnsi="Verdana" w:cs="Segoe UI"/>
          <w:sz w:val="20"/>
          <w:szCs w:val="20"/>
          <w:lang w:val="es-ES"/>
        </w:rPr>
      </w:pPr>
      <w:r>
        <w:rPr>
          <w:rFonts w:ascii="Verdana" w:hAnsi="Verdana"/>
          <w:sz w:val="20"/>
          <w:szCs w:val="20"/>
          <w:lang w:val="es-ES"/>
        </w:rPr>
        <w:t xml:space="preserve">2023: Evento paralelo del Foro Regional de la CEPE sobre la </w:t>
      </w:r>
      <w:hyperlink r:id="rId23" w:history="1">
        <w:r w:rsidRPr="00490076">
          <w:rPr>
            <w:rStyle w:val="Hyperlink"/>
            <w:rFonts w:ascii="Verdana" w:hAnsi="Verdana"/>
            <w:sz w:val="20"/>
            <w:szCs w:val="20"/>
            <w:lang w:val="es-ES"/>
          </w:rPr>
          <w:t>aplicación de la iniciativa EW4All</w:t>
        </w:r>
      </w:hyperlink>
      <w:r>
        <w:rPr>
          <w:rFonts w:ascii="Verdana" w:hAnsi="Verdana"/>
          <w:sz w:val="20"/>
          <w:szCs w:val="20"/>
          <w:lang w:val="es-ES"/>
        </w:rPr>
        <w:t xml:space="preserve"> (Ginebra/Híbrido)</w:t>
      </w:r>
    </w:p>
    <w:p w14:paraId="1CE308BF" w14:textId="2D563FE2" w:rsidR="00490076" w:rsidRDefault="00490076" w:rsidP="00490076">
      <w:pPr>
        <w:pStyle w:val="paragraph"/>
        <w:numPr>
          <w:ilvl w:val="0"/>
          <w:numId w:val="49"/>
        </w:numPr>
        <w:spacing w:before="240" w:beforeAutospacing="0" w:after="120" w:afterAutospacing="0"/>
        <w:ind w:left="567" w:hanging="567"/>
        <w:textAlignment w:val="baseline"/>
        <w:rPr>
          <w:rFonts w:ascii="Verdana" w:hAnsi="Verdana" w:cs="Segoe UI"/>
          <w:sz w:val="20"/>
          <w:szCs w:val="20"/>
          <w:lang w:val="es-ES"/>
        </w:rPr>
      </w:pPr>
      <w:r>
        <w:rPr>
          <w:rFonts w:ascii="Verdana" w:hAnsi="Verdana"/>
          <w:sz w:val="20"/>
          <w:szCs w:val="20"/>
          <w:lang w:val="es-ES"/>
        </w:rPr>
        <w:t xml:space="preserve">2023: </w:t>
      </w:r>
      <w:hyperlink r:id="rId24" w:history="1">
        <w:r w:rsidRPr="00490076">
          <w:rPr>
            <w:rStyle w:val="Hyperlink"/>
            <w:rFonts w:ascii="Verdana" w:hAnsi="Verdana"/>
            <w:sz w:val="20"/>
            <w:szCs w:val="20"/>
            <w:lang w:val="es-ES"/>
          </w:rPr>
          <w:t>Reunión de coordinación sobre el Plan de Acción EW4All para la AR VI</w:t>
        </w:r>
      </w:hyperlink>
      <w:r>
        <w:rPr>
          <w:rFonts w:ascii="Verdana" w:hAnsi="Verdana"/>
          <w:sz w:val="20"/>
          <w:szCs w:val="20"/>
          <w:lang w:val="es-ES"/>
        </w:rPr>
        <w:t xml:space="preserve"> (Ginebra, Suiza)</w:t>
      </w:r>
    </w:p>
    <w:p w14:paraId="4CD356E3" w14:textId="1D0619A8" w:rsidR="00490076" w:rsidRDefault="00490076" w:rsidP="00490076">
      <w:pPr>
        <w:pStyle w:val="paragraph"/>
        <w:numPr>
          <w:ilvl w:val="0"/>
          <w:numId w:val="49"/>
        </w:numPr>
        <w:spacing w:before="240" w:beforeAutospacing="0" w:after="120" w:afterAutospacing="0"/>
        <w:ind w:left="567" w:hanging="567"/>
        <w:textAlignment w:val="baseline"/>
        <w:rPr>
          <w:rFonts w:ascii="Verdana" w:hAnsi="Verdana" w:cs="Segoe UI"/>
          <w:sz w:val="20"/>
          <w:szCs w:val="20"/>
          <w:lang w:val="es-ES"/>
        </w:rPr>
      </w:pPr>
      <w:r>
        <w:rPr>
          <w:rFonts w:ascii="Verdana" w:hAnsi="Verdana"/>
          <w:sz w:val="20"/>
          <w:szCs w:val="20"/>
          <w:lang w:val="es-ES"/>
        </w:rPr>
        <w:t>2023: Evento paralelo de ICSEED sobre "</w:t>
      </w:r>
      <w:hyperlink r:id="rId25" w:history="1">
        <w:r w:rsidRPr="00490076">
          <w:rPr>
            <w:rStyle w:val="Hyperlink"/>
            <w:rFonts w:ascii="Verdana" w:hAnsi="Verdana"/>
            <w:sz w:val="20"/>
            <w:szCs w:val="20"/>
            <w:lang w:val="es-ES"/>
          </w:rPr>
          <w:t>Alerta temprana para todos</w:t>
        </w:r>
      </w:hyperlink>
      <w:r>
        <w:rPr>
          <w:rFonts w:ascii="Verdana" w:hAnsi="Verdana"/>
          <w:sz w:val="20"/>
          <w:szCs w:val="20"/>
          <w:lang w:val="es-ES"/>
        </w:rPr>
        <w:t>" (</w:t>
      </w:r>
      <w:proofErr w:type="spellStart"/>
      <w:r>
        <w:rPr>
          <w:rFonts w:ascii="Verdana" w:hAnsi="Verdana"/>
          <w:sz w:val="20"/>
          <w:szCs w:val="20"/>
          <w:lang w:val="es-ES"/>
        </w:rPr>
        <w:t>Brdo</w:t>
      </w:r>
      <w:proofErr w:type="spellEnd"/>
      <w:r>
        <w:rPr>
          <w:rFonts w:ascii="Verdana" w:hAnsi="Verdana"/>
          <w:sz w:val="20"/>
          <w:szCs w:val="20"/>
          <w:lang w:val="es-ES"/>
        </w:rPr>
        <w:t>, Eslovenia)</w:t>
      </w:r>
    </w:p>
    <w:p w14:paraId="62B91196" w14:textId="1EB254B0" w:rsidR="00490076" w:rsidRDefault="00490076" w:rsidP="00490076">
      <w:pPr>
        <w:pStyle w:val="paragraph"/>
        <w:numPr>
          <w:ilvl w:val="0"/>
          <w:numId w:val="49"/>
        </w:numPr>
        <w:spacing w:before="240" w:beforeAutospacing="0" w:after="120" w:afterAutospacing="0"/>
        <w:ind w:left="567" w:hanging="567"/>
        <w:textAlignment w:val="baseline"/>
        <w:rPr>
          <w:rFonts w:ascii="Verdana" w:hAnsi="Verdana" w:cs="Segoe UI"/>
          <w:sz w:val="20"/>
          <w:szCs w:val="20"/>
          <w:lang w:val="es-ES"/>
        </w:rPr>
      </w:pPr>
      <w:r>
        <w:rPr>
          <w:rFonts w:ascii="Verdana" w:hAnsi="Verdana"/>
          <w:sz w:val="20"/>
          <w:szCs w:val="20"/>
          <w:lang w:val="es-ES"/>
        </w:rPr>
        <w:t xml:space="preserve">2023: </w:t>
      </w:r>
      <w:hyperlink r:id="rId26" w:history="1">
        <w:r w:rsidRPr="00490076">
          <w:rPr>
            <w:rStyle w:val="Hyperlink"/>
            <w:rFonts w:ascii="Verdana" w:hAnsi="Verdana"/>
            <w:sz w:val="20"/>
            <w:szCs w:val="20"/>
            <w:lang w:val="es-ES"/>
          </w:rPr>
          <w:t>Evento sobre Inteligencia Artificial en apoyo de EW4All</w:t>
        </w:r>
      </w:hyperlink>
      <w:r>
        <w:rPr>
          <w:rFonts w:ascii="Verdana" w:hAnsi="Verdana"/>
          <w:sz w:val="20"/>
          <w:szCs w:val="20"/>
          <w:lang w:val="es-ES"/>
        </w:rPr>
        <w:t>, celebrado paralelamente a la Cg-19</w:t>
      </w:r>
    </w:p>
    <w:p w14:paraId="70E4A080" w14:textId="2BE11D7C" w:rsidR="00490076" w:rsidRDefault="00490076" w:rsidP="00490076">
      <w:pPr>
        <w:pStyle w:val="paragraph"/>
        <w:numPr>
          <w:ilvl w:val="0"/>
          <w:numId w:val="49"/>
        </w:numPr>
        <w:spacing w:before="240" w:beforeAutospacing="0" w:after="120" w:afterAutospacing="0"/>
        <w:ind w:left="567" w:hanging="567"/>
        <w:textAlignment w:val="baseline"/>
        <w:rPr>
          <w:rFonts w:ascii="Verdana" w:hAnsi="Verdana" w:cs="Segoe UI"/>
          <w:sz w:val="20"/>
          <w:szCs w:val="20"/>
          <w:lang w:val="es-ES"/>
        </w:rPr>
      </w:pPr>
      <w:r>
        <w:rPr>
          <w:rFonts w:ascii="Verdana" w:hAnsi="Verdana"/>
          <w:sz w:val="20"/>
          <w:szCs w:val="20"/>
          <w:lang w:val="es-ES"/>
        </w:rPr>
        <w:t xml:space="preserve">2023: </w:t>
      </w:r>
      <w:hyperlink r:id="rId27" w:history="1">
        <w:r w:rsidRPr="00490076">
          <w:rPr>
            <w:rStyle w:val="Hyperlink"/>
            <w:rFonts w:ascii="Verdana" w:hAnsi="Verdana"/>
            <w:sz w:val="20"/>
            <w:szCs w:val="20"/>
            <w:lang w:val="es-ES"/>
          </w:rPr>
          <w:t>Evento EW4All del Cáucaso Meridional</w:t>
        </w:r>
      </w:hyperlink>
      <w:r>
        <w:rPr>
          <w:rFonts w:ascii="Verdana" w:hAnsi="Verdana"/>
          <w:sz w:val="20"/>
          <w:szCs w:val="20"/>
          <w:lang w:val="es-ES"/>
        </w:rPr>
        <w:t xml:space="preserve"> (Ginebra, Suiza)</w:t>
      </w:r>
    </w:p>
    <w:p w14:paraId="0DEE35C1" w14:textId="00AB705D" w:rsidR="00490076" w:rsidRDefault="00490076" w:rsidP="00490076">
      <w:pPr>
        <w:pStyle w:val="paragraph"/>
        <w:numPr>
          <w:ilvl w:val="0"/>
          <w:numId w:val="49"/>
        </w:numPr>
        <w:spacing w:before="240" w:beforeAutospacing="0" w:after="120" w:afterAutospacing="0"/>
        <w:ind w:left="567" w:hanging="567"/>
        <w:textAlignment w:val="baseline"/>
        <w:rPr>
          <w:rFonts w:ascii="Verdana" w:hAnsi="Verdana" w:cs="Segoe UI"/>
          <w:sz w:val="20"/>
          <w:szCs w:val="20"/>
          <w:lang w:val="es-ES"/>
        </w:rPr>
      </w:pPr>
      <w:r>
        <w:rPr>
          <w:rFonts w:ascii="Verdana" w:hAnsi="Verdana"/>
          <w:sz w:val="20"/>
          <w:szCs w:val="20"/>
          <w:lang w:val="es-ES"/>
        </w:rPr>
        <w:t xml:space="preserve">2023-2024: </w:t>
      </w:r>
      <w:hyperlink r:id="rId28" w:history="1">
        <w:r w:rsidRPr="00490076">
          <w:rPr>
            <w:rStyle w:val="Hyperlink"/>
            <w:rFonts w:ascii="Verdana" w:hAnsi="Verdana"/>
            <w:sz w:val="20"/>
            <w:szCs w:val="20"/>
            <w:lang w:val="es-ES"/>
          </w:rPr>
          <w:t>Evaluaciones rápidas de la capacidad de vigilancia y previsión de riesgos</w:t>
        </w:r>
      </w:hyperlink>
    </w:p>
    <w:p w14:paraId="0690EC48" w14:textId="00D91C7D" w:rsidR="00490076" w:rsidRDefault="00490076" w:rsidP="00490076">
      <w:pPr>
        <w:pStyle w:val="paragraph"/>
        <w:numPr>
          <w:ilvl w:val="0"/>
          <w:numId w:val="49"/>
        </w:numPr>
        <w:spacing w:before="240" w:beforeAutospacing="0" w:after="120" w:afterAutospacing="0"/>
        <w:ind w:left="567" w:hanging="567"/>
        <w:textAlignment w:val="baseline"/>
        <w:rPr>
          <w:rFonts w:ascii="Verdana" w:hAnsi="Verdana" w:cs="Segoe UI"/>
          <w:sz w:val="20"/>
          <w:szCs w:val="20"/>
          <w:lang w:val="es-ES"/>
        </w:rPr>
      </w:pPr>
      <w:r>
        <w:rPr>
          <w:rFonts w:ascii="Verdana" w:hAnsi="Verdana"/>
          <w:sz w:val="20"/>
          <w:szCs w:val="20"/>
          <w:lang w:val="es-ES"/>
        </w:rPr>
        <w:t xml:space="preserve">2024: </w:t>
      </w:r>
      <w:hyperlink r:id="rId29" w:history="1">
        <w:r w:rsidRPr="00490076">
          <w:rPr>
            <w:rStyle w:val="Hyperlink"/>
            <w:rFonts w:ascii="Verdana" w:hAnsi="Verdana"/>
            <w:sz w:val="20"/>
            <w:szCs w:val="20"/>
            <w:lang w:val="es-ES"/>
          </w:rPr>
          <w:t>Evento de Alerta Temprana para Todos en Europa Sudoriental</w:t>
        </w:r>
      </w:hyperlink>
      <w:r>
        <w:rPr>
          <w:rFonts w:ascii="Verdana" w:hAnsi="Verdana"/>
          <w:sz w:val="20"/>
          <w:szCs w:val="20"/>
          <w:lang w:val="es-ES"/>
        </w:rPr>
        <w:t xml:space="preserve"> (Atenas, Grecia).</w:t>
      </w:r>
    </w:p>
    <w:p w14:paraId="00C53E5B" w14:textId="77777777" w:rsidR="00490076" w:rsidRPr="00490076" w:rsidRDefault="00490076" w:rsidP="00490076">
      <w:pPr>
        <w:pStyle w:val="paragraph"/>
        <w:spacing w:before="240" w:beforeAutospacing="0" w:after="120" w:afterAutospacing="0"/>
        <w:textAlignment w:val="baseline"/>
        <w:rPr>
          <w:rStyle w:val="normaltextrun"/>
          <w:rFonts w:eastAsia="Verdana"/>
          <w:lang w:val="es-ES"/>
        </w:rPr>
      </w:pPr>
      <w:r>
        <w:rPr>
          <w:rFonts w:ascii="Verdana" w:hAnsi="Verdana"/>
          <w:sz w:val="20"/>
          <w:szCs w:val="20"/>
          <w:lang w:val="es-ES"/>
        </w:rPr>
        <w:lastRenderedPageBreak/>
        <w:t>En el desempeño de sus funciones, el presidente contó con la asistencia de la Oficina Regional de la OMM para Europa.</w:t>
      </w:r>
    </w:p>
    <w:p w14:paraId="29F5E561" w14:textId="77777777" w:rsidR="00490076" w:rsidRPr="00490076" w:rsidRDefault="00490076" w:rsidP="00490076">
      <w:pPr>
        <w:pStyle w:val="paragraph"/>
        <w:spacing w:before="240" w:beforeAutospacing="0" w:after="120" w:afterAutospacing="0"/>
        <w:textAlignment w:val="baseline"/>
        <w:rPr>
          <w:rFonts w:eastAsia="Verdana" w:cs="Segoe UI"/>
          <w:lang w:val="es-ES"/>
        </w:rPr>
      </w:pPr>
      <w:r>
        <w:rPr>
          <w:rFonts w:ascii="Verdana" w:hAnsi="Verdana"/>
          <w:sz w:val="20"/>
          <w:szCs w:val="20"/>
          <w:lang w:val="es-ES"/>
        </w:rPr>
        <w:t>La Oficina Regional de la OMM para Europa lleva a cabo su misión a través de cinco funciones básicas: representación, promoción, coordinación, apoyo administrativo y logístico, y gestión interna.</w:t>
      </w:r>
    </w:p>
    <w:p w14:paraId="596D762E" w14:textId="77777777" w:rsidR="00490076" w:rsidRDefault="00490076" w:rsidP="00490076">
      <w:pPr>
        <w:pStyle w:val="WMOSubTitle1"/>
        <w:spacing w:before="240" w:after="120"/>
        <w:rPr>
          <w:lang w:val="es-ES"/>
        </w:rPr>
      </w:pPr>
      <w:r>
        <w:rPr>
          <w:bCs/>
          <w:iCs/>
          <w:lang w:val="es-ES"/>
        </w:rPr>
        <w:t>Representación</w:t>
      </w:r>
    </w:p>
    <w:p w14:paraId="575BB40A" w14:textId="77777777" w:rsidR="00490076" w:rsidRDefault="00490076" w:rsidP="00490076">
      <w:pPr>
        <w:pStyle w:val="paragraph"/>
        <w:spacing w:before="240" w:beforeAutospacing="0" w:after="120" w:afterAutospacing="0"/>
        <w:textAlignment w:val="baseline"/>
        <w:rPr>
          <w:rFonts w:ascii="Verdana" w:hAnsi="Verdana" w:cs="Segoe UI"/>
          <w:sz w:val="20"/>
          <w:szCs w:val="20"/>
          <w:lang w:val="es-ES"/>
        </w:rPr>
      </w:pPr>
      <w:r>
        <w:rPr>
          <w:rFonts w:ascii="Verdana" w:hAnsi="Verdana"/>
          <w:sz w:val="20"/>
          <w:szCs w:val="20"/>
          <w:lang w:val="es-ES"/>
        </w:rPr>
        <w:t>La Oficina representa a la Secretaría de la OMM en la AR VI de la OMM asesorando a los Miembros sobre los objetivos estratégicos de la OMM y haciendo un seguimiento de los principales acontecimientos mundiales y regionales. También representa a la región ante la Secretaría de la OMM, proporcionando información actualizada sobre las actividades relacionadas con el tiempo, el agua y el clima y facilitando las contribuciones de la región a los planes estratégicos de la OMM.</w:t>
      </w:r>
    </w:p>
    <w:p w14:paraId="7416C663" w14:textId="77777777" w:rsidR="00490076" w:rsidRPr="00490076" w:rsidRDefault="00490076" w:rsidP="00490076">
      <w:pPr>
        <w:pStyle w:val="WMOSubTitle1"/>
        <w:spacing w:before="240" w:after="120"/>
        <w:rPr>
          <w:lang w:val="es-ES"/>
        </w:rPr>
      </w:pPr>
      <w:r>
        <w:rPr>
          <w:bCs/>
          <w:iCs/>
          <w:lang w:val="es-ES"/>
        </w:rPr>
        <w:t>Defensa</w:t>
      </w:r>
    </w:p>
    <w:p w14:paraId="28C5AD3E" w14:textId="77777777" w:rsidR="00490076" w:rsidRDefault="00490076" w:rsidP="00490076">
      <w:pPr>
        <w:pStyle w:val="paragraph"/>
        <w:spacing w:before="240" w:beforeAutospacing="0" w:after="120" w:afterAutospacing="0"/>
        <w:textAlignment w:val="baseline"/>
        <w:rPr>
          <w:rFonts w:ascii="Verdana" w:hAnsi="Verdana" w:cs="Segoe UI"/>
          <w:sz w:val="20"/>
          <w:szCs w:val="20"/>
          <w:lang w:val="es-ES"/>
        </w:rPr>
      </w:pPr>
      <w:r>
        <w:rPr>
          <w:rFonts w:ascii="Verdana" w:hAnsi="Verdana"/>
          <w:sz w:val="20"/>
          <w:szCs w:val="20"/>
          <w:lang w:val="es-ES"/>
        </w:rPr>
        <w:t>La Oficina trabaja para aumentar la visibilidad y la influencia de la OMM en la AR VI de la OMM mediante el enlace con los asociados regionales y los organismos de las Naciones Unidas, el fortalecimiento de las redes regionales y la promoción de la inversión en sistemas y servicios meteorológicos. Involucra a las partes interesadas en iniciativas alineadas con las prioridades estratégicas.</w:t>
      </w:r>
    </w:p>
    <w:p w14:paraId="4293DEF1" w14:textId="77777777" w:rsidR="00490076" w:rsidRDefault="00490076" w:rsidP="00490076">
      <w:pPr>
        <w:pStyle w:val="WMOSubTitle1"/>
        <w:spacing w:before="240" w:after="120"/>
        <w:rPr>
          <w:lang w:val="es-ES"/>
        </w:rPr>
      </w:pPr>
      <w:r>
        <w:rPr>
          <w:bCs/>
          <w:iCs/>
          <w:lang w:val="es-ES"/>
        </w:rPr>
        <w:t>Coordinación</w:t>
      </w:r>
    </w:p>
    <w:p w14:paraId="3DDC9EF7" w14:textId="77777777" w:rsidR="00490076" w:rsidRDefault="00490076" w:rsidP="00490076">
      <w:pPr>
        <w:pStyle w:val="paragraph"/>
        <w:spacing w:before="240" w:beforeAutospacing="0" w:after="120" w:afterAutospacing="0"/>
        <w:textAlignment w:val="baseline"/>
        <w:rPr>
          <w:rFonts w:ascii="Verdana" w:hAnsi="Verdana" w:cs="Segoe UI"/>
          <w:sz w:val="20"/>
          <w:szCs w:val="20"/>
          <w:lang w:val="es-ES"/>
        </w:rPr>
      </w:pPr>
      <w:r>
        <w:rPr>
          <w:rFonts w:ascii="Verdana" w:hAnsi="Verdana"/>
          <w:sz w:val="20"/>
          <w:szCs w:val="20"/>
          <w:lang w:val="es-ES"/>
        </w:rPr>
        <w:t>Se trata de difundir entre los diputados información sobre la evolución del tiempo, el agua y el clima, analizar las necesidades y carencias regionales y apoyar a los centros regionales. La Oficina también ayuda a la AR y a sus dirigentes en sus actividades y proyectos.</w:t>
      </w:r>
    </w:p>
    <w:p w14:paraId="53CB3449" w14:textId="77777777" w:rsidR="00490076" w:rsidRDefault="00490076" w:rsidP="00490076">
      <w:pPr>
        <w:pStyle w:val="WMOSubTitle1"/>
        <w:spacing w:before="240" w:after="120"/>
        <w:rPr>
          <w:lang w:val="es-ES"/>
        </w:rPr>
      </w:pPr>
      <w:r>
        <w:rPr>
          <w:bCs/>
          <w:iCs/>
          <w:lang w:val="es-ES"/>
        </w:rPr>
        <w:t>Apoyo administrativo y logístico</w:t>
      </w:r>
    </w:p>
    <w:p w14:paraId="35A1A418" w14:textId="77777777" w:rsidR="00490076" w:rsidRDefault="00490076" w:rsidP="00490076">
      <w:pPr>
        <w:pStyle w:val="paragraph"/>
        <w:spacing w:before="240" w:beforeAutospacing="0" w:after="120" w:afterAutospacing="0"/>
        <w:textAlignment w:val="baseline"/>
        <w:rPr>
          <w:rFonts w:ascii="Verdana" w:hAnsi="Verdana" w:cs="Segoe UI"/>
          <w:sz w:val="20"/>
          <w:szCs w:val="20"/>
          <w:lang w:val="es-ES"/>
        </w:rPr>
      </w:pPr>
      <w:r>
        <w:rPr>
          <w:rFonts w:ascii="Verdana" w:hAnsi="Verdana"/>
          <w:sz w:val="20"/>
          <w:szCs w:val="20"/>
          <w:lang w:val="es-ES"/>
        </w:rPr>
        <w:t>La Oficina colabora en la planificación y organización de sesiones, reuniones y actos regionales. Apoya el desarrollo de planes operativos, recopila información para la planificación y la promoción, y mantiene actualizados los perfiles de los países.</w:t>
      </w:r>
    </w:p>
    <w:p w14:paraId="152102D0" w14:textId="77777777" w:rsidR="00490076" w:rsidRDefault="00490076" w:rsidP="00490076">
      <w:pPr>
        <w:pStyle w:val="WMOSubTitle1"/>
        <w:spacing w:before="240" w:after="120"/>
        <w:rPr>
          <w:lang w:val="es-ES"/>
        </w:rPr>
      </w:pPr>
      <w:r>
        <w:rPr>
          <w:bCs/>
          <w:iCs/>
          <w:lang w:val="es-ES"/>
        </w:rPr>
        <w:t>Gestión interna</w:t>
      </w:r>
    </w:p>
    <w:p w14:paraId="2E75B417" w14:textId="77777777" w:rsidR="00490076" w:rsidRDefault="00490076" w:rsidP="00490076">
      <w:pPr>
        <w:pStyle w:val="paragraph"/>
        <w:spacing w:before="240" w:beforeAutospacing="0" w:after="120" w:afterAutospacing="0"/>
        <w:textAlignment w:val="baseline"/>
        <w:rPr>
          <w:rFonts w:ascii="Verdana" w:hAnsi="Verdana" w:cs="Segoe UI"/>
          <w:sz w:val="20"/>
          <w:szCs w:val="20"/>
          <w:lang w:val="es-ES"/>
        </w:rPr>
      </w:pPr>
      <w:r>
        <w:rPr>
          <w:rFonts w:ascii="Verdana" w:hAnsi="Verdana"/>
          <w:sz w:val="20"/>
          <w:szCs w:val="20"/>
          <w:lang w:val="es-ES"/>
        </w:rPr>
        <w:t xml:space="preserve">La Oficina está compuesta por un </w:t>
      </w:r>
      <w:proofErr w:type="gramStart"/>
      <w:r>
        <w:rPr>
          <w:rFonts w:ascii="Verdana" w:hAnsi="Verdana"/>
          <w:sz w:val="20"/>
          <w:szCs w:val="20"/>
          <w:lang w:val="es-ES"/>
        </w:rPr>
        <w:t>Director</w:t>
      </w:r>
      <w:proofErr w:type="gramEnd"/>
      <w:r>
        <w:rPr>
          <w:rFonts w:ascii="Verdana" w:hAnsi="Verdana"/>
          <w:sz w:val="20"/>
          <w:szCs w:val="20"/>
          <w:lang w:val="es-ES"/>
        </w:rPr>
        <w:t>, un Oficial de Programas, un Coordinador y un puesto de Jefe que dejará de existir en octubre de 2024.</w:t>
      </w:r>
    </w:p>
    <w:p w14:paraId="748A979D" w14:textId="77777777" w:rsidR="00490076" w:rsidRDefault="00490076" w:rsidP="00490076">
      <w:pPr>
        <w:pStyle w:val="Heading3"/>
        <w:spacing w:before="240" w:after="120"/>
        <w:rPr>
          <w:lang w:val="es-ES"/>
        </w:rPr>
      </w:pPr>
      <w:r>
        <w:rPr>
          <w:lang w:val="es-ES"/>
        </w:rPr>
        <w:t>Principales logros</w:t>
      </w:r>
    </w:p>
    <w:p w14:paraId="03E76A42" w14:textId="77777777" w:rsidR="00490076" w:rsidRDefault="00490076" w:rsidP="00490076">
      <w:pPr>
        <w:pStyle w:val="paragraph"/>
        <w:spacing w:before="240" w:beforeAutospacing="0" w:after="120" w:afterAutospacing="0"/>
        <w:textAlignment w:val="baseline"/>
        <w:rPr>
          <w:rFonts w:ascii="Verdana" w:hAnsi="Verdana" w:cs="Segoe UI"/>
          <w:sz w:val="20"/>
          <w:szCs w:val="20"/>
          <w:lang w:val="es-ES"/>
        </w:rPr>
      </w:pPr>
      <w:r>
        <w:rPr>
          <w:rFonts w:ascii="Verdana" w:hAnsi="Verdana"/>
          <w:sz w:val="20"/>
          <w:szCs w:val="20"/>
          <w:lang w:val="es-ES"/>
        </w:rPr>
        <w:t>Incluye la multiplicación de plataformas y mecanismos de promoción, la mejora de la comunicación, el refuerzo de la visibilidad de las actividades de la OMM y del papel de los SMHN en el desarrollo sostenible, el fomento de una colaboración más integradora con asociaciones ampliadas, el refuerzo de la participación de los centros especializados en procesos clave, como el desarrollo de capacidades y la transferencia de la investigación a las operaciones, mejorando así las capacidades de la región.</w:t>
      </w:r>
    </w:p>
    <w:p w14:paraId="5FE42224" w14:textId="77777777" w:rsidR="00490076" w:rsidRDefault="00490076" w:rsidP="00490076">
      <w:pPr>
        <w:pStyle w:val="paragraph"/>
        <w:spacing w:before="240" w:beforeAutospacing="0" w:after="120" w:afterAutospacing="0"/>
        <w:textAlignment w:val="baseline"/>
        <w:rPr>
          <w:rFonts w:ascii="Verdana" w:hAnsi="Verdana" w:cs="Segoe UI"/>
          <w:sz w:val="20"/>
          <w:szCs w:val="20"/>
          <w:lang w:val="es-ES"/>
        </w:rPr>
      </w:pPr>
      <w:r>
        <w:rPr>
          <w:rFonts w:ascii="Verdana" w:hAnsi="Verdana"/>
          <w:sz w:val="20"/>
          <w:szCs w:val="20"/>
          <w:lang w:val="es-ES"/>
        </w:rPr>
        <w:t>Para más detalles, puede acceder a las siguientes páginas web:</w:t>
      </w:r>
    </w:p>
    <w:p w14:paraId="4DFEB9CF" w14:textId="77777777" w:rsidR="00490076" w:rsidRDefault="00490076" w:rsidP="00490076">
      <w:pPr>
        <w:pStyle w:val="paragraph"/>
        <w:spacing w:before="240" w:beforeAutospacing="0" w:after="120" w:afterAutospacing="0"/>
        <w:textAlignment w:val="baseline"/>
        <w:rPr>
          <w:rFonts w:ascii="Verdana" w:hAnsi="Verdana" w:cs="Segoe UI"/>
          <w:sz w:val="20"/>
          <w:szCs w:val="20"/>
          <w:lang w:val="es-ES"/>
        </w:rPr>
      </w:pPr>
      <w:hyperlink r:id="rId30" w:tgtFrame="_blank" w:history="1">
        <w:r>
          <w:rPr>
            <w:rStyle w:val="Hyperlink"/>
            <w:rFonts w:ascii="Verdana" w:hAnsi="Verdana"/>
            <w:sz w:val="20"/>
            <w:szCs w:val="20"/>
            <w:lang w:val="es-ES"/>
          </w:rPr>
          <w:t>Oficina Regional para Europa | Organización Meteorológica Mundial (wmo.int)</w:t>
        </w:r>
      </w:hyperlink>
    </w:p>
    <w:p w14:paraId="402B2845" w14:textId="77777777" w:rsidR="00490076" w:rsidRDefault="00490076" w:rsidP="00490076">
      <w:pPr>
        <w:pStyle w:val="paragraph"/>
        <w:spacing w:before="240" w:beforeAutospacing="0" w:after="120" w:afterAutospacing="0"/>
        <w:textAlignment w:val="baseline"/>
        <w:rPr>
          <w:rFonts w:ascii="Verdana" w:hAnsi="Verdana" w:cs="Segoe UI"/>
          <w:sz w:val="20"/>
          <w:szCs w:val="20"/>
          <w:lang w:val="es-ES"/>
        </w:rPr>
      </w:pPr>
      <w:hyperlink r:id="rId31" w:tgtFrame="_blank" w:history="1">
        <w:r>
          <w:rPr>
            <w:rStyle w:val="Hyperlink"/>
            <w:rFonts w:ascii="Verdana" w:hAnsi="Verdana"/>
            <w:sz w:val="20"/>
            <w:szCs w:val="20"/>
            <w:lang w:val="es-ES"/>
          </w:rPr>
          <w:t>Entrevistas | Organización Meteorológica Mundial (wmo.int)</w:t>
        </w:r>
      </w:hyperlink>
    </w:p>
    <w:p w14:paraId="52B4B263" w14:textId="77777777" w:rsidR="00490076" w:rsidRPr="00490076" w:rsidRDefault="00490076" w:rsidP="00490076">
      <w:pPr>
        <w:pStyle w:val="Heading3"/>
        <w:spacing w:before="240" w:after="120"/>
        <w:rPr>
          <w:rStyle w:val="normaltextrun"/>
          <w:lang w:val="es-ES"/>
        </w:rPr>
      </w:pPr>
      <w:r>
        <w:rPr>
          <w:lang w:val="es-ES"/>
        </w:rPr>
        <w:lastRenderedPageBreak/>
        <w:t>Actividades previstas</w:t>
      </w:r>
    </w:p>
    <w:p w14:paraId="792C5934" w14:textId="77777777" w:rsidR="00490076" w:rsidRPr="00490076" w:rsidRDefault="00490076" w:rsidP="00490076">
      <w:pPr>
        <w:pStyle w:val="paragraph"/>
        <w:spacing w:before="240" w:beforeAutospacing="0" w:after="120" w:afterAutospacing="0"/>
        <w:textAlignment w:val="baseline"/>
        <w:rPr>
          <w:rFonts w:ascii="Verdana" w:eastAsia="Verdana" w:hAnsi="Verdana"/>
          <w:sz w:val="20"/>
          <w:szCs w:val="20"/>
          <w:lang w:val="es-ES"/>
        </w:rPr>
      </w:pPr>
      <w:r>
        <w:rPr>
          <w:rFonts w:ascii="Verdana" w:hAnsi="Verdana"/>
          <w:sz w:val="20"/>
          <w:szCs w:val="20"/>
          <w:lang w:val="es-ES"/>
        </w:rPr>
        <w:t>Los esfuerzos futuros se centran en aplicar el plan regional, apoyar el desarrollo de estrategias nacionales, potenciar las asociaciones regionales y participar en mecanismos de colaboración regional. La Oficina también tiene previsto elaborar material de comunicación y cuadros de mando operativos, al tiempo que prosigue el seguimiento de los proyectos en curso.</w:t>
      </w:r>
    </w:p>
    <w:p w14:paraId="54C59516" w14:textId="77777777" w:rsidR="001A25F0" w:rsidRPr="002A29BD" w:rsidRDefault="001A25F0" w:rsidP="00490076">
      <w:pPr>
        <w:pStyle w:val="WMOBodyText"/>
        <w:ind w:left="3969" w:hanging="3969"/>
        <w:rPr>
          <w:lang w:val="es-419"/>
        </w:rPr>
      </w:pPr>
    </w:p>
    <w:sectPr w:rsidR="001A25F0" w:rsidRPr="002A29BD" w:rsidSect="00472D8C">
      <w:headerReference w:type="default" r:id="rId3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22F5C" w14:textId="77777777" w:rsidR="008554DE" w:rsidRDefault="008554DE">
      <w:r>
        <w:separator/>
      </w:r>
    </w:p>
    <w:p w14:paraId="4F9FBB5B" w14:textId="77777777" w:rsidR="008554DE" w:rsidRDefault="008554DE"/>
    <w:p w14:paraId="3DE37138" w14:textId="77777777" w:rsidR="008554DE" w:rsidRDefault="008554DE"/>
  </w:endnote>
  <w:endnote w:type="continuationSeparator" w:id="0">
    <w:p w14:paraId="682E70B2" w14:textId="77777777" w:rsidR="008554DE" w:rsidRDefault="008554DE">
      <w:r>
        <w:continuationSeparator/>
      </w:r>
    </w:p>
    <w:p w14:paraId="58A6457D" w14:textId="77777777" w:rsidR="008554DE" w:rsidRDefault="008554DE"/>
    <w:p w14:paraId="7DC4AAAB" w14:textId="77777777" w:rsidR="008554DE" w:rsidRDefault="008554DE"/>
  </w:endnote>
  <w:endnote w:type="continuationNotice" w:id="1">
    <w:p w14:paraId="77F2BCBF" w14:textId="77777777" w:rsidR="008554DE" w:rsidRDefault="00855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1DA73" w14:textId="77777777" w:rsidR="008554DE" w:rsidRDefault="008554DE">
      <w:r>
        <w:separator/>
      </w:r>
    </w:p>
  </w:footnote>
  <w:footnote w:type="continuationSeparator" w:id="0">
    <w:p w14:paraId="1A2AEBB3" w14:textId="77777777" w:rsidR="008554DE" w:rsidRDefault="008554DE">
      <w:r>
        <w:continuationSeparator/>
      </w:r>
    </w:p>
    <w:p w14:paraId="7BA0E25A" w14:textId="77777777" w:rsidR="008554DE" w:rsidRDefault="008554DE"/>
    <w:p w14:paraId="66189CF7" w14:textId="77777777" w:rsidR="008554DE" w:rsidRDefault="008554DE"/>
  </w:footnote>
  <w:footnote w:type="continuationNotice" w:id="1">
    <w:p w14:paraId="1E6C569B" w14:textId="77777777" w:rsidR="008554DE" w:rsidRDefault="008554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16A7" w14:textId="03ADD8B0" w:rsidR="003143C9" w:rsidRPr="00472D8C" w:rsidRDefault="00FC2996" w:rsidP="00B72444">
    <w:pPr>
      <w:pStyle w:val="Header"/>
      <w:rPr>
        <w:sz w:val="18"/>
        <w:szCs w:val="18"/>
        <w:lang w:val="it-IT"/>
      </w:rPr>
    </w:pPr>
    <w:r w:rsidRPr="003D423B">
      <w:rPr>
        <w:sz w:val="18"/>
        <w:szCs w:val="18"/>
        <w:lang w:val="it-IT"/>
      </w:rPr>
      <w:t>A</w:t>
    </w:r>
    <w:r w:rsidR="0069167A">
      <w:rPr>
        <w:sz w:val="18"/>
        <w:szCs w:val="18"/>
        <w:lang w:val="it-IT"/>
      </w:rPr>
      <w:t>R</w:t>
    </w:r>
    <w:r w:rsidRPr="003D423B">
      <w:rPr>
        <w:sz w:val="18"/>
        <w:szCs w:val="18"/>
        <w:lang w:val="it-IT"/>
      </w:rPr>
      <w:t xml:space="preserve"> </w:t>
    </w:r>
    <w:r w:rsidR="0069167A">
      <w:rPr>
        <w:sz w:val="18"/>
        <w:szCs w:val="18"/>
        <w:lang w:val="it-IT"/>
      </w:rPr>
      <w:t>V</w:t>
    </w:r>
    <w:r w:rsidRPr="003D423B">
      <w:rPr>
        <w:sz w:val="18"/>
        <w:szCs w:val="18"/>
        <w:lang w:val="it-IT"/>
      </w:rPr>
      <w:t>I-1</w:t>
    </w:r>
    <w:r w:rsidR="00EA6A2D" w:rsidRPr="003D423B">
      <w:rPr>
        <w:sz w:val="18"/>
        <w:szCs w:val="18"/>
        <w:lang w:val="it-IT"/>
      </w:rPr>
      <w:t>9(I)</w:t>
    </w:r>
    <w:r w:rsidRPr="003D423B">
      <w:rPr>
        <w:sz w:val="18"/>
        <w:szCs w:val="18"/>
        <w:lang w:val="it-IT"/>
      </w:rPr>
      <w:t>/</w:t>
    </w:r>
    <w:r w:rsidR="00490076">
      <w:rPr>
        <w:sz w:val="18"/>
        <w:szCs w:val="18"/>
        <w:lang w:val="it-IT"/>
      </w:rPr>
      <w:t>INF 2.1(1)</w:t>
    </w:r>
    <w:r w:rsidR="003143C9" w:rsidRPr="003D423B">
      <w:rPr>
        <w:sz w:val="18"/>
        <w:szCs w:val="18"/>
        <w:lang w:val="it-IT"/>
      </w:rPr>
      <w:t xml:space="preserve">, </w:t>
    </w:r>
    <w:r w:rsidR="00595ED4" w:rsidRPr="008C11BE">
      <w:rPr>
        <w:sz w:val="18"/>
        <w:szCs w:val="18"/>
        <w:lang w:val="it-IT"/>
      </w:rPr>
      <w:t>VERSI</w:t>
    </w:r>
    <w:r w:rsidR="00472D8C">
      <w:rPr>
        <w:sz w:val="18"/>
        <w:szCs w:val="18"/>
        <w:lang w:val="it-IT"/>
      </w:rPr>
      <w:t>Ó</w:t>
    </w:r>
    <w:r w:rsidR="00595ED4" w:rsidRPr="008C11BE">
      <w:rPr>
        <w:sz w:val="18"/>
        <w:szCs w:val="18"/>
        <w:lang w:val="it-IT"/>
      </w:rPr>
      <w:t>N</w:t>
    </w:r>
    <w:r w:rsidR="003143C9" w:rsidRPr="003D423B">
      <w:rPr>
        <w:sz w:val="18"/>
        <w:szCs w:val="18"/>
        <w:lang w:val="it-IT"/>
      </w:rPr>
      <w:t xml:space="preserve"> 1, p. </w:t>
    </w:r>
    <w:r w:rsidR="003143C9" w:rsidRPr="00595ED4">
      <w:rPr>
        <w:rStyle w:val="PageNumber"/>
        <w:sz w:val="18"/>
        <w:szCs w:val="18"/>
      </w:rPr>
      <w:fldChar w:fldCharType="begin"/>
    </w:r>
    <w:r w:rsidR="003143C9" w:rsidRPr="003D423B">
      <w:rPr>
        <w:rStyle w:val="PageNumber"/>
        <w:sz w:val="18"/>
        <w:szCs w:val="18"/>
        <w:lang w:val="it-IT"/>
      </w:rPr>
      <w:instrText xml:space="preserve"> PAGE </w:instrText>
    </w:r>
    <w:r w:rsidR="003143C9" w:rsidRPr="00595ED4">
      <w:rPr>
        <w:rStyle w:val="PageNumber"/>
        <w:sz w:val="18"/>
        <w:szCs w:val="18"/>
      </w:rPr>
      <w:fldChar w:fldCharType="separate"/>
    </w:r>
    <w:r w:rsidR="003143C9" w:rsidRPr="00472D8C">
      <w:rPr>
        <w:rStyle w:val="PageNumber"/>
        <w:noProof/>
        <w:sz w:val="18"/>
        <w:szCs w:val="18"/>
        <w:lang w:val="it-IT"/>
      </w:rPr>
      <w:t>6</w:t>
    </w:r>
    <w:r w:rsidR="003143C9" w:rsidRPr="00595ED4">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1951BD"/>
    <w:multiLevelType w:val="hybridMultilevel"/>
    <w:tmpl w:val="1EA031AC"/>
    <w:lvl w:ilvl="0" w:tplc="20000011">
      <w:start w:val="1"/>
      <w:numFmt w:val="decimal"/>
      <w:lvlText w:val="%1)"/>
      <w:lvlJc w:val="left"/>
      <w:pPr>
        <w:ind w:left="720" w:hanging="360"/>
      </w:p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0F07455"/>
    <w:multiLevelType w:val="hybridMultilevel"/>
    <w:tmpl w:val="10EC69CE"/>
    <w:lvl w:ilvl="0" w:tplc="20000011">
      <w:start w:val="1"/>
      <w:numFmt w:val="decimal"/>
      <w:lvlText w:val="%1)"/>
      <w:lvlJc w:val="left"/>
      <w:pPr>
        <w:ind w:left="1800" w:hanging="360"/>
      </w:p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3D14EF"/>
    <w:multiLevelType w:val="hybridMultilevel"/>
    <w:tmpl w:val="25BAA2B2"/>
    <w:lvl w:ilvl="0" w:tplc="20000011">
      <w:start w:val="1"/>
      <w:numFmt w:val="decimal"/>
      <w:lvlText w:val="%1)"/>
      <w:lvlJc w:val="left"/>
      <w:pPr>
        <w:ind w:left="1800" w:hanging="360"/>
      </w:p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6D838B1"/>
    <w:multiLevelType w:val="hybridMultilevel"/>
    <w:tmpl w:val="313E9CEC"/>
    <w:lvl w:ilvl="0" w:tplc="20000011">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8117710">
    <w:abstractNumId w:val="32"/>
  </w:num>
  <w:num w:numId="2" w16cid:durableId="395132351">
    <w:abstractNumId w:val="48"/>
  </w:num>
  <w:num w:numId="3" w16cid:durableId="683485111">
    <w:abstractNumId w:val="29"/>
  </w:num>
  <w:num w:numId="4" w16cid:durableId="888303166">
    <w:abstractNumId w:val="39"/>
  </w:num>
  <w:num w:numId="5" w16cid:durableId="937755136">
    <w:abstractNumId w:val="19"/>
  </w:num>
  <w:num w:numId="6" w16cid:durableId="770706160">
    <w:abstractNumId w:val="24"/>
  </w:num>
  <w:num w:numId="7" w16cid:durableId="1912621405">
    <w:abstractNumId w:val="20"/>
  </w:num>
  <w:num w:numId="8" w16cid:durableId="180946254">
    <w:abstractNumId w:val="33"/>
  </w:num>
  <w:num w:numId="9" w16cid:durableId="483395811">
    <w:abstractNumId w:val="23"/>
  </w:num>
  <w:num w:numId="10" w16cid:durableId="843129939">
    <w:abstractNumId w:val="22"/>
  </w:num>
  <w:num w:numId="11" w16cid:durableId="829566723">
    <w:abstractNumId w:val="38"/>
  </w:num>
  <w:num w:numId="12" w16cid:durableId="439373003">
    <w:abstractNumId w:val="12"/>
  </w:num>
  <w:num w:numId="13" w16cid:durableId="1394966300">
    <w:abstractNumId w:val="27"/>
  </w:num>
  <w:num w:numId="14" w16cid:durableId="1083793167">
    <w:abstractNumId w:val="44"/>
  </w:num>
  <w:num w:numId="15" w16cid:durableId="41289554">
    <w:abstractNumId w:val="21"/>
  </w:num>
  <w:num w:numId="16" w16cid:durableId="79370841">
    <w:abstractNumId w:val="9"/>
  </w:num>
  <w:num w:numId="17" w16cid:durableId="1571118888">
    <w:abstractNumId w:val="7"/>
  </w:num>
  <w:num w:numId="18" w16cid:durableId="2116052669">
    <w:abstractNumId w:val="6"/>
  </w:num>
  <w:num w:numId="19" w16cid:durableId="817764028">
    <w:abstractNumId w:val="5"/>
  </w:num>
  <w:num w:numId="20" w16cid:durableId="230042971">
    <w:abstractNumId w:val="4"/>
  </w:num>
  <w:num w:numId="21" w16cid:durableId="1769546142">
    <w:abstractNumId w:val="8"/>
  </w:num>
  <w:num w:numId="22" w16cid:durableId="2098364357">
    <w:abstractNumId w:val="3"/>
  </w:num>
  <w:num w:numId="23" w16cid:durableId="45028411">
    <w:abstractNumId w:val="2"/>
  </w:num>
  <w:num w:numId="24" w16cid:durableId="899246484">
    <w:abstractNumId w:val="1"/>
  </w:num>
  <w:num w:numId="25" w16cid:durableId="976648262">
    <w:abstractNumId w:val="0"/>
  </w:num>
  <w:num w:numId="26" w16cid:durableId="1624851051">
    <w:abstractNumId w:val="46"/>
  </w:num>
  <w:num w:numId="27" w16cid:durableId="284893697">
    <w:abstractNumId w:val="34"/>
  </w:num>
  <w:num w:numId="28" w16cid:durableId="112556197">
    <w:abstractNumId w:val="25"/>
  </w:num>
  <w:num w:numId="29" w16cid:durableId="1826781198">
    <w:abstractNumId w:val="35"/>
  </w:num>
  <w:num w:numId="30" w16cid:durableId="40599064">
    <w:abstractNumId w:val="36"/>
  </w:num>
  <w:num w:numId="31" w16cid:durableId="874587545">
    <w:abstractNumId w:val="16"/>
  </w:num>
  <w:num w:numId="32" w16cid:durableId="1794666580">
    <w:abstractNumId w:val="42"/>
  </w:num>
  <w:num w:numId="33" w16cid:durableId="614749954">
    <w:abstractNumId w:val="40"/>
  </w:num>
  <w:num w:numId="34" w16cid:durableId="2077586355">
    <w:abstractNumId w:val="26"/>
  </w:num>
  <w:num w:numId="35" w16cid:durableId="1884560045">
    <w:abstractNumId w:val="28"/>
  </w:num>
  <w:num w:numId="36" w16cid:durableId="1154374151">
    <w:abstractNumId w:val="47"/>
  </w:num>
  <w:num w:numId="37" w16cid:durableId="1827430313">
    <w:abstractNumId w:val="37"/>
  </w:num>
  <w:num w:numId="38" w16cid:durableId="380323024">
    <w:abstractNumId w:val="13"/>
  </w:num>
  <w:num w:numId="39" w16cid:durableId="1466049558">
    <w:abstractNumId w:val="14"/>
  </w:num>
  <w:num w:numId="40" w16cid:durableId="117652511">
    <w:abstractNumId w:val="17"/>
  </w:num>
  <w:num w:numId="41" w16cid:durableId="311764002">
    <w:abstractNumId w:val="10"/>
  </w:num>
  <w:num w:numId="42" w16cid:durableId="1118449087">
    <w:abstractNumId w:val="45"/>
  </w:num>
  <w:num w:numId="43" w16cid:durableId="173421731">
    <w:abstractNumId w:val="18"/>
  </w:num>
  <w:num w:numId="44" w16cid:durableId="280694128">
    <w:abstractNumId w:val="30"/>
  </w:num>
  <w:num w:numId="45" w16cid:durableId="2084912840">
    <w:abstractNumId w:val="41"/>
  </w:num>
  <w:num w:numId="46" w16cid:durableId="1122502682">
    <w:abstractNumId w:val="11"/>
    <w:lvlOverride w:ilvl="0">
      <w:startOverride w:val="1"/>
    </w:lvlOverride>
    <w:lvlOverride w:ilvl="1"/>
    <w:lvlOverride w:ilvl="2"/>
    <w:lvlOverride w:ilvl="3"/>
    <w:lvlOverride w:ilvl="4"/>
    <w:lvlOverride w:ilvl="5"/>
    <w:lvlOverride w:ilvl="6"/>
    <w:lvlOverride w:ilvl="7"/>
    <w:lvlOverride w:ilvl="8"/>
  </w:num>
  <w:num w:numId="47" w16cid:durableId="1304654291">
    <w:abstractNumId w:val="15"/>
    <w:lvlOverride w:ilvl="0">
      <w:startOverride w:val="1"/>
    </w:lvlOverride>
    <w:lvlOverride w:ilvl="1"/>
    <w:lvlOverride w:ilvl="2"/>
    <w:lvlOverride w:ilvl="3"/>
    <w:lvlOverride w:ilvl="4"/>
    <w:lvlOverride w:ilvl="5"/>
    <w:lvlOverride w:ilvl="6"/>
    <w:lvlOverride w:ilvl="7"/>
    <w:lvlOverride w:ilvl="8"/>
  </w:num>
  <w:num w:numId="48" w16cid:durableId="600911964">
    <w:abstractNumId w:val="31"/>
    <w:lvlOverride w:ilvl="0">
      <w:startOverride w:val="1"/>
    </w:lvlOverride>
    <w:lvlOverride w:ilvl="1"/>
    <w:lvlOverride w:ilvl="2"/>
    <w:lvlOverride w:ilvl="3"/>
    <w:lvlOverride w:ilvl="4"/>
    <w:lvlOverride w:ilvl="5"/>
    <w:lvlOverride w:ilvl="6"/>
    <w:lvlOverride w:ilvl="7"/>
    <w:lvlOverride w:ilvl="8"/>
  </w:num>
  <w:num w:numId="49" w16cid:durableId="249655169">
    <w:abstractNumId w:val="4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76"/>
    <w:rsid w:val="00001CF5"/>
    <w:rsid w:val="0000459E"/>
    <w:rsid w:val="000133EE"/>
    <w:rsid w:val="00014820"/>
    <w:rsid w:val="000206A8"/>
    <w:rsid w:val="0003137A"/>
    <w:rsid w:val="00041171"/>
    <w:rsid w:val="00041727"/>
    <w:rsid w:val="0004226F"/>
    <w:rsid w:val="00050060"/>
    <w:rsid w:val="00050F8E"/>
    <w:rsid w:val="000518BB"/>
    <w:rsid w:val="000573AD"/>
    <w:rsid w:val="0006123B"/>
    <w:rsid w:val="00064F6B"/>
    <w:rsid w:val="00067325"/>
    <w:rsid w:val="000708A5"/>
    <w:rsid w:val="00071D6D"/>
    <w:rsid w:val="00072F17"/>
    <w:rsid w:val="000750D0"/>
    <w:rsid w:val="000806D8"/>
    <w:rsid w:val="00082C80"/>
    <w:rsid w:val="00083099"/>
    <w:rsid w:val="00083847"/>
    <w:rsid w:val="00083C36"/>
    <w:rsid w:val="00092CAE"/>
    <w:rsid w:val="00095E48"/>
    <w:rsid w:val="000A067F"/>
    <w:rsid w:val="000A0762"/>
    <w:rsid w:val="000A4F1C"/>
    <w:rsid w:val="000A5190"/>
    <w:rsid w:val="000A51EC"/>
    <w:rsid w:val="000A69BF"/>
    <w:rsid w:val="000C225A"/>
    <w:rsid w:val="000C6781"/>
    <w:rsid w:val="000C6A11"/>
    <w:rsid w:val="000D0753"/>
    <w:rsid w:val="000F5E49"/>
    <w:rsid w:val="000F7A87"/>
    <w:rsid w:val="00102EAE"/>
    <w:rsid w:val="001047DC"/>
    <w:rsid w:val="00105D2E"/>
    <w:rsid w:val="00110CE0"/>
    <w:rsid w:val="00111BFD"/>
    <w:rsid w:val="0011498B"/>
    <w:rsid w:val="00120147"/>
    <w:rsid w:val="00123140"/>
    <w:rsid w:val="00123D94"/>
    <w:rsid w:val="001242AE"/>
    <w:rsid w:val="00146195"/>
    <w:rsid w:val="00155527"/>
    <w:rsid w:val="001564E9"/>
    <w:rsid w:val="00156F9B"/>
    <w:rsid w:val="00163BA3"/>
    <w:rsid w:val="00166B31"/>
    <w:rsid w:val="00167D54"/>
    <w:rsid w:val="001732E7"/>
    <w:rsid w:val="00180771"/>
    <w:rsid w:val="00190854"/>
    <w:rsid w:val="001930A3"/>
    <w:rsid w:val="00195AD9"/>
    <w:rsid w:val="00196EB8"/>
    <w:rsid w:val="001A25F0"/>
    <w:rsid w:val="001A341E"/>
    <w:rsid w:val="001B0EA6"/>
    <w:rsid w:val="001B1CDF"/>
    <w:rsid w:val="001B38BB"/>
    <w:rsid w:val="001B56F4"/>
    <w:rsid w:val="001C5462"/>
    <w:rsid w:val="001D265C"/>
    <w:rsid w:val="001D3062"/>
    <w:rsid w:val="001D3CFB"/>
    <w:rsid w:val="001D559B"/>
    <w:rsid w:val="001D6302"/>
    <w:rsid w:val="001E2C22"/>
    <w:rsid w:val="001E4565"/>
    <w:rsid w:val="001E740C"/>
    <w:rsid w:val="001E7DD0"/>
    <w:rsid w:val="001F1BDA"/>
    <w:rsid w:val="001F48A5"/>
    <w:rsid w:val="0020095E"/>
    <w:rsid w:val="00207AA6"/>
    <w:rsid w:val="00210BFE"/>
    <w:rsid w:val="00210D30"/>
    <w:rsid w:val="002204FD"/>
    <w:rsid w:val="00221020"/>
    <w:rsid w:val="0022455A"/>
    <w:rsid w:val="002308B5"/>
    <w:rsid w:val="00233C0B"/>
    <w:rsid w:val="00234A34"/>
    <w:rsid w:val="0025255D"/>
    <w:rsid w:val="00253070"/>
    <w:rsid w:val="00255EE3"/>
    <w:rsid w:val="00256B3D"/>
    <w:rsid w:val="0026409B"/>
    <w:rsid w:val="0026743C"/>
    <w:rsid w:val="00270480"/>
    <w:rsid w:val="002713E9"/>
    <w:rsid w:val="002779AF"/>
    <w:rsid w:val="002823D8"/>
    <w:rsid w:val="0028531A"/>
    <w:rsid w:val="00285446"/>
    <w:rsid w:val="00295593"/>
    <w:rsid w:val="002A29BD"/>
    <w:rsid w:val="002A354F"/>
    <w:rsid w:val="002A386C"/>
    <w:rsid w:val="002A3B7E"/>
    <w:rsid w:val="002B540D"/>
    <w:rsid w:val="002B7A7E"/>
    <w:rsid w:val="002C30BC"/>
    <w:rsid w:val="002C37B7"/>
    <w:rsid w:val="002C3987"/>
    <w:rsid w:val="002C5965"/>
    <w:rsid w:val="002C7A88"/>
    <w:rsid w:val="002C7AB9"/>
    <w:rsid w:val="002D232B"/>
    <w:rsid w:val="002D2759"/>
    <w:rsid w:val="002D5E00"/>
    <w:rsid w:val="002D6DAC"/>
    <w:rsid w:val="002E261D"/>
    <w:rsid w:val="002E3FAD"/>
    <w:rsid w:val="002E4E16"/>
    <w:rsid w:val="002F6DAC"/>
    <w:rsid w:val="00301E8C"/>
    <w:rsid w:val="00306057"/>
    <w:rsid w:val="00312177"/>
    <w:rsid w:val="003143C9"/>
    <w:rsid w:val="003146E9"/>
    <w:rsid w:val="00314D5D"/>
    <w:rsid w:val="00320009"/>
    <w:rsid w:val="0032424A"/>
    <w:rsid w:val="003245D3"/>
    <w:rsid w:val="00330AA3"/>
    <w:rsid w:val="00331584"/>
    <w:rsid w:val="00331964"/>
    <w:rsid w:val="00334987"/>
    <w:rsid w:val="00340C69"/>
    <w:rsid w:val="00342E34"/>
    <w:rsid w:val="00345FAA"/>
    <w:rsid w:val="00347201"/>
    <w:rsid w:val="0035567E"/>
    <w:rsid w:val="003638A1"/>
    <w:rsid w:val="00371CF1"/>
    <w:rsid w:val="00372211"/>
    <w:rsid w:val="00373128"/>
    <w:rsid w:val="003750C1"/>
    <w:rsid w:val="0038051E"/>
    <w:rsid w:val="003809E1"/>
    <w:rsid w:val="00380AF7"/>
    <w:rsid w:val="00394A05"/>
    <w:rsid w:val="003955F5"/>
    <w:rsid w:val="00397770"/>
    <w:rsid w:val="00397880"/>
    <w:rsid w:val="003A5894"/>
    <w:rsid w:val="003A7016"/>
    <w:rsid w:val="003A70AE"/>
    <w:rsid w:val="003B0C08"/>
    <w:rsid w:val="003B4908"/>
    <w:rsid w:val="003B5A74"/>
    <w:rsid w:val="003C17A5"/>
    <w:rsid w:val="003C1843"/>
    <w:rsid w:val="003C5D19"/>
    <w:rsid w:val="003D1552"/>
    <w:rsid w:val="003D423B"/>
    <w:rsid w:val="003E381F"/>
    <w:rsid w:val="003E4046"/>
    <w:rsid w:val="003F003A"/>
    <w:rsid w:val="003F125B"/>
    <w:rsid w:val="003F5943"/>
    <w:rsid w:val="003F7B3F"/>
    <w:rsid w:val="004058AD"/>
    <w:rsid w:val="0041078D"/>
    <w:rsid w:val="00416F97"/>
    <w:rsid w:val="0043039B"/>
    <w:rsid w:val="00436197"/>
    <w:rsid w:val="004423FE"/>
    <w:rsid w:val="00445C35"/>
    <w:rsid w:val="0045053B"/>
    <w:rsid w:val="00454B41"/>
    <w:rsid w:val="0045663A"/>
    <w:rsid w:val="0046344E"/>
    <w:rsid w:val="004654FB"/>
    <w:rsid w:val="004667E7"/>
    <w:rsid w:val="004672CF"/>
    <w:rsid w:val="00472B40"/>
    <w:rsid w:val="00472D8C"/>
    <w:rsid w:val="00475797"/>
    <w:rsid w:val="00476D0A"/>
    <w:rsid w:val="00482BF7"/>
    <w:rsid w:val="0049002F"/>
    <w:rsid w:val="00490076"/>
    <w:rsid w:val="0049253B"/>
    <w:rsid w:val="004A140B"/>
    <w:rsid w:val="004A4B47"/>
    <w:rsid w:val="004B0EC9"/>
    <w:rsid w:val="004B7BAA"/>
    <w:rsid w:val="004C2DF7"/>
    <w:rsid w:val="004C4E0B"/>
    <w:rsid w:val="004D497E"/>
    <w:rsid w:val="004E4809"/>
    <w:rsid w:val="004E4CC3"/>
    <w:rsid w:val="004E5985"/>
    <w:rsid w:val="004E6352"/>
    <w:rsid w:val="004E6460"/>
    <w:rsid w:val="004F6B46"/>
    <w:rsid w:val="0050425E"/>
    <w:rsid w:val="005072C4"/>
    <w:rsid w:val="00511999"/>
    <w:rsid w:val="005145D6"/>
    <w:rsid w:val="005206E5"/>
    <w:rsid w:val="00520824"/>
    <w:rsid w:val="00521EA5"/>
    <w:rsid w:val="00525B80"/>
    <w:rsid w:val="0053098F"/>
    <w:rsid w:val="00536065"/>
    <w:rsid w:val="00536B2E"/>
    <w:rsid w:val="00546D8E"/>
    <w:rsid w:val="00553738"/>
    <w:rsid w:val="0056646F"/>
    <w:rsid w:val="00571AE1"/>
    <w:rsid w:val="00581B28"/>
    <w:rsid w:val="00590010"/>
    <w:rsid w:val="00592267"/>
    <w:rsid w:val="0059421F"/>
    <w:rsid w:val="00595ED4"/>
    <w:rsid w:val="005A136D"/>
    <w:rsid w:val="005A1B09"/>
    <w:rsid w:val="005B0AE2"/>
    <w:rsid w:val="005B1F2C"/>
    <w:rsid w:val="005B5F3C"/>
    <w:rsid w:val="005C41F2"/>
    <w:rsid w:val="005C5DDD"/>
    <w:rsid w:val="005C5EA3"/>
    <w:rsid w:val="005D03D9"/>
    <w:rsid w:val="005D1EE8"/>
    <w:rsid w:val="005D51CF"/>
    <w:rsid w:val="005D56AE"/>
    <w:rsid w:val="005D666D"/>
    <w:rsid w:val="005E3A59"/>
    <w:rsid w:val="005E6AA1"/>
    <w:rsid w:val="00604802"/>
    <w:rsid w:val="006125F8"/>
    <w:rsid w:val="00615AB0"/>
    <w:rsid w:val="00616247"/>
    <w:rsid w:val="0061778C"/>
    <w:rsid w:val="00636B90"/>
    <w:rsid w:val="00644CD5"/>
    <w:rsid w:val="0064738B"/>
    <w:rsid w:val="006508EA"/>
    <w:rsid w:val="006530BB"/>
    <w:rsid w:val="00667E86"/>
    <w:rsid w:val="006703D7"/>
    <w:rsid w:val="00681336"/>
    <w:rsid w:val="0068392D"/>
    <w:rsid w:val="0069167A"/>
    <w:rsid w:val="00696663"/>
    <w:rsid w:val="00697DB5"/>
    <w:rsid w:val="006A0216"/>
    <w:rsid w:val="006A161B"/>
    <w:rsid w:val="006A1B33"/>
    <w:rsid w:val="006A492A"/>
    <w:rsid w:val="006B5C72"/>
    <w:rsid w:val="006B7710"/>
    <w:rsid w:val="006C289D"/>
    <w:rsid w:val="006C2F46"/>
    <w:rsid w:val="006C452C"/>
    <w:rsid w:val="006D0310"/>
    <w:rsid w:val="006D2009"/>
    <w:rsid w:val="006D5576"/>
    <w:rsid w:val="006E766D"/>
    <w:rsid w:val="006F4B29"/>
    <w:rsid w:val="006F6CE9"/>
    <w:rsid w:val="006F6F80"/>
    <w:rsid w:val="0070517C"/>
    <w:rsid w:val="00705C9F"/>
    <w:rsid w:val="00716951"/>
    <w:rsid w:val="00720F6B"/>
    <w:rsid w:val="0072317C"/>
    <w:rsid w:val="00730ADA"/>
    <w:rsid w:val="00732C37"/>
    <w:rsid w:val="00735D9E"/>
    <w:rsid w:val="00740EE4"/>
    <w:rsid w:val="007415B4"/>
    <w:rsid w:val="00745A09"/>
    <w:rsid w:val="00751667"/>
    <w:rsid w:val="00751EAF"/>
    <w:rsid w:val="00753C6D"/>
    <w:rsid w:val="00754CF7"/>
    <w:rsid w:val="00757B0D"/>
    <w:rsid w:val="00761320"/>
    <w:rsid w:val="00762050"/>
    <w:rsid w:val="007651B1"/>
    <w:rsid w:val="00767CE1"/>
    <w:rsid w:val="00771A68"/>
    <w:rsid w:val="007744D2"/>
    <w:rsid w:val="00786136"/>
    <w:rsid w:val="007968E6"/>
    <w:rsid w:val="007A7D5F"/>
    <w:rsid w:val="007B05CF"/>
    <w:rsid w:val="007B4E8D"/>
    <w:rsid w:val="007C212A"/>
    <w:rsid w:val="007E7D21"/>
    <w:rsid w:val="007E7DBD"/>
    <w:rsid w:val="007F482F"/>
    <w:rsid w:val="007F7C94"/>
    <w:rsid w:val="0080398D"/>
    <w:rsid w:val="00805174"/>
    <w:rsid w:val="00806385"/>
    <w:rsid w:val="00807CC5"/>
    <w:rsid w:val="00807ED7"/>
    <w:rsid w:val="00814CC6"/>
    <w:rsid w:val="00826D53"/>
    <w:rsid w:val="00826E06"/>
    <w:rsid w:val="00831751"/>
    <w:rsid w:val="00833369"/>
    <w:rsid w:val="00835B42"/>
    <w:rsid w:val="00842A4E"/>
    <w:rsid w:val="00847D99"/>
    <w:rsid w:val="0085038E"/>
    <w:rsid w:val="0085230A"/>
    <w:rsid w:val="008554DE"/>
    <w:rsid w:val="0086271D"/>
    <w:rsid w:val="0086420B"/>
    <w:rsid w:val="00864DBF"/>
    <w:rsid w:val="00865AE2"/>
    <w:rsid w:val="008663C8"/>
    <w:rsid w:val="00876FDC"/>
    <w:rsid w:val="0088163A"/>
    <w:rsid w:val="00887090"/>
    <w:rsid w:val="00893963"/>
    <w:rsid w:val="0089601F"/>
    <w:rsid w:val="008970B8"/>
    <w:rsid w:val="008A7313"/>
    <w:rsid w:val="008A7D91"/>
    <w:rsid w:val="008B7FC7"/>
    <w:rsid w:val="008C11BE"/>
    <w:rsid w:val="008C4337"/>
    <w:rsid w:val="008C4F06"/>
    <w:rsid w:val="008E1E4A"/>
    <w:rsid w:val="008F0615"/>
    <w:rsid w:val="008F103E"/>
    <w:rsid w:val="008F1FDB"/>
    <w:rsid w:val="008F36FB"/>
    <w:rsid w:val="008F7A8B"/>
    <w:rsid w:val="00900181"/>
    <w:rsid w:val="00902EA9"/>
    <w:rsid w:val="0090427F"/>
    <w:rsid w:val="009065CD"/>
    <w:rsid w:val="00920506"/>
    <w:rsid w:val="009319E8"/>
    <w:rsid w:val="00931DEB"/>
    <w:rsid w:val="009332D2"/>
    <w:rsid w:val="00933957"/>
    <w:rsid w:val="009356FA"/>
    <w:rsid w:val="0094022A"/>
    <w:rsid w:val="00945B8E"/>
    <w:rsid w:val="009473DB"/>
    <w:rsid w:val="009504A1"/>
    <w:rsid w:val="00950605"/>
    <w:rsid w:val="00952233"/>
    <w:rsid w:val="00954D66"/>
    <w:rsid w:val="00963F8F"/>
    <w:rsid w:val="00970BD5"/>
    <w:rsid w:val="00973C62"/>
    <w:rsid w:val="00975D76"/>
    <w:rsid w:val="00982E51"/>
    <w:rsid w:val="009874B9"/>
    <w:rsid w:val="00993581"/>
    <w:rsid w:val="009A288C"/>
    <w:rsid w:val="009A64C1"/>
    <w:rsid w:val="009B3D5A"/>
    <w:rsid w:val="009B6697"/>
    <w:rsid w:val="009B6C78"/>
    <w:rsid w:val="009C2B43"/>
    <w:rsid w:val="009C2EA4"/>
    <w:rsid w:val="009C4C04"/>
    <w:rsid w:val="009D5213"/>
    <w:rsid w:val="009E06B2"/>
    <w:rsid w:val="009E1C95"/>
    <w:rsid w:val="009F196A"/>
    <w:rsid w:val="009F3498"/>
    <w:rsid w:val="009F669B"/>
    <w:rsid w:val="009F7566"/>
    <w:rsid w:val="009F7F18"/>
    <w:rsid w:val="00A02A72"/>
    <w:rsid w:val="00A06BFE"/>
    <w:rsid w:val="00A10F5D"/>
    <w:rsid w:val="00A12254"/>
    <w:rsid w:val="00A1243C"/>
    <w:rsid w:val="00A135AE"/>
    <w:rsid w:val="00A14AF1"/>
    <w:rsid w:val="00A16891"/>
    <w:rsid w:val="00A25B99"/>
    <w:rsid w:val="00A268CE"/>
    <w:rsid w:val="00A332E8"/>
    <w:rsid w:val="00A35AF5"/>
    <w:rsid w:val="00A35DDF"/>
    <w:rsid w:val="00A36CBA"/>
    <w:rsid w:val="00A45741"/>
    <w:rsid w:val="00A50291"/>
    <w:rsid w:val="00A530E4"/>
    <w:rsid w:val="00A54C0E"/>
    <w:rsid w:val="00A604CD"/>
    <w:rsid w:val="00A60FE6"/>
    <w:rsid w:val="00A622F5"/>
    <w:rsid w:val="00A654BE"/>
    <w:rsid w:val="00A66DD6"/>
    <w:rsid w:val="00A75EC2"/>
    <w:rsid w:val="00A771FD"/>
    <w:rsid w:val="00A80767"/>
    <w:rsid w:val="00A861A3"/>
    <w:rsid w:val="00A874EF"/>
    <w:rsid w:val="00A9109D"/>
    <w:rsid w:val="00A95415"/>
    <w:rsid w:val="00AA131A"/>
    <w:rsid w:val="00AA3C89"/>
    <w:rsid w:val="00AB32BD"/>
    <w:rsid w:val="00AB4723"/>
    <w:rsid w:val="00AC4CDB"/>
    <w:rsid w:val="00AC70FE"/>
    <w:rsid w:val="00AD3AA3"/>
    <w:rsid w:val="00AD4358"/>
    <w:rsid w:val="00AF61E1"/>
    <w:rsid w:val="00AF638A"/>
    <w:rsid w:val="00AF7567"/>
    <w:rsid w:val="00B00141"/>
    <w:rsid w:val="00B009AA"/>
    <w:rsid w:val="00B00ECE"/>
    <w:rsid w:val="00B030C8"/>
    <w:rsid w:val="00B039C0"/>
    <w:rsid w:val="00B056E7"/>
    <w:rsid w:val="00B05B71"/>
    <w:rsid w:val="00B10035"/>
    <w:rsid w:val="00B15C76"/>
    <w:rsid w:val="00B165E6"/>
    <w:rsid w:val="00B235DB"/>
    <w:rsid w:val="00B24C31"/>
    <w:rsid w:val="00B411AF"/>
    <w:rsid w:val="00B447C0"/>
    <w:rsid w:val="00B53E53"/>
    <w:rsid w:val="00B548A2"/>
    <w:rsid w:val="00B56934"/>
    <w:rsid w:val="00B62F03"/>
    <w:rsid w:val="00B72444"/>
    <w:rsid w:val="00B93B62"/>
    <w:rsid w:val="00B953D1"/>
    <w:rsid w:val="00B96D93"/>
    <w:rsid w:val="00BA30D0"/>
    <w:rsid w:val="00BA77FB"/>
    <w:rsid w:val="00BB0D32"/>
    <w:rsid w:val="00BC76B5"/>
    <w:rsid w:val="00BD5420"/>
    <w:rsid w:val="00BE241E"/>
    <w:rsid w:val="00BF2233"/>
    <w:rsid w:val="00C023AF"/>
    <w:rsid w:val="00C04BD2"/>
    <w:rsid w:val="00C13EEC"/>
    <w:rsid w:val="00C14689"/>
    <w:rsid w:val="00C156A4"/>
    <w:rsid w:val="00C16356"/>
    <w:rsid w:val="00C20032"/>
    <w:rsid w:val="00C20BCE"/>
    <w:rsid w:val="00C20FAA"/>
    <w:rsid w:val="00C23509"/>
    <w:rsid w:val="00C2459D"/>
    <w:rsid w:val="00C2755A"/>
    <w:rsid w:val="00C316F1"/>
    <w:rsid w:val="00C42C95"/>
    <w:rsid w:val="00C4470F"/>
    <w:rsid w:val="00C50727"/>
    <w:rsid w:val="00C50A41"/>
    <w:rsid w:val="00C55E5B"/>
    <w:rsid w:val="00C62739"/>
    <w:rsid w:val="00C720A4"/>
    <w:rsid w:val="00C7611C"/>
    <w:rsid w:val="00C93FF2"/>
    <w:rsid w:val="00C94097"/>
    <w:rsid w:val="00CA4269"/>
    <w:rsid w:val="00CA48CA"/>
    <w:rsid w:val="00CA7330"/>
    <w:rsid w:val="00CB1C84"/>
    <w:rsid w:val="00CB5363"/>
    <w:rsid w:val="00CB64F0"/>
    <w:rsid w:val="00CC2909"/>
    <w:rsid w:val="00CD0549"/>
    <w:rsid w:val="00CE6B3C"/>
    <w:rsid w:val="00CF5E4B"/>
    <w:rsid w:val="00D03E49"/>
    <w:rsid w:val="00D05E6F"/>
    <w:rsid w:val="00D16D05"/>
    <w:rsid w:val="00D178D6"/>
    <w:rsid w:val="00D20296"/>
    <w:rsid w:val="00D2231A"/>
    <w:rsid w:val="00D27929"/>
    <w:rsid w:val="00D302CD"/>
    <w:rsid w:val="00D33442"/>
    <w:rsid w:val="00D419C6"/>
    <w:rsid w:val="00D44BAD"/>
    <w:rsid w:val="00D45B55"/>
    <w:rsid w:val="00D64A62"/>
    <w:rsid w:val="00D664D7"/>
    <w:rsid w:val="00D7097B"/>
    <w:rsid w:val="00D72207"/>
    <w:rsid w:val="00D72BC4"/>
    <w:rsid w:val="00D815FC"/>
    <w:rsid w:val="00D8517B"/>
    <w:rsid w:val="00D91DFA"/>
    <w:rsid w:val="00D94FED"/>
    <w:rsid w:val="00DA159A"/>
    <w:rsid w:val="00DB1AB2"/>
    <w:rsid w:val="00DC17C2"/>
    <w:rsid w:val="00DC4210"/>
    <w:rsid w:val="00DC4FDF"/>
    <w:rsid w:val="00DC66F0"/>
    <w:rsid w:val="00DD3A65"/>
    <w:rsid w:val="00DD62C6"/>
    <w:rsid w:val="00DD6576"/>
    <w:rsid w:val="00DD6CF7"/>
    <w:rsid w:val="00DD6DC4"/>
    <w:rsid w:val="00DE3B92"/>
    <w:rsid w:val="00DE48B4"/>
    <w:rsid w:val="00DE7137"/>
    <w:rsid w:val="00DF18E4"/>
    <w:rsid w:val="00E00498"/>
    <w:rsid w:val="00E1464C"/>
    <w:rsid w:val="00E14ADB"/>
    <w:rsid w:val="00E20D32"/>
    <w:rsid w:val="00E22F78"/>
    <w:rsid w:val="00E2425D"/>
    <w:rsid w:val="00E24F87"/>
    <w:rsid w:val="00E2617A"/>
    <w:rsid w:val="00E273FB"/>
    <w:rsid w:val="00E31CD4"/>
    <w:rsid w:val="00E4497F"/>
    <w:rsid w:val="00E538E6"/>
    <w:rsid w:val="00E64CBD"/>
    <w:rsid w:val="00E71C45"/>
    <w:rsid w:val="00E74332"/>
    <w:rsid w:val="00E802A2"/>
    <w:rsid w:val="00E80F02"/>
    <w:rsid w:val="00E8410F"/>
    <w:rsid w:val="00E85C0B"/>
    <w:rsid w:val="00E86BFA"/>
    <w:rsid w:val="00EA4EDD"/>
    <w:rsid w:val="00EA6A2D"/>
    <w:rsid w:val="00EA7089"/>
    <w:rsid w:val="00EB13D7"/>
    <w:rsid w:val="00EB1E83"/>
    <w:rsid w:val="00EB21B6"/>
    <w:rsid w:val="00ED22CB"/>
    <w:rsid w:val="00ED67AF"/>
    <w:rsid w:val="00EE11F0"/>
    <w:rsid w:val="00EE128C"/>
    <w:rsid w:val="00EE2B19"/>
    <w:rsid w:val="00EE4C48"/>
    <w:rsid w:val="00EE5D2E"/>
    <w:rsid w:val="00EE7E6F"/>
    <w:rsid w:val="00EF66D9"/>
    <w:rsid w:val="00EF68E3"/>
    <w:rsid w:val="00EF6BA5"/>
    <w:rsid w:val="00EF780D"/>
    <w:rsid w:val="00EF7A98"/>
    <w:rsid w:val="00F0267E"/>
    <w:rsid w:val="00F071B2"/>
    <w:rsid w:val="00F075C1"/>
    <w:rsid w:val="00F11B47"/>
    <w:rsid w:val="00F2412D"/>
    <w:rsid w:val="00F25D8D"/>
    <w:rsid w:val="00F3069C"/>
    <w:rsid w:val="00F30BF8"/>
    <w:rsid w:val="00F330A1"/>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02F3"/>
    <w:rsid w:val="00F84DD2"/>
    <w:rsid w:val="00F906B8"/>
    <w:rsid w:val="00F94E44"/>
    <w:rsid w:val="00FA7307"/>
    <w:rsid w:val="00FB0872"/>
    <w:rsid w:val="00FB1F7A"/>
    <w:rsid w:val="00FB54CC"/>
    <w:rsid w:val="00FC2996"/>
    <w:rsid w:val="00FC362F"/>
    <w:rsid w:val="00FD0351"/>
    <w:rsid w:val="00FD1A37"/>
    <w:rsid w:val="00FD4E5B"/>
    <w:rsid w:val="00FE4EE0"/>
    <w:rsid w:val="00FE56C4"/>
    <w:rsid w:val="00FF0F9A"/>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E2093D"/>
  <w15:docId w15:val="{F7D9A323-A3D8-4BF8-8905-3F21F3C5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StyleWMOBodyTextBold">
    <w:name w:val="Style WMO_BodyText + Bold"/>
    <w:basedOn w:val="WMOBodyText"/>
    <w:rsid w:val="0035567E"/>
    <w:rPr>
      <w:b/>
      <w:bCs/>
      <w:lang w:val="es-ES_tradnl"/>
    </w:rPr>
  </w:style>
  <w:style w:type="paragraph" w:customStyle="1" w:styleId="paragraph">
    <w:name w:val="paragraph"/>
    <w:basedOn w:val="Normal"/>
    <w:rsid w:val="00490076"/>
    <w:pPr>
      <w:tabs>
        <w:tab w:val="clear" w:pos="1134"/>
      </w:tabs>
      <w:spacing w:before="100" w:beforeAutospacing="1" w:after="100" w:afterAutospacing="1"/>
      <w:jc w:val="left"/>
    </w:pPr>
    <w:rPr>
      <w:rFonts w:ascii="Times New Roman" w:eastAsia="Times New Roman" w:hAnsi="Times New Roman" w:cs="Times New Roman"/>
      <w:sz w:val="24"/>
      <w:szCs w:val="24"/>
      <w:lang w:val="en-CH" w:eastAsia="en-CH"/>
    </w:rPr>
  </w:style>
  <w:style w:type="character" w:customStyle="1" w:styleId="normaltextrun">
    <w:name w:val="normaltextrun"/>
    <w:basedOn w:val="DefaultParagraphFont"/>
    <w:rsid w:val="00490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28035926">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88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wmo.int/en/news/wmo-ra-vi-community-active-regional-policy-debates-and-exchange-good-practices-sdg-implementation" TargetMode="External"/><Relationship Id="rId18" Type="http://schemas.openxmlformats.org/officeDocument/2006/relationships/hyperlink" Target="https://community.wmo.int/en/news/regional-science-based-policy-report-2021-state-climate-europe-has-been-released-benefit-member-states" TargetMode="External"/><Relationship Id="rId26" Type="http://schemas.openxmlformats.org/officeDocument/2006/relationships/hyperlink" Target="https://community.wmo.int/en/news/exploring-possibilities-artificial-intelligence-areas-water-weather-and-climate" TargetMode="External"/><Relationship Id="rId3" Type="http://schemas.openxmlformats.org/officeDocument/2006/relationships/customXml" Target="../customXml/item3.xml"/><Relationship Id="rId21" Type="http://schemas.openxmlformats.org/officeDocument/2006/relationships/hyperlink" Target="https://community.wmo.int/en/meetings/ra-vi-regional-scientific-forum-uniting-minds-pursuit-knowledg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community.wmo.int/en/news/wmo-regional-association-vi-europe-convened-high-level-meeting-discuss-future-role-national-meteorological-and-hydrological-services" TargetMode="External"/><Relationship Id="rId25" Type="http://schemas.openxmlformats.org/officeDocument/2006/relationships/hyperlink" Target="https://community.wmo.int/en/news/southeast-european-directors-nmhss-take-ownership-over-multi-hazard-early-warning-system-advisory-initiativ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mmunity.wmo.int/en/news/wmo-regional-office-europe-advancing-climate-smart-food-systems-through-un-regional-collaboration" TargetMode="External"/><Relationship Id="rId20" Type="http://schemas.openxmlformats.org/officeDocument/2006/relationships/hyperlink" Target="https://community.wmo.int/en/meetings/launch-european-state-climate-2023-esotc-2023-report" TargetMode="External"/><Relationship Id="rId29" Type="http://schemas.openxmlformats.org/officeDocument/2006/relationships/hyperlink" Target="https://community.wmo.int/en/meetings/south-east-european-early-warnings-all-ev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ommunity.wmo.int/en/meetings/coordination-meeting-ew4all-plan-action-ra-vi"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ommunity.wmo.int/en/news/wmo-regional-association-vi-advocating-development-weather-water-and-climate-infrastructure-and-innovative-partnerships" TargetMode="External"/><Relationship Id="rId23" Type="http://schemas.openxmlformats.org/officeDocument/2006/relationships/hyperlink" Target="https://community.wmo.int/en/news/implementing-early-warnings-all-regional-outlook" TargetMode="External"/><Relationship Id="rId28" Type="http://schemas.openxmlformats.org/officeDocument/2006/relationships/hyperlink" Target="https://community.wmo.int/en/news/bridging-resilience-gap-evaluating-hydrometeorological-capacity-economically-vulnerable-countries-ra-vi" TargetMode="External"/><Relationship Id="rId10" Type="http://schemas.openxmlformats.org/officeDocument/2006/relationships/endnotes" Target="endnotes.xml"/><Relationship Id="rId19" Type="http://schemas.openxmlformats.org/officeDocument/2006/relationships/hyperlink" Target="https://community.wmo.int/en/news/wmos-state-climate-europe-report-2022-urges-immediate-action-europes-climate-crisis" TargetMode="External"/><Relationship Id="rId31" Type="http://schemas.openxmlformats.org/officeDocument/2006/relationships/hyperlink" Target="https://community.wmo.int/en/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wmo.int/en/news/water-climate-strengthening-water-resilience-climate-change-and-disasters-wmo-regional-association-vi-europe" TargetMode="External"/><Relationship Id="rId22" Type="http://schemas.openxmlformats.org/officeDocument/2006/relationships/hyperlink" Target="https://community.wmo.int/en/news/wmo-regional-office-europe-collaboration-regional-un-system-promotes-partnerships-address-climate-change-extreme-events-and-disaster-risk-reduction-towards-sdgs" TargetMode="External"/><Relationship Id="rId27" Type="http://schemas.openxmlformats.org/officeDocument/2006/relationships/hyperlink" Target="https://community.wmo.int/en/news/south-caucasus-and-kazakhstan-unite-safer-tomorrow-advancing-regional-early-warning-systems" TargetMode="External"/><Relationship Id="rId30" Type="http://schemas.openxmlformats.org/officeDocument/2006/relationships/hyperlink" Target="https://community.wmo.int/en/activity-areas/regional-office-europe"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BuesaLalueza\Downloads\RA-VI-19(I)-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5062742951A54785FC5883805E6DC1" ma:contentTypeVersion="" ma:contentTypeDescription="Create a new document." ma:contentTypeScope="" ma:versionID="27629f2e7c90046e9d8eb8fdf5af5286">
  <xsd:schema xmlns:xsd="http://www.w3.org/2001/XMLSchema" xmlns:xs="http://www.w3.org/2001/XMLSchema" xmlns:p="http://schemas.microsoft.com/office/2006/metadata/properties" xmlns:ns2="d34343af-28c4-4431-8b96-d735d539fd00" targetNamespace="http://schemas.microsoft.com/office/2006/metadata/properties" ma:root="true" ma:fieldsID="402f2ef1d294f7c3fb9c773681361db2" ns2:_="">
    <xsd:import namespace="d34343af-28c4-4431-8b96-d735d539fd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343af-28c4-4431-8b96-d735d539fd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7531D5-9849-4F33-81F4-39EB1134A92A}"/>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EBAD02DA-5DFD-425C-9FAD-89F3BF317192}">
  <ds:schemaRefs>
    <ds:schemaRef ds:uri="http://schemas.openxmlformats.org/officeDocument/2006/bibliography"/>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RA-VI-19(I)-dxx-Template_es</Template>
  <TotalTime>4</TotalTime>
  <Pages>7</Pages>
  <Words>3079</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20589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David Buesa Lalueza</dc:creator>
  <cp:lastModifiedBy>David Buesa Lalueza</cp:lastModifiedBy>
  <cp:revision>1</cp:revision>
  <cp:lastPrinted>2013-03-12T09:27:00Z</cp:lastPrinted>
  <dcterms:created xsi:type="dcterms:W3CDTF">2024-09-24T15:17:00Z</dcterms:created>
  <dcterms:modified xsi:type="dcterms:W3CDTF">2024-09-24T15:22:00Z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0x0101006B5062742951A54785FC5883805E6DC1</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david.buesalalueza</vt:lpwstr>
  </property>
  <property fmtid="{D5CDD505-2E9C-101B-9397-08002B2CF9AE}" pid="6" name="OriginalDocID">
    <vt:lpwstr>35a8e688-b80d-425a-9ec1-0e4f615f2fcc</vt:lpwstr>
  </property>
  <property fmtid="{D5CDD505-2E9C-101B-9397-08002B2CF9AE}" pid="7" name="GeneratedDate">
    <vt:lpwstr>09/16/2024 11:33:41</vt:lpwstr>
  </property>
</Properties>
</file>