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4603B" w14:paraId="311D2206" w14:textId="77777777" w:rsidTr="00826D53">
        <w:trPr>
          <w:trHeight w:val="282"/>
        </w:trPr>
        <w:tc>
          <w:tcPr>
            <w:tcW w:w="500" w:type="dxa"/>
            <w:vMerge w:val="restart"/>
            <w:tcBorders>
              <w:bottom w:val="nil"/>
            </w:tcBorders>
            <w:textDirection w:val="btLr"/>
          </w:tcPr>
          <w:p w14:paraId="571B678C"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rPr>
              <w:t xml:space="preserve">TEMPS </w:t>
            </w:r>
            <w:proofErr w:type="spellStart"/>
            <w:r w:rsidRPr="00B24FC9">
              <w:rPr>
                <w:color w:val="365F91" w:themeColor="accent1" w:themeShade="BF"/>
                <w:sz w:val="10"/>
                <w:szCs w:val="10"/>
              </w:rPr>
              <w:t>CLIMAT</w:t>
            </w:r>
            <w:proofErr w:type="spellEnd"/>
            <w:r w:rsidRPr="00B24FC9">
              <w:rPr>
                <w:color w:val="365F91" w:themeColor="accent1" w:themeShade="BF"/>
                <w:sz w:val="10"/>
                <w:szCs w:val="10"/>
              </w:rPr>
              <w:t xml:space="preserve"> </w:t>
            </w:r>
            <w:proofErr w:type="spellStart"/>
            <w:r w:rsidRPr="00B24FC9">
              <w:rPr>
                <w:color w:val="365F91" w:themeColor="accent1" w:themeShade="BF"/>
                <w:sz w:val="10"/>
                <w:szCs w:val="10"/>
              </w:rPr>
              <w:t>EAU</w:t>
            </w:r>
            <w:proofErr w:type="spellEnd"/>
          </w:p>
        </w:tc>
        <w:tc>
          <w:tcPr>
            <w:tcW w:w="6852" w:type="dxa"/>
            <w:vMerge w:val="restart"/>
          </w:tcPr>
          <w:p w14:paraId="516057C0" w14:textId="77777777" w:rsidR="00A80767" w:rsidRPr="00332C60"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B24FC9">
              <w:rPr>
                <w:noProof/>
                <w:color w:val="365F91" w:themeColor="accent1" w:themeShade="BF"/>
                <w:szCs w:val="22"/>
              </w:rPr>
              <w:drawing>
                <wp:anchor distT="0" distB="0" distL="114300" distR="114300" simplePos="0" relativeHeight="251659264" behindDoc="1" locked="1" layoutInCell="1" allowOverlap="1" wp14:anchorId="7C0D051E" wp14:editId="1A8A5C8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0299" w:rsidRPr="00332C60">
              <w:rPr>
                <w:rFonts w:cs="Tahoma"/>
                <w:b/>
                <w:color w:val="365F91" w:themeColor="accent1" w:themeShade="BF"/>
                <w:szCs w:val="22"/>
                <w:lang w:val="fr-FR"/>
              </w:rPr>
              <w:t>Organisation météorologique mondiale</w:t>
            </w:r>
          </w:p>
          <w:p w14:paraId="78133E2F" w14:textId="263C44BE" w:rsidR="00A80767" w:rsidRPr="00332C60" w:rsidRDefault="00020299" w:rsidP="00826D53">
            <w:pPr>
              <w:tabs>
                <w:tab w:val="left" w:pos="6946"/>
              </w:tabs>
              <w:suppressAutoHyphens/>
              <w:spacing w:after="120" w:line="252" w:lineRule="auto"/>
              <w:ind w:left="1134"/>
              <w:jc w:val="left"/>
              <w:rPr>
                <w:rFonts w:cs="Tahoma"/>
                <w:b/>
                <w:color w:val="365F91" w:themeColor="accent1" w:themeShade="BF"/>
                <w:spacing w:val="-2"/>
                <w:szCs w:val="22"/>
                <w:lang w:val="fr-FR"/>
              </w:rPr>
            </w:pPr>
            <w:r w:rsidRPr="00332C60">
              <w:rPr>
                <w:rFonts w:cs="Tahoma"/>
                <w:b/>
                <w:color w:val="365F91" w:themeColor="accent1" w:themeShade="BF"/>
                <w:spacing w:val="-2"/>
                <w:szCs w:val="22"/>
                <w:lang w:val="fr-FR"/>
              </w:rPr>
              <w:t>COMMISSION DES OBSERVATIONS, DES INFRASTRUCTURES ET DES SYSTÈMES D</w:t>
            </w:r>
            <w:r w:rsidR="003D6D77">
              <w:rPr>
                <w:rFonts w:cs="Tahoma"/>
                <w:b/>
                <w:color w:val="365F91" w:themeColor="accent1" w:themeShade="BF"/>
                <w:spacing w:val="-2"/>
                <w:szCs w:val="22"/>
                <w:lang w:val="fr-FR"/>
              </w:rPr>
              <w:t>’</w:t>
            </w:r>
            <w:r w:rsidRPr="00332C60">
              <w:rPr>
                <w:rFonts w:cs="Tahoma"/>
                <w:b/>
                <w:color w:val="365F91" w:themeColor="accent1" w:themeShade="BF"/>
                <w:spacing w:val="-2"/>
                <w:szCs w:val="22"/>
                <w:lang w:val="fr-FR"/>
              </w:rPr>
              <w:t>INFORMATION</w:t>
            </w:r>
          </w:p>
          <w:p w14:paraId="15457E53" w14:textId="77777777" w:rsidR="00A80767" w:rsidRPr="00B24FC9" w:rsidRDefault="00020299" w:rsidP="00826D53">
            <w:pPr>
              <w:tabs>
                <w:tab w:val="left" w:pos="6946"/>
              </w:tabs>
              <w:suppressAutoHyphens/>
              <w:spacing w:after="120" w:line="252" w:lineRule="auto"/>
              <w:ind w:left="1134"/>
              <w:jc w:val="left"/>
              <w:rPr>
                <w:rFonts w:cs="Tahoma"/>
                <w:b/>
                <w:bCs/>
                <w:color w:val="365F91" w:themeColor="accent1" w:themeShade="BF"/>
                <w:szCs w:val="22"/>
              </w:rPr>
            </w:pPr>
            <w:proofErr w:type="spellStart"/>
            <w:r>
              <w:rPr>
                <w:rFonts w:cstheme="minorBidi"/>
                <w:b/>
                <w:snapToGrid w:val="0"/>
                <w:color w:val="365F91" w:themeColor="accent1" w:themeShade="BF"/>
                <w:szCs w:val="22"/>
              </w:rPr>
              <w:t>Deuxième</w:t>
            </w:r>
            <w:proofErr w:type="spellEnd"/>
            <w:r>
              <w:rPr>
                <w:rFonts w:cstheme="minorBidi"/>
                <w:b/>
                <w:snapToGrid w:val="0"/>
                <w:color w:val="365F91" w:themeColor="accent1" w:themeShade="BF"/>
                <w:szCs w:val="22"/>
              </w:rPr>
              <w:t xml:space="preserve"> session</w:t>
            </w:r>
            <w:r w:rsidR="00A80767" w:rsidRPr="00B24FC9">
              <w:rPr>
                <w:rFonts w:cstheme="minorBidi"/>
                <w:b/>
                <w:snapToGrid w:val="0"/>
                <w:color w:val="365F91" w:themeColor="accent1" w:themeShade="BF"/>
                <w:szCs w:val="22"/>
              </w:rPr>
              <w:br/>
            </w:r>
            <w:r>
              <w:rPr>
                <w:snapToGrid w:val="0"/>
                <w:color w:val="365F91" w:themeColor="accent1" w:themeShade="BF"/>
                <w:szCs w:val="22"/>
              </w:rPr>
              <w:t xml:space="preserve">24-28 </w:t>
            </w:r>
            <w:proofErr w:type="spellStart"/>
            <w:r>
              <w:rPr>
                <w:snapToGrid w:val="0"/>
                <w:color w:val="365F91" w:themeColor="accent1" w:themeShade="BF"/>
                <w:szCs w:val="22"/>
              </w:rPr>
              <w:t>octobre</w:t>
            </w:r>
            <w:proofErr w:type="spellEnd"/>
            <w:r>
              <w:rPr>
                <w:snapToGrid w:val="0"/>
                <w:color w:val="365F91" w:themeColor="accent1" w:themeShade="BF"/>
                <w:szCs w:val="22"/>
              </w:rPr>
              <w:t xml:space="preserve"> 2022, Genève</w:t>
            </w:r>
          </w:p>
        </w:tc>
        <w:tc>
          <w:tcPr>
            <w:tcW w:w="2962" w:type="dxa"/>
          </w:tcPr>
          <w:p w14:paraId="260BE356" w14:textId="77777777" w:rsidR="00A80767" w:rsidRPr="00FA3986" w:rsidRDefault="00020299" w:rsidP="00826D53">
            <w:pPr>
              <w:tabs>
                <w:tab w:val="clear" w:pos="1134"/>
              </w:tabs>
              <w:spacing w:after="60"/>
              <w:ind w:right="-108"/>
              <w:jc w:val="right"/>
              <w:rPr>
                <w:rFonts w:cs="Tahoma"/>
                <w:b/>
                <w:bCs/>
                <w:color w:val="365F91" w:themeColor="accent1" w:themeShade="BF"/>
                <w:szCs w:val="22"/>
                <w:lang w:val="fr-FR"/>
              </w:rPr>
            </w:pPr>
            <w:proofErr w:type="spellStart"/>
            <w:r>
              <w:rPr>
                <w:rFonts w:cs="Tahoma"/>
                <w:b/>
                <w:color w:val="365F91" w:themeColor="accent1" w:themeShade="BF"/>
                <w:szCs w:val="22"/>
              </w:rPr>
              <w:t>INFCOM</w:t>
            </w:r>
            <w:proofErr w:type="spellEnd"/>
            <w:r>
              <w:rPr>
                <w:rFonts w:cs="Tahoma"/>
                <w:b/>
                <w:color w:val="365F91" w:themeColor="accent1" w:themeShade="BF"/>
                <w:szCs w:val="22"/>
              </w:rPr>
              <w:t>-2/INF. 4.2</w:t>
            </w:r>
          </w:p>
        </w:tc>
      </w:tr>
      <w:tr w:rsidR="00A80767" w:rsidRPr="00B24FC9" w14:paraId="1E6408D1" w14:textId="77777777" w:rsidTr="00826D53">
        <w:trPr>
          <w:trHeight w:val="730"/>
        </w:trPr>
        <w:tc>
          <w:tcPr>
            <w:tcW w:w="500" w:type="dxa"/>
            <w:vMerge/>
            <w:tcBorders>
              <w:bottom w:val="nil"/>
            </w:tcBorders>
          </w:tcPr>
          <w:p w14:paraId="45AF1A78"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699742B6"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6AE72724" w14:textId="77777777" w:rsidR="00A80767" w:rsidRPr="00332C60" w:rsidRDefault="00A80767" w:rsidP="00826D53">
            <w:pPr>
              <w:tabs>
                <w:tab w:val="clear" w:pos="1134"/>
              </w:tabs>
              <w:spacing w:before="120" w:after="60"/>
              <w:ind w:right="-108"/>
              <w:jc w:val="right"/>
              <w:rPr>
                <w:rFonts w:cs="Tahoma"/>
                <w:color w:val="365F91" w:themeColor="accent1" w:themeShade="BF"/>
                <w:szCs w:val="22"/>
                <w:lang w:val="fr-FR"/>
              </w:rPr>
            </w:pPr>
            <w:r w:rsidRPr="00332C60">
              <w:rPr>
                <w:rFonts w:cs="Tahoma"/>
                <w:color w:val="365F91" w:themeColor="accent1" w:themeShade="BF"/>
                <w:szCs w:val="22"/>
                <w:lang w:val="fr-FR"/>
              </w:rPr>
              <w:t xml:space="preserve">Présenté par: </w:t>
            </w:r>
            <w:r w:rsidRPr="00332C60">
              <w:rPr>
                <w:rFonts w:cs="Tahoma"/>
                <w:color w:val="365F91" w:themeColor="accent1" w:themeShade="BF"/>
                <w:szCs w:val="22"/>
                <w:lang w:val="fr-FR"/>
              </w:rPr>
              <w:br/>
            </w:r>
            <w:r w:rsidR="00290294" w:rsidRPr="00332C60">
              <w:rPr>
                <w:rFonts w:cs="Tahoma"/>
                <w:color w:val="365F91" w:themeColor="accent1" w:themeShade="BF"/>
                <w:szCs w:val="22"/>
                <w:lang w:val="fr-FR"/>
              </w:rPr>
              <w:t>Coprésidents du SG-</w:t>
            </w:r>
            <w:proofErr w:type="spellStart"/>
            <w:r w:rsidR="00290294" w:rsidRPr="00332C60">
              <w:rPr>
                <w:rFonts w:cs="Tahoma"/>
                <w:color w:val="365F91" w:themeColor="accent1" w:themeShade="BF"/>
                <w:szCs w:val="22"/>
                <w:lang w:val="fr-FR"/>
              </w:rPr>
              <w:t>GHG</w:t>
            </w:r>
            <w:proofErr w:type="spellEnd"/>
            <w:r w:rsidR="00290294" w:rsidRPr="00332C60">
              <w:rPr>
                <w:rFonts w:cs="Tahoma"/>
                <w:color w:val="365F91" w:themeColor="accent1" w:themeShade="BF"/>
                <w:szCs w:val="22"/>
                <w:lang w:val="fr-FR"/>
              </w:rPr>
              <w:t xml:space="preserve"> </w:t>
            </w:r>
          </w:p>
          <w:p w14:paraId="40D586EA" w14:textId="07BB2693" w:rsidR="00A80767" w:rsidRPr="00B24FC9" w:rsidRDefault="00D17D5B" w:rsidP="00826D53">
            <w:pPr>
              <w:tabs>
                <w:tab w:val="clear" w:pos="1134"/>
              </w:tabs>
              <w:spacing w:before="120" w:after="60"/>
              <w:ind w:right="-108"/>
              <w:jc w:val="right"/>
              <w:rPr>
                <w:rFonts w:cs="Tahoma"/>
                <w:color w:val="365F91" w:themeColor="accent1" w:themeShade="BF"/>
                <w:szCs w:val="22"/>
              </w:rPr>
            </w:pPr>
            <w:proofErr w:type="spellStart"/>
            <w:r>
              <w:rPr>
                <w:rFonts w:cs="Tahoma"/>
                <w:color w:val="365F91" w:themeColor="accent1" w:themeShade="BF"/>
                <w:szCs w:val="22"/>
              </w:rPr>
              <w:t>20.X.2022</w:t>
            </w:r>
            <w:proofErr w:type="spellEnd"/>
          </w:p>
          <w:p w14:paraId="5AA59C24" w14:textId="77777777" w:rsidR="00A80767" w:rsidRPr="00B24FC9" w:rsidRDefault="00A80767" w:rsidP="00826D53">
            <w:pPr>
              <w:tabs>
                <w:tab w:val="clear" w:pos="1134"/>
              </w:tabs>
              <w:spacing w:before="120" w:after="60"/>
              <w:ind w:right="-108"/>
              <w:jc w:val="right"/>
              <w:rPr>
                <w:rFonts w:cs="Tahoma"/>
                <w:b/>
                <w:bCs/>
                <w:color w:val="365F91" w:themeColor="accent1" w:themeShade="BF"/>
                <w:szCs w:val="22"/>
              </w:rPr>
            </w:pPr>
          </w:p>
        </w:tc>
      </w:tr>
    </w:tbl>
    <w:p w14:paraId="125F0240" w14:textId="69015724" w:rsidR="00332C60" w:rsidRPr="002F404D" w:rsidRDefault="00332C60" w:rsidP="00332C60">
      <w:pPr>
        <w:tabs>
          <w:tab w:val="clear" w:pos="1134"/>
        </w:tabs>
        <w:spacing w:before="360"/>
        <w:jc w:val="left"/>
        <w:rPr>
          <w:rFonts w:eastAsia="Times New Roman" w:cs="Verdana"/>
          <w:i/>
          <w:iCs/>
          <w:color w:val="FF0000"/>
          <w:lang w:val="fr-FR" w:eastAsia="zh-TW"/>
        </w:rPr>
      </w:pPr>
      <w:r w:rsidRPr="00186323">
        <w:rPr>
          <w:rFonts w:eastAsia="Times New Roman" w:cs="Verdana"/>
          <w:i/>
          <w:color w:val="FF0000"/>
          <w:lang w:val="fr-FR"/>
        </w:rPr>
        <w:t>[Ce document, produit à titre indicatif, est le résultat d</w:t>
      </w:r>
      <w:r w:rsidR="003D6D77">
        <w:rPr>
          <w:rFonts w:eastAsia="Times New Roman" w:cs="Verdana"/>
          <w:i/>
          <w:color w:val="FF0000"/>
          <w:lang w:val="fr-FR"/>
        </w:rPr>
        <w:t>’</w:t>
      </w:r>
      <w:r w:rsidRPr="00186323">
        <w:rPr>
          <w:rFonts w:eastAsia="Times New Roman" w:cs="Verdana"/>
          <w:i/>
          <w:color w:val="FF0000"/>
          <w:lang w:val="fr-FR"/>
        </w:rPr>
        <w:t>une traduction automatique sans post</w:t>
      </w:r>
      <w:r>
        <w:rPr>
          <w:rFonts w:eastAsia="Times New Roman" w:cs="Verdana"/>
          <w:i/>
          <w:color w:val="FF0000"/>
          <w:lang w:val="fr-FR"/>
        </w:rPr>
        <w:noBreakHyphen/>
      </w:r>
      <w:r w:rsidRPr="00186323">
        <w:rPr>
          <w:rFonts w:eastAsia="Times New Roman" w:cs="Verdana"/>
          <w:i/>
          <w:color w:val="FF0000"/>
          <w:lang w:val="fr-FR"/>
        </w:rPr>
        <w:t>édition. Aucune garantie, expresse ou implicite, n</w:t>
      </w:r>
      <w:r w:rsidR="003D6D77">
        <w:rPr>
          <w:rFonts w:eastAsia="Times New Roman" w:cs="Verdana"/>
          <w:i/>
          <w:color w:val="FF0000"/>
          <w:lang w:val="fr-FR"/>
        </w:rPr>
        <w:t>’</w:t>
      </w:r>
      <w:r w:rsidRPr="00186323">
        <w:rPr>
          <w:rFonts w:eastAsia="Times New Roman" w:cs="Verdana"/>
          <w:i/>
          <w:color w:val="FF0000"/>
          <w:lang w:val="fr-FR"/>
        </w:rPr>
        <w:t>est donnée quant à son exactitude, sa fiabilité ou sa précision. Les divergences ou différences ayant pu résulter de la traduction vers le français du contenu du document original ne créent aucune obligation et n</w:t>
      </w:r>
      <w:r w:rsidR="003D6D77">
        <w:rPr>
          <w:rFonts w:eastAsia="Times New Roman" w:cs="Verdana"/>
          <w:i/>
          <w:color w:val="FF0000"/>
          <w:lang w:val="fr-FR"/>
        </w:rPr>
        <w:t>’</w:t>
      </w:r>
      <w:r w:rsidRPr="00186323">
        <w:rPr>
          <w:rFonts w:eastAsia="Times New Roman" w:cs="Verdana"/>
          <w:i/>
          <w:color w:val="FF0000"/>
          <w:lang w:val="fr-FR"/>
        </w:rPr>
        <w:t>ont aucun effet juridique en termes de conformité, d</w:t>
      </w:r>
      <w:r w:rsidR="003D6D77">
        <w:rPr>
          <w:rFonts w:eastAsia="Times New Roman" w:cs="Verdana"/>
          <w:i/>
          <w:color w:val="FF0000"/>
          <w:lang w:val="fr-FR"/>
        </w:rPr>
        <w:t>’</w:t>
      </w:r>
      <w:r w:rsidRPr="00186323">
        <w:rPr>
          <w:rFonts w:eastAsia="Times New Roman" w:cs="Verdana"/>
          <w:i/>
          <w:color w:val="FF0000"/>
          <w:lang w:val="fr-FR"/>
        </w:rPr>
        <w:t>exécution ou à toute autre fin. Il se peut que certains contenus (tels que les images) n</w:t>
      </w:r>
      <w:r w:rsidR="003D6D77">
        <w:rPr>
          <w:rFonts w:eastAsia="Times New Roman" w:cs="Verdana"/>
          <w:i/>
          <w:color w:val="FF0000"/>
          <w:lang w:val="fr-FR"/>
        </w:rPr>
        <w:t>’</w:t>
      </w:r>
      <w:r w:rsidRPr="00186323">
        <w:rPr>
          <w:rFonts w:eastAsia="Times New Roman" w:cs="Verdana"/>
          <w:i/>
          <w:color w:val="FF0000"/>
          <w:lang w:val="fr-FR"/>
        </w:rPr>
        <w:t>aient pu être traduits en raison des limites techniques du système. En cas de doute sur l</w:t>
      </w:r>
      <w:r w:rsidR="003D6D77">
        <w:rPr>
          <w:rFonts w:eastAsia="Times New Roman" w:cs="Verdana"/>
          <w:i/>
          <w:color w:val="FF0000"/>
          <w:lang w:val="fr-FR"/>
        </w:rPr>
        <w:t>’</w:t>
      </w:r>
      <w:r w:rsidRPr="00186323">
        <w:rPr>
          <w:rFonts w:eastAsia="Times New Roman" w:cs="Verdana"/>
          <w:i/>
          <w:color w:val="FF0000"/>
          <w:lang w:val="fr-FR"/>
        </w:rPr>
        <w:t xml:space="preserve">exactitude des informations contenues dans la traduction, </w:t>
      </w:r>
      <w:proofErr w:type="spellStart"/>
      <w:r w:rsidRPr="00186323">
        <w:rPr>
          <w:rFonts w:eastAsia="Times New Roman" w:cs="Verdana"/>
          <w:i/>
          <w:color w:val="FF0000"/>
          <w:lang w:val="fr-FR"/>
        </w:rPr>
        <w:t>veuillez vous</w:t>
      </w:r>
      <w:proofErr w:type="spellEnd"/>
      <w:r w:rsidRPr="00186323">
        <w:rPr>
          <w:rFonts w:eastAsia="Times New Roman" w:cs="Verdana"/>
          <w:i/>
          <w:color w:val="FF0000"/>
          <w:lang w:val="fr-FR"/>
        </w:rPr>
        <w:t xml:space="preserve"> reporter à l</w:t>
      </w:r>
      <w:r w:rsidR="003D6D77">
        <w:rPr>
          <w:rFonts w:eastAsia="Times New Roman" w:cs="Verdana"/>
          <w:i/>
          <w:color w:val="FF0000"/>
          <w:lang w:val="fr-FR"/>
        </w:rPr>
        <w:t>’</w:t>
      </w:r>
      <w:r w:rsidRPr="00186323">
        <w:rPr>
          <w:rFonts w:eastAsia="Times New Roman" w:cs="Verdana"/>
          <w:i/>
          <w:color w:val="FF0000"/>
          <w:lang w:val="fr-FR"/>
        </w:rPr>
        <w:t>original anglais qui constitue la version officielle du document.]</w:t>
      </w:r>
    </w:p>
    <w:p w14:paraId="7EB2F770" w14:textId="7F74F0B8" w:rsidR="00945ED7" w:rsidRPr="00332C60" w:rsidRDefault="009B29E2" w:rsidP="00945ED7">
      <w:pPr>
        <w:pStyle w:val="Heading2"/>
        <w:rPr>
          <w:lang w:val="fr-FR"/>
        </w:rPr>
      </w:pPr>
      <w:r w:rsidRPr="00332C60">
        <w:rPr>
          <w:lang w:val="fr-FR"/>
        </w:rPr>
        <w:t>INFRASTRUCTURE COORDONNÉE PAR L</w:t>
      </w:r>
      <w:r w:rsidR="003D6D77">
        <w:rPr>
          <w:lang w:val="fr-FR"/>
        </w:rPr>
        <w:t>’</w:t>
      </w:r>
      <w:r w:rsidRPr="00332C60">
        <w:rPr>
          <w:lang w:val="fr-FR"/>
        </w:rPr>
        <w:t>OMM POUR LA SURVEILLANCE</w:t>
      </w:r>
      <w:r w:rsidR="00332C60">
        <w:rPr>
          <w:lang w:val="fr-FR"/>
        </w:rPr>
        <w:br/>
      </w:r>
      <w:r w:rsidRPr="00332C60">
        <w:rPr>
          <w:lang w:val="fr-FR"/>
        </w:rPr>
        <w:t>DES GAZ À EFFET DE SERRE</w:t>
      </w:r>
    </w:p>
    <w:p w14:paraId="32CB88C3" w14:textId="77777777" w:rsidR="00945ED7" w:rsidRPr="00332C60" w:rsidRDefault="00945ED7" w:rsidP="00945ED7">
      <w:pPr>
        <w:tabs>
          <w:tab w:val="clear" w:pos="1134"/>
        </w:tabs>
        <w:suppressAutoHyphens/>
        <w:autoSpaceDN w:val="0"/>
        <w:spacing w:after="160" w:line="276" w:lineRule="auto"/>
        <w:jc w:val="center"/>
        <w:textAlignment w:val="baseline"/>
        <w:rPr>
          <w:rFonts w:eastAsia="SimSun" w:cs="Segoe UI"/>
          <w:i/>
          <w:iCs/>
          <w:lang w:val="fr-FR"/>
        </w:rPr>
      </w:pPr>
      <w:r w:rsidRPr="00332C60">
        <w:rPr>
          <w:rFonts w:eastAsia="SimSun" w:cs="Segoe UI"/>
          <w:i/>
          <w:lang w:val="fr-FR"/>
        </w:rPr>
        <w:t>Note de synthèse</w:t>
      </w:r>
    </w:p>
    <w:p w14:paraId="454A6B18" w14:textId="77777777" w:rsidR="008E578D" w:rsidRPr="00332C60" w:rsidRDefault="008E578D" w:rsidP="008E578D">
      <w:pPr>
        <w:tabs>
          <w:tab w:val="clear" w:pos="1134"/>
        </w:tabs>
        <w:suppressAutoHyphens/>
        <w:autoSpaceDN w:val="0"/>
        <w:spacing w:after="160" w:line="276" w:lineRule="auto"/>
        <w:jc w:val="center"/>
        <w:textAlignment w:val="baseline"/>
        <w:rPr>
          <w:rFonts w:eastAsia="SimSun" w:cs="Segoe UI"/>
          <w:i/>
          <w:iCs/>
          <w:lang w:val="fr-FR"/>
        </w:rPr>
      </w:pPr>
      <w:r w:rsidRPr="00332C60">
        <w:rPr>
          <w:rFonts w:eastAsia="SimSun" w:cs="Segoe UI"/>
          <w:i/>
          <w:lang w:val="fr-FR"/>
        </w:rPr>
        <w:t>Projet de travail, 18 octobre 2022</w:t>
      </w:r>
    </w:p>
    <w:p w14:paraId="52FB51C8" w14:textId="5FB7ED05" w:rsidR="00945ED7" w:rsidRPr="00332C60" w:rsidRDefault="00945ED7" w:rsidP="00945ED7">
      <w:pPr>
        <w:tabs>
          <w:tab w:val="clear" w:pos="1134"/>
        </w:tabs>
        <w:suppressAutoHyphens/>
        <w:autoSpaceDN w:val="0"/>
        <w:spacing w:after="160" w:line="276" w:lineRule="auto"/>
        <w:jc w:val="center"/>
        <w:textAlignment w:val="baseline"/>
        <w:rPr>
          <w:rFonts w:eastAsia="SimSun" w:cs="Segoe UI"/>
          <w:i/>
          <w:iCs/>
          <w:lang w:val="fr-FR"/>
        </w:rPr>
      </w:pPr>
      <w:r w:rsidRPr="00332C60">
        <w:rPr>
          <w:rFonts w:eastAsia="SimSun" w:cs="Segoe UI"/>
          <w:i/>
          <w:lang w:val="fr-FR"/>
        </w:rPr>
        <w:t>Groupe d</w:t>
      </w:r>
      <w:r w:rsidR="003D6D77">
        <w:rPr>
          <w:rFonts w:eastAsia="SimSun" w:cs="Segoe UI"/>
          <w:i/>
          <w:lang w:val="fr-FR"/>
        </w:rPr>
        <w:t>’</w:t>
      </w:r>
      <w:r w:rsidRPr="00332C60">
        <w:rPr>
          <w:rFonts w:eastAsia="SimSun" w:cs="Segoe UI"/>
          <w:i/>
          <w:lang w:val="fr-FR"/>
        </w:rPr>
        <w:t>étude mixte de l</w:t>
      </w:r>
      <w:r w:rsidR="003D6D77">
        <w:rPr>
          <w:rFonts w:eastAsia="SimSun" w:cs="Segoe UI"/>
          <w:i/>
          <w:lang w:val="fr-FR"/>
        </w:rPr>
        <w:t>’</w:t>
      </w:r>
      <w:r w:rsidRPr="00332C60">
        <w:rPr>
          <w:rFonts w:eastAsia="SimSun" w:cs="Segoe UI"/>
          <w:i/>
          <w:lang w:val="fr-FR"/>
        </w:rPr>
        <w:t>OMM sur la surveillance des gaz à effet de serre</w:t>
      </w:r>
    </w:p>
    <w:p w14:paraId="0E7D4C3D" w14:textId="77777777" w:rsidR="00945ED7" w:rsidRPr="00945ED7" w:rsidRDefault="00945ED7" w:rsidP="00E17E4E">
      <w:pPr>
        <w:pStyle w:val="Heading3"/>
        <w:numPr>
          <w:ilvl w:val="0"/>
          <w:numId w:val="1"/>
        </w:numPr>
        <w:ind w:left="0" w:firstLine="0"/>
        <w:rPr>
          <w:b w:val="0"/>
          <w:bCs w:val="0"/>
        </w:rPr>
      </w:pPr>
      <w:r w:rsidRPr="00945ED7">
        <w:t>Fond</w:t>
      </w:r>
    </w:p>
    <w:p w14:paraId="77E266D2" w14:textId="04140DAD" w:rsidR="00945ED7" w:rsidRPr="00332C60" w:rsidRDefault="00945ED7" w:rsidP="00333510">
      <w:pPr>
        <w:pStyle w:val="WMOBodyText"/>
        <w:rPr>
          <w:rFonts w:eastAsia="SimSun" w:cs="Segoe UI"/>
          <w:lang w:val="fr-FR"/>
        </w:rPr>
      </w:pPr>
      <w:r w:rsidRPr="00332C60">
        <w:rPr>
          <w:rFonts w:eastAsia="SimSun" w:cs="Segoe UI"/>
          <w:lang w:val="fr-FR"/>
        </w:rPr>
        <w:t>Les trois principaux gaz à effet de serre influencés par les activités humaines sont le dioxyde de carbone (CO2), le méthane (</w:t>
      </w:r>
      <w:proofErr w:type="spellStart"/>
      <w:r w:rsidRPr="00332C60">
        <w:rPr>
          <w:rFonts w:eastAsia="SimSun" w:cs="Segoe UI"/>
          <w:lang w:val="fr-FR"/>
        </w:rPr>
        <w:t>CH4</w:t>
      </w:r>
      <w:proofErr w:type="spellEnd"/>
      <w:r w:rsidRPr="00332C60">
        <w:rPr>
          <w:rFonts w:eastAsia="SimSun" w:cs="Segoe UI"/>
          <w:lang w:val="fr-FR"/>
        </w:rPr>
        <w:t>) et le protoxyde d</w:t>
      </w:r>
      <w:r w:rsidR="003D6D77">
        <w:rPr>
          <w:rFonts w:eastAsia="SimSun" w:cs="Segoe UI"/>
          <w:lang w:val="fr-FR"/>
        </w:rPr>
        <w:t>’</w:t>
      </w:r>
      <w:r w:rsidRPr="00332C60">
        <w:rPr>
          <w:rFonts w:eastAsia="SimSun" w:cs="Segoe UI"/>
          <w:lang w:val="fr-FR"/>
        </w:rPr>
        <w:t>azote (</w:t>
      </w:r>
      <w:proofErr w:type="spellStart"/>
      <w:r w:rsidRPr="00332C60">
        <w:rPr>
          <w:rFonts w:eastAsia="SimSun" w:cs="Segoe UI"/>
          <w:lang w:val="fr-FR"/>
        </w:rPr>
        <w:t>N2O</w:t>
      </w:r>
      <w:proofErr w:type="spellEnd"/>
      <w:r w:rsidRPr="00332C60">
        <w:rPr>
          <w:rFonts w:eastAsia="SimSun" w:cs="Segoe UI"/>
          <w:lang w:val="fr-FR"/>
        </w:rPr>
        <w:t>). L</w:t>
      </w:r>
      <w:r w:rsidR="003D6D77">
        <w:rPr>
          <w:rFonts w:eastAsia="SimSun" w:cs="Segoe UI"/>
          <w:lang w:val="fr-FR"/>
        </w:rPr>
        <w:t>’</w:t>
      </w:r>
      <w:r w:rsidRPr="00332C60">
        <w:rPr>
          <w:rFonts w:eastAsia="SimSun" w:cs="Segoe UI"/>
          <w:lang w:val="fr-FR"/>
        </w:rPr>
        <w:t>abondance croissante de ces gaz dans l</w:t>
      </w:r>
      <w:r w:rsidR="003D6D77">
        <w:rPr>
          <w:rFonts w:eastAsia="SimSun" w:cs="Segoe UI"/>
          <w:lang w:val="fr-FR"/>
        </w:rPr>
        <w:t>’</w:t>
      </w:r>
      <w:r w:rsidRPr="00332C60">
        <w:rPr>
          <w:rFonts w:eastAsia="SimSun" w:cs="Segoe UI"/>
          <w:lang w:val="fr-FR"/>
        </w:rPr>
        <w:t>environnement est la cause des changements climatiques observés et d</w:t>
      </w:r>
      <w:r w:rsidR="003D6D77">
        <w:rPr>
          <w:rFonts w:eastAsia="SimSun" w:cs="Segoe UI"/>
          <w:lang w:val="fr-FR"/>
        </w:rPr>
        <w:t>’</w:t>
      </w:r>
      <w:r w:rsidRPr="00332C60">
        <w:rPr>
          <w:rFonts w:eastAsia="SimSun" w:cs="Segoe UI"/>
          <w:lang w:val="fr-FR"/>
        </w:rPr>
        <w:t>autres impacts selon le Groupe d</w:t>
      </w:r>
      <w:r w:rsidR="003D6D77">
        <w:rPr>
          <w:rFonts w:eastAsia="SimSun" w:cs="Segoe UI"/>
          <w:lang w:val="fr-FR"/>
        </w:rPr>
        <w:t>’</w:t>
      </w:r>
      <w:r w:rsidRPr="00332C60">
        <w:rPr>
          <w:rFonts w:eastAsia="SimSun" w:cs="Segoe UI"/>
          <w:lang w:val="fr-FR"/>
        </w:rPr>
        <w:t>experts intergouvernemental sur l</w:t>
      </w:r>
      <w:r w:rsidR="003D6D77">
        <w:rPr>
          <w:rFonts w:eastAsia="SimSun" w:cs="Segoe UI"/>
          <w:lang w:val="fr-FR"/>
        </w:rPr>
        <w:t>’</w:t>
      </w:r>
      <w:r w:rsidRPr="00332C60">
        <w:rPr>
          <w:rFonts w:eastAsia="SimSun" w:cs="Segoe UI"/>
          <w:lang w:val="fr-FR"/>
        </w:rPr>
        <w:t>évolution du climat (</w:t>
      </w:r>
      <w:proofErr w:type="spellStart"/>
      <w:r w:rsidRPr="00332C60">
        <w:rPr>
          <w:rFonts w:eastAsia="SimSun" w:cs="Segoe UI"/>
          <w:lang w:val="fr-FR"/>
        </w:rPr>
        <w:t>GIEC</w:t>
      </w:r>
      <w:proofErr w:type="spellEnd"/>
      <w:r w:rsidRPr="00332C60">
        <w:rPr>
          <w:rFonts w:eastAsia="SimSun" w:cs="Segoe UI"/>
          <w:lang w:val="fr-FR"/>
        </w:rPr>
        <w:t xml:space="preserve">, réf. </w:t>
      </w:r>
      <w:proofErr w:type="spellStart"/>
      <w:r w:rsidRPr="00332C60">
        <w:rPr>
          <w:rFonts w:eastAsia="SimSun" w:cs="Segoe UI"/>
          <w:lang w:val="fr-FR"/>
        </w:rPr>
        <w:t>AR6</w:t>
      </w:r>
      <w:proofErr w:type="spellEnd"/>
      <w:r w:rsidRPr="00332C60">
        <w:rPr>
          <w:rFonts w:eastAsia="SimSun" w:cs="Segoe UI"/>
          <w:lang w:val="fr-FR"/>
        </w:rPr>
        <w:t xml:space="preserve">, </w:t>
      </w:r>
      <w:proofErr w:type="spellStart"/>
      <w:r w:rsidRPr="00332C60">
        <w:rPr>
          <w:rFonts w:eastAsia="SimSun" w:cs="Segoe UI"/>
          <w:lang w:val="fr-FR"/>
        </w:rPr>
        <w:t>WG1</w:t>
      </w:r>
      <w:proofErr w:type="spellEnd"/>
      <w:r w:rsidRPr="00332C60">
        <w:rPr>
          <w:rFonts w:eastAsia="SimSun" w:cs="Segoe UI"/>
          <w:lang w:val="fr-FR"/>
        </w:rPr>
        <w:t>). L</w:t>
      </w:r>
      <w:r w:rsidR="003D6D77">
        <w:rPr>
          <w:rFonts w:eastAsia="SimSun" w:cs="Segoe UI"/>
          <w:lang w:val="fr-FR"/>
        </w:rPr>
        <w:t>’</w:t>
      </w:r>
      <w:r w:rsidRPr="00332C60">
        <w:rPr>
          <w:rFonts w:eastAsia="SimSun" w:cs="Segoe UI"/>
          <w:lang w:val="fr-FR"/>
        </w:rPr>
        <w:t>augmentation récente (post-industrialisation</w:t>
      </w:r>
      <w:r w:rsidR="001A328F" w:rsidRPr="00332C60">
        <w:rPr>
          <w:rFonts w:eastAsia="SimSun" w:cs="Segoe UI"/>
          <w:lang w:val="fr-FR"/>
        </w:rPr>
        <w:noBreakHyphen/>
      </w:r>
      <w:r w:rsidRPr="00332C60">
        <w:rPr>
          <w:rFonts w:eastAsia="SimSun" w:cs="Segoe UI"/>
          <w:lang w:val="fr-FR"/>
        </w:rPr>
        <w:t xml:space="preserve">) des concentrations de CO2, de </w:t>
      </w:r>
      <w:proofErr w:type="spellStart"/>
      <w:r w:rsidRPr="00332C60">
        <w:rPr>
          <w:rFonts w:eastAsia="SimSun" w:cs="Segoe UI"/>
          <w:lang w:val="fr-FR"/>
        </w:rPr>
        <w:t>CH4</w:t>
      </w:r>
      <w:proofErr w:type="spellEnd"/>
      <w:r w:rsidRPr="00332C60">
        <w:rPr>
          <w:rFonts w:eastAsia="SimSun" w:cs="Segoe UI"/>
          <w:lang w:val="fr-FR"/>
        </w:rPr>
        <w:t xml:space="preserve"> et de </w:t>
      </w:r>
      <w:proofErr w:type="spellStart"/>
      <w:r w:rsidRPr="00332C60">
        <w:rPr>
          <w:rFonts w:eastAsia="SimSun" w:cs="Segoe UI"/>
          <w:lang w:val="fr-FR"/>
        </w:rPr>
        <w:t>N2O</w:t>
      </w:r>
      <w:proofErr w:type="spellEnd"/>
      <w:r w:rsidRPr="00332C60">
        <w:rPr>
          <w:rFonts w:eastAsia="SimSun" w:cs="Segoe UI"/>
          <w:lang w:val="fr-FR"/>
        </w:rPr>
        <w:t xml:space="preserve"> a été démontrée par les activités humaines. L</w:t>
      </w:r>
      <w:r w:rsidR="003D6D77">
        <w:rPr>
          <w:rFonts w:eastAsia="SimSun" w:cs="Segoe UI"/>
          <w:lang w:val="fr-FR"/>
        </w:rPr>
        <w:t>’</w:t>
      </w:r>
      <w:r w:rsidRPr="00332C60">
        <w:rPr>
          <w:rFonts w:eastAsia="SimSun" w:cs="Segoe UI"/>
          <w:lang w:val="fr-FR"/>
        </w:rPr>
        <w:t>Accord de Paris, adopté par 196 Parties à la Conférence des Parties à la Convention-cadre des Nations Unies sur les changements climatiques (</w:t>
      </w:r>
      <w:proofErr w:type="spellStart"/>
      <w:r w:rsidRPr="00332C60">
        <w:rPr>
          <w:rFonts w:eastAsia="SimSun" w:cs="Segoe UI"/>
          <w:lang w:val="fr-FR"/>
        </w:rPr>
        <w:t>CCNUCC</w:t>
      </w:r>
      <w:proofErr w:type="spellEnd"/>
      <w:r w:rsidRPr="00332C60">
        <w:rPr>
          <w:rFonts w:eastAsia="SimSun" w:cs="Segoe UI"/>
          <w:lang w:val="fr-FR"/>
        </w:rPr>
        <w:t>) en 2015, fixe des objectifs spécifiques en matière d</w:t>
      </w:r>
      <w:r w:rsidR="003D6D77">
        <w:rPr>
          <w:rFonts w:eastAsia="SimSun" w:cs="Segoe UI"/>
          <w:lang w:val="fr-FR"/>
        </w:rPr>
        <w:t>’</w:t>
      </w:r>
      <w:r w:rsidRPr="00332C60">
        <w:rPr>
          <w:rFonts w:eastAsia="SimSun" w:cs="Segoe UI"/>
          <w:lang w:val="fr-FR"/>
        </w:rPr>
        <w:t>élévation maximale de la température moyenne mondiale et indique les moyens d</w:t>
      </w:r>
      <w:r w:rsidR="003D6D77">
        <w:rPr>
          <w:rFonts w:eastAsia="SimSun" w:cs="Segoe UI"/>
          <w:lang w:val="fr-FR"/>
        </w:rPr>
        <w:t>’</w:t>
      </w:r>
      <w:r w:rsidRPr="00332C60">
        <w:rPr>
          <w:rFonts w:eastAsia="SimSun" w:cs="Segoe UI"/>
          <w:lang w:val="fr-FR"/>
        </w:rPr>
        <w:t xml:space="preserve">atteindre cet objectif par la réduction des émissions de GES. </w:t>
      </w:r>
    </w:p>
    <w:p w14:paraId="438F7C00" w14:textId="2DA947E0" w:rsidR="00945ED7" w:rsidRPr="00332C60" w:rsidRDefault="00945ED7" w:rsidP="00333510">
      <w:pPr>
        <w:pStyle w:val="WMOBodyText"/>
        <w:rPr>
          <w:rFonts w:eastAsia="SimSun" w:cs="Segoe UI"/>
          <w:lang w:val="fr-FR"/>
        </w:rPr>
      </w:pPr>
      <w:r w:rsidRPr="00332C60">
        <w:rPr>
          <w:rFonts w:eastAsia="SimSun" w:cs="Segoe UI"/>
          <w:lang w:val="fr-FR"/>
        </w:rPr>
        <w:t xml:space="preserve">Lors de la </w:t>
      </w:r>
      <w:proofErr w:type="spellStart"/>
      <w:r w:rsidRPr="00332C60">
        <w:rPr>
          <w:rFonts w:eastAsia="SimSun" w:cs="Segoe UI"/>
          <w:lang w:val="fr-FR"/>
        </w:rPr>
        <w:t>26e</w:t>
      </w:r>
      <w:proofErr w:type="spellEnd"/>
      <w:r w:rsidRPr="00332C60">
        <w:rPr>
          <w:rFonts w:eastAsia="SimSun" w:cs="Segoe UI"/>
          <w:lang w:val="fr-FR"/>
        </w:rPr>
        <w:t xml:space="preserve"> Conférence des Parties (Glasgow, novembre 2021), les Parties ont reconnu que « {...} La limitation du réchauffement planétaire à 1,5 °C d</w:t>
      </w:r>
      <w:r w:rsidR="003D6D77">
        <w:rPr>
          <w:rFonts w:eastAsia="SimSun" w:cs="Segoe UI"/>
          <w:lang w:val="fr-FR"/>
        </w:rPr>
        <w:t>’</w:t>
      </w:r>
      <w:r w:rsidRPr="00332C60">
        <w:rPr>
          <w:rFonts w:eastAsia="SimSun" w:cs="Segoe UI"/>
          <w:lang w:val="fr-FR"/>
        </w:rPr>
        <w:t>ici à 2100 nécessite une réduction rapide, profonde et soutenue des émissions mondiales de gaz à effet de serre, y compris la réduction des émissions mondiales de dioxyde de carbone de 45 % d</w:t>
      </w:r>
      <w:r w:rsidR="003D6D77">
        <w:rPr>
          <w:rFonts w:eastAsia="SimSun" w:cs="Segoe UI"/>
          <w:lang w:val="fr-FR"/>
        </w:rPr>
        <w:t>’</w:t>
      </w:r>
      <w:r w:rsidRPr="00332C60">
        <w:rPr>
          <w:rFonts w:eastAsia="SimSun" w:cs="Segoe UI"/>
          <w:lang w:val="fr-FR"/>
        </w:rPr>
        <w:t>ici à 2030 par rapport au niveau de 2010, et une réduction nette de zéro aux alentours du milieu du siècle, ainsi que des réductions importantes d</w:t>
      </w:r>
      <w:r w:rsidR="003D6D77">
        <w:rPr>
          <w:rFonts w:eastAsia="SimSun" w:cs="Segoe UI"/>
          <w:lang w:val="fr-FR"/>
        </w:rPr>
        <w:t>’</w:t>
      </w:r>
      <w:r w:rsidRPr="00332C60">
        <w:rPr>
          <w:rFonts w:eastAsia="SimSun" w:cs="Segoe UI"/>
          <w:lang w:val="fr-FR"/>
        </w:rPr>
        <w:t>autres gaz à effet de serre {...} » (Décision 1/</w:t>
      </w:r>
      <w:proofErr w:type="spellStart"/>
      <w:r w:rsidRPr="00332C60">
        <w:rPr>
          <w:rFonts w:eastAsia="SimSun" w:cs="Segoe UI"/>
          <w:lang w:val="fr-FR"/>
        </w:rPr>
        <w:t>CMA3</w:t>
      </w:r>
      <w:proofErr w:type="spellEnd"/>
      <w:r w:rsidRPr="00332C60">
        <w:rPr>
          <w:rFonts w:eastAsia="SimSun" w:cs="Segoe UI"/>
          <w:lang w:val="fr-FR"/>
        </w:rPr>
        <w:t>). La disponibilité d</w:t>
      </w:r>
      <w:r w:rsidR="003D6D77">
        <w:rPr>
          <w:rFonts w:eastAsia="SimSun" w:cs="Segoe UI"/>
          <w:lang w:val="fr-FR"/>
        </w:rPr>
        <w:t>’</w:t>
      </w:r>
      <w:r w:rsidRPr="00332C60">
        <w:rPr>
          <w:rFonts w:eastAsia="SimSun" w:cs="Segoe UI"/>
          <w:lang w:val="fr-FR"/>
        </w:rPr>
        <w:t>informations sur les niveaux et les budgets des gaz à effet de serre est essentielle pour aider les pays à guider leurs engagements et à suivre les progrès accomplis en matière de réduction des émissions.</w:t>
      </w:r>
    </w:p>
    <w:p w14:paraId="7294F3A0" w14:textId="26E07EED" w:rsidR="00945ED7" w:rsidRPr="00332C60" w:rsidRDefault="00945ED7" w:rsidP="00E17E4E">
      <w:pPr>
        <w:pStyle w:val="Heading3"/>
        <w:numPr>
          <w:ilvl w:val="0"/>
          <w:numId w:val="1"/>
        </w:numPr>
        <w:ind w:left="0" w:firstLine="0"/>
        <w:rPr>
          <w:b w:val="0"/>
          <w:bCs w:val="0"/>
          <w:lang w:val="fr-FR"/>
        </w:rPr>
      </w:pPr>
      <w:r w:rsidRPr="00332C60">
        <w:rPr>
          <w:lang w:val="fr-FR"/>
        </w:rPr>
        <w:t>Nécessité d</w:t>
      </w:r>
      <w:r w:rsidR="003D6D77">
        <w:rPr>
          <w:lang w:val="fr-FR"/>
        </w:rPr>
        <w:t>’</w:t>
      </w:r>
      <w:r w:rsidRPr="00332C60">
        <w:rPr>
          <w:lang w:val="fr-FR"/>
        </w:rPr>
        <w:t xml:space="preserve">améliorer la connaissance quantitative des cycles des gaz à effet de serre </w:t>
      </w:r>
    </w:p>
    <w:p w14:paraId="575322FB" w14:textId="5C6B44DC" w:rsidR="00945ED7" w:rsidRPr="00332C60" w:rsidRDefault="00945ED7" w:rsidP="00333510">
      <w:pPr>
        <w:pStyle w:val="WMOBodyText"/>
        <w:rPr>
          <w:rFonts w:eastAsia="SimSun" w:cs="Segoe UI"/>
          <w:lang w:val="fr-FR"/>
        </w:rPr>
      </w:pPr>
      <w:r w:rsidRPr="00332C60">
        <w:rPr>
          <w:rFonts w:eastAsia="SimSun" w:cs="Segoe UI"/>
          <w:lang w:val="fr-FR"/>
        </w:rPr>
        <w:t>L</w:t>
      </w:r>
      <w:r w:rsidR="003D6D77">
        <w:rPr>
          <w:rFonts w:eastAsia="SimSun" w:cs="Segoe UI"/>
          <w:lang w:val="fr-FR"/>
        </w:rPr>
        <w:t>’</w:t>
      </w:r>
      <w:r w:rsidRPr="00332C60">
        <w:rPr>
          <w:rFonts w:eastAsia="SimSun" w:cs="Segoe UI"/>
          <w:lang w:val="fr-FR"/>
        </w:rPr>
        <w:t>Article 13 de l</w:t>
      </w:r>
      <w:r w:rsidR="003D6D77">
        <w:rPr>
          <w:rFonts w:eastAsia="SimSun" w:cs="Segoe UI"/>
          <w:lang w:val="fr-FR"/>
        </w:rPr>
        <w:t>’</w:t>
      </w:r>
      <w:r w:rsidRPr="00332C60">
        <w:rPr>
          <w:rFonts w:eastAsia="SimSun" w:cs="Segoe UI"/>
          <w:lang w:val="fr-FR"/>
        </w:rPr>
        <w:t xml:space="preserve">Accord de Paris prie les Parties de fournir régulièrement (...): « a) Un inventaire national des émissions anthropiques par sources et absorptions par puits de gaz à </w:t>
      </w:r>
      <w:r w:rsidRPr="00332C60">
        <w:rPr>
          <w:rFonts w:eastAsia="SimSun" w:cs="Segoe UI"/>
          <w:lang w:val="fr-FR"/>
        </w:rPr>
        <w:lastRenderedPageBreak/>
        <w:t>effet de serre, préparé à l</w:t>
      </w:r>
      <w:r w:rsidR="003D6D77">
        <w:rPr>
          <w:rFonts w:eastAsia="SimSun" w:cs="Segoe UI"/>
          <w:lang w:val="fr-FR"/>
        </w:rPr>
        <w:t>’</w:t>
      </w:r>
      <w:r w:rsidRPr="00332C60">
        <w:rPr>
          <w:rFonts w:eastAsia="SimSun" w:cs="Segoe UI"/>
          <w:lang w:val="fr-FR"/>
        </w:rPr>
        <w:t xml:space="preserve">aide de bonnes pratiques acceptées par le </w:t>
      </w:r>
      <w:proofErr w:type="spellStart"/>
      <w:r w:rsidRPr="00332C60">
        <w:rPr>
          <w:rFonts w:eastAsia="SimSun" w:cs="Segoe UI"/>
          <w:lang w:val="fr-FR"/>
        </w:rPr>
        <w:t>GIEC</w:t>
      </w:r>
      <w:proofErr w:type="spellEnd"/>
      <w:r w:rsidRPr="00332C60">
        <w:rPr>
          <w:rFonts w:eastAsia="SimSun" w:cs="Segoe UI"/>
          <w:lang w:val="fr-FR"/>
        </w:rPr>
        <w:t xml:space="preserve"> et convenu par la Conférence des Parties agissant comme réunion des Parties à cet accord; » b) Informations nécessaires pour suivre les progrès accomplis dans la mise en œuvre et la réalisation de sa contribution déterminée au niveau national au titre de l</w:t>
      </w:r>
      <w:r w:rsidR="003D6D77">
        <w:rPr>
          <w:rFonts w:eastAsia="SimSun" w:cs="Segoe UI"/>
          <w:lang w:val="fr-FR"/>
        </w:rPr>
        <w:t>’</w:t>
      </w:r>
      <w:r w:rsidRPr="00332C60">
        <w:rPr>
          <w:rFonts w:eastAsia="SimSun" w:cs="Segoe UI"/>
          <w:lang w:val="fr-FR"/>
        </w:rPr>
        <w:t>article 4.</w:t>
      </w:r>
    </w:p>
    <w:p w14:paraId="2B71D9B7" w14:textId="0D9805D7" w:rsidR="00945ED7" w:rsidRPr="00332C60" w:rsidRDefault="00945ED7" w:rsidP="00333510">
      <w:pPr>
        <w:pStyle w:val="WMOBodyText"/>
        <w:rPr>
          <w:rFonts w:eastAsia="SimSun" w:cs="Segoe UI"/>
          <w:lang w:val="fr-FR"/>
        </w:rPr>
      </w:pPr>
      <w:r w:rsidRPr="00332C60">
        <w:rPr>
          <w:rFonts w:eastAsia="SimSun" w:cs="Segoe UI"/>
          <w:lang w:val="fr-FR"/>
        </w:rPr>
        <w:t>En application de l</w:t>
      </w:r>
      <w:r w:rsidR="003D6D77">
        <w:rPr>
          <w:rFonts w:eastAsia="SimSun" w:cs="Segoe UI"/>
          <w:lang w:val="fr-FR"/>
        </w:rPr>
        <w:t>’</w:t>
      </w:r>
      <w:r w:rsidRPr="00332C60">
        <w:rPr>
          <w:rFonts w:eastAsia="SimSun" w:cs="Segoe UI"/>
          <w:lang w:val="fr-FR"/>
        </w:rPr>
        <w:t>article 14 de l</w:t>
      </w:r>
      <w:r w:rsidR="003D6D77">
        <w:rPr>
          <w:rFonts w:eastAsia="SimSun" w:cs="Segoe UI"/>
          <w:lang w:val="fr-FR"/>
        </w:rPr>
        <w:t>’</w:t>
      </w:r>
      <w:r w:rsidRPr="00332C60">
        <w:rPr>
          <w:rFonts w:eastAsia="SimSun" w:cs="Segoe UI"/>
          <w:lang w:val="fr-FR"/>
        </w:rPr>
        <w:t>Accord de Paris, les Parties utiliseront ces données pour dresser un bilan mondial tous les cinq ans afin de suivre les progrès quantitatifs accomplis dans la réalisation des objectifs et de l</w:t>
      </w:r>
      <w:r w:rsidR="003D6D77">
        <w:rPr>
          <w:rFonts w:eastAsia="SimSun" w:cs="Segoe UI"/>
          <w:lang w:val="fr-FR"/>
        </w:rPr>
        <w:t>’</w:t>
      </w:r>
      <w:r w:rsidRPr="00332C60">
        <w:rPr>
          <w:rFonts w:eastAsia="SimSun" w:cs="Segoe UI"/>
          <w:lang w:val="fr-FR"/>
        </w:rPr>
        <w:t>objectif de l</w:t>
      </w:r>
      <w:r w:rsidR="003D6D77">
        <w:rPr>
          <w:rFonts w:eastAsia="SimSun" w:cs="Segoe UI"/>
          <w:lang w:val="fr-FR"/>
        </w:rPr>
        <w:t>’</w:t>
      </w:r>
      <w:r w:rsidRPr="00332C60">
        <w:rPr>
          <w:rFonts w:eastAsia="SimSun" w:cs="Segoe UI"/>
          <w:lang w:val="fr-FR"/>
        </w:rPr>
        <w:t>Accord, et ils le feront « à la lumière de {...} la meilleure science disponible ». Le premier bilan mondial doit être achevé d</w:t>
      </w:r>
      <w:r w:rsidR="003D6D77">
        <w:rPr>
          <w:rFonts w:eastAsia="SimSun" w:cs="Segoe UI"/>
          <w:lang w:val="fr-FR"/>
        </w:rPr>
        <w:t>’</w:t>
      </w:r>
      <w:r w:rsidRPr="00332C60">
        <w:rPr>
          <w:rFonts w:eastAsia="SimSun" w:cs="Segoe UI"/>
          <w:lang w:val="fr-FR"/>
        </w:rPr>
        <w:t xml:space="preserve">ici novembre 2023. Les émissions anthropiques signalées seront fondées sur les lignes directrices du </w:t>
      </w:r>
      <w:proofErr w:type="spellStart"/>
      <w:r w:rsidRPr="00332C60">
        <w:rPr>
          <w:rFonts w:eastAsia="SimSun" w:cs="Segoe UI"/>
          <w:lang w:val="fr-FR"/>
        </w:rPr>
        <w:t>GIEC</w:t>
      </w:r>
      <w:proofErr w:type="spellEnd"/>
      <w:r w:rsidRPr="00332C60">
        <w:rPr>
          <w:rFonts w:eastAsia="SimSun" w:cs="Segoe UI"/>
          <w:lang w:val="fr-FR"/>
        </w:rPr>
        <w:t xml:space="preserve"> pour les inventaires nationaux de gaz à effet de serre, incluant des méthodes de complexité et de sophistication diverses (actuellement classées par le </w:t>
      </w:r>
      <w:proofErr w:type="spellStart"/>
      <w:r w:rsidRPr="00332C60">
        <w:rPr>
          <w:rFonts w:eastAsia="SimSun" w:cs="Segoe UI"/>
          <w:lang w:val="fr-FR"/>
        </w:rPr>
        <w:t>GIEC</w:t>
      </w:r>
      <w:proofErr w:type="spellEnd"/>
      <w:r w:rsidRPr="00332C60">
        <w:rPr>
          <w:rFonts w:eastAsia="SimSun" w:cs="Segoe UI"/>
          <w:lang w:val="fr-FR"/>
        </w:rPr>
        <w:t xml:space="preserve"> comme méthodes de niveau 1, 2 et 3).</w:t>
      </w:r>
    </w:p>
    <w:p w14:paraId="49BA15D9" w14:textId="4F8C5F2A" w:rsidR="00945ED7" w:rsidRPr="00332C60" w:rsidRDefault="00945ED7" w:rsidP="00333510">
      <w:pPr>
        <w:pStyle w:val="WMOBodyText"/>
        <w:rPr>
          <w:rFonts w:eastAsia="SimSun" w:cs="Segoe UI"/>
          <w:lang w:val="fr-FR"/>
        </w:rPr>
      </w:pPr>
      <w:r w:rsidRPr="00332C60">
        <w:rPr>
          <w:rFonts w:eastAsia="SimSun" w:cs="Segoe UI"/>
          <w:lang w:val="fr-FR"/>
        </w:rPr>
        <w:t>Comme mentionné ci-dessus, la plus grande partie du forçage anthropique induit par le système climatique est causée par l</w:t>
      </w:r>
      <w:r w:rsidR="003D6D77">
        <w:rPr>
          <w:rFonts w:eastAsia="SimSun" w:cs="Segoe UI"/>
          <w:lang w:val="fr-FR"/>
        </w:rPr>
        <w:t>’</w:t>
      </w:r>
      <w:r w:rsidRPr="00332C60">
        <w:rPr>
          <w:rFonts w:eastAsia="SimSun" w:cs="Segoe UI"/>
          <w:lang w:val="fr-FR"/>
        </w:rPr>
        <w:t>évolution de la concentration atmosphérique des gaz à effet de serre persistants. La surveillance de ces gaz à l</w:t>
      </w:r>
      <w:r w:rsidR="003D6D77">
        <w:rPr>
          <w:rFonts w:eastAsia="SimSun" w:cs="Segoe UI"/>
          <w:lang w:val="fr-FR"/>
        </w:rPr>
        <w:t>’</w:t>
      </w:r>
      <w:r w:rsidRPr="00332C60">
        <w:rPr>
          <w:rFonts w:eastAsia="SimSun" w:cs="Segoe UI"/>
          <w:lang w:val="fr-FR"/>
        </w:rPr>
        <w:t>échelle mondiale revêt donc une importance primordiale. Toutefois, ces concentrations ne sont pas déterminées uniquement par les émissions anthropiques. Les concentrations de GES sont fortement influencées par les cycles naturels, qui sont ensuite influencés par le climat et d</w:t>
      </w:r>
      <w:r w:rsidR="003D6D77">
        <w:rPr>
          <w:rFonts w:eastAsia="SimSun" w:cs="Segoe UI"/>
          <w:lang w:val="fr-FR"/>
        </w:rPr>
        <w:t>’</w:t>
      </w:r>
      <w:r w:rsidRPr="00332C60">
        <w:rPr>
          <w:rFonts w:eastAsia="SimSun" w:cs="Segoe UI"/>
          <w:lang w:val="fr-FR"/>
        </w:rPr>
        <w:t>autres changements environnementaux. Les variations des émissions naturelles et de l</w:t>
      </w:r>
      <w:r w:rsidR="003D6D77">
        <w:rPr>
          <w:rFonts w:eastAsia="SimSun" w:cs="Segoe UI"/>
          <w:lang w:val="fr-FR"/>
        </w:rPr>
        <w:t>’</w:t>
      </w:r>
      <w:r w:rsidRPr="00332C60">
        <w:rPr>
          <w:rFonts w:eastAsia="SimSun" w:cs="Segoe UI"/>
          <w:lang w:val="fr-FR"/>
        </w:rPr>
        <w:t>absorption des gaz à effet de serre peuvent interagir avec les efforts d</w:t>
      </w:r>
      <w:r w:rsidR="003D6D77">
        <w:rPr>
          <w:rFonts w:eastAsia="SimSun" w:cs="Segoe UI"/>
          <w:lang w:val="fr-FR"/>
        </w:rPr>
        <w:t>’</w:t>
      </w:r>
      <w:r w:rsidRPr="00332C60">
        <w:rPr>
          <w:rFonts w:eastAsia="SimSun" w:cs="Segoe UI"/>
          <w:lang w:val="fr-FR"/>
        </w:rPr>
        <w:t>atténuation visant à accroître ou à diminuer leur efficacité. Notre connaissance quantitative de certaines sources et puits de GAZ À EFFET DE SERRE présente de grandes incertitudes, tant elles opèrent actuellement que la mesure dans laquelle elles évolueront à l</w:t>
      </w:r>
      <w:r w:rsidR="003D6D77">
        <w:rPr>
          <w:rFonts w:eastAsia="SimSun" w:cs="Segoe UI"/>
          <w:lang w:val="fr-FR"/>
        </w:rPr>
        <w:t>’</w:t>
      </w:r>
      <w:r w:rsidRPr="00332C60">
        <w:rPr>
          <w:rFonts w:eastAsia="SimSun" w:cs="Segoe UI"/>
          <w:lang w:val="fr-FR"/>
        </w:rPr>
        <w:t xml:space="preserve">avenir en réponse par exemple au changement climatique. </w:t>
      </w:r>
    </w:p>
    <w:p w14:paraId="02E513E8" w14:textId="606BA518" w:rsidR="00945ED7" w:rsidRPr="00332C60" w:rsidRDefault="00945ED7" w:rsidP="00333510">
      <w:pPr>
        <w:pStyle w:val="WMOBodyText"/>
        <w:rPr>
          <w:rFonts w:eastAsia="SimSun" w:cs="Segoe UI"/>
          <w:lang w:val="fr-FR"/>
        </w:rPr>
      </w:pPr>
      <w:r w:rsidRPr="00332C60">
        <w:rPr>
          <w:rFonts w:eastAsia="SimSun" w:cs="Segoe UI"/>
          <w:lang w:val="fr-FR"/>
        </w:rPr>
        <w:t>À l</w:t>
      </w:r>
      <w:r w:rsidR="003D6D77">
        <w:rPr>
          <w:rFonts w:eastAsia="SimSun" w:cs="Segoe UI"/>
          <w:lang w:val="fr-FR"/>
        </w:rPr>
        <w:t>’</w:t>
      </w:r>
      <w:r w:rsidRPr="00332C60">
        <w:rPr>
          <w:rFonts w:eastAsia="SimSun" w:cs="Segoe UI"/>
          <w:lang w:val="fr-FR"/>
        </w:rPr>
        <w:t>heure actuelle, la plupart des mesures de gaz à effet de serre (GES) dans l</w:t>
      </w:r>
      <w:r w:rsidR="003D6D77">
        <w:rPr>
          <w:rFonts w:eastAsia="SimSun" w:cs="Segoe UI"/>
          <w:lang w:val="fr-FR"/>
        </w:rPr>
        <w:t>’</w:t>
      </w:r>
      <w:r w:rsidRPr="00332C60">
        <w:rPr>
          <w:rFonts w:eastAsia="SimSun" w:cs="Segoe UI"/>
          <w:lang w:val="fr-FR"/>
        </w:rPr>
        <w:t>environnement et le traitement de ces données d</w:t>
      </w:r>
      <w:r w:rsidR="003D6D77">
        <w:rPr>
          <w:rFonts w:eastAsia="SimSun" w:cs="Segoe UI"/>
          <w:lang w:val="fr-FR"/>
        </w:rPr>
        <w:t>’</w:t>
      </w:r>
      <w:r w:rsidRPr="00332C60">
        <w:rPr>
          <w:rFonts w:eastAsia="SimSun" w:cs="Segoe UI"/>
          <w:lang w:val="fr-FR"/>
        </w:rPr>
        <w:t>observation nécessaires aux mesures d</w:t>
      </w:r>
      <w:r w:rsidR="003D6D77">
        <w:rPr>
          <w:rFonts w:eastAsia="SimSun" w:cs="Segoe UI"/>
          <w:lang w:val="fr-FR"/>
        </w:rPr>
        <w:t>’</w:t>
      </w:r>
      <w:r w:rsidRPr="00332C60">
        <w:rPr>
          <w:rFonts w:eastAsia="SimSun" w:cs="Segoe UI"/>
          <w:lang w:val="fr-FR"/>
        </w:rPr>
        <w:t>atténuation, reposent principalement sur les activités de recherche et le financement. Le caractère limité dans le temps du financement de la recherche et l</w:t>
      </w:r>
      <w:r w:rsidR="003D6D77">
        <w:rPr>
          <w:rFonts w:eastAsia="SimSun" w:cs="Segoe UI"/>
          <w:lang w:val="fr-FR"/>
        </w:rPr>
        <w:t>’</w:t>
      </w:r>
      <w:r w:rsidRPr="00332C60">
        <w:rPr>
          <w:rFonts w:eastAsia="SimSun" w:cs="Segoe UI"/>
          <w:lang w:val="fr-FR"/>
        </w:rPr>
        <w:t>incertitude de son attribution conduisent à une fragilité inhérente du système de surveillance des GES, qui est difficile à concilier avec son importance critique et croissante en tant que facteur politique.</w:t>
      </w:r>
    </w:p>
    <w:p w14:paraId="2939583D" w14:textId="6E5DE56B" w:rsidR="00945ED7" w:rsidRPr="00332C60" w:rsidRDefault="00945ED7" w:rsidP="00333510">
      <w:pPr>
        <w:pStyle w:val="WMOBodyText"/>
        <w:rPr>
          <w:rFonts w:eastAsia="SimSun" w:cs="Segoe UI"/>
          <w:lang w:val="fr-FR"/>
        </w:rPr>
      </w:pPr>
      <w:r w:rsidRPr="00332C60">
        <w:rPr>
          <w:rFonts w:eastAsia="SimSun" w:cs="Segoe UI"/>
          <w:lang w:val="fr-FR"/>
        </w:rPr>
        <w:t>Une infrastructure de surveillance régulière et soutenue des concentrations et des flux de GES, à l</w:t>
      </w:r>
      <w:r w:rsidR="003D6D77">
        <w:rPr>
          <w:rFonts w:eastAsia="SimSun" w:cs="Segoe UI"/>
          <w:lang w:val="fr-FR"/>
        </w:rPr>
        <w:t>’</w:t>
      </w:r>
      <w:r w:rsidRPr="00332C60">
        <w:rPr>
          <w:rFonts w:eastAsia="SimSun" w:cs="Segoe UI"/>
          <w:lang w:val="fr-FR"/>
        </w:rPr>
        <w:t>aide de protocoles et de méthodes normalisés, semblable à celles utilisées pour la surveillance du temps et du climat, fournira une foule de données quantitatives pour améliorer notre compréhension des cycles de GES. Il fournira des champs mondiaux continus dans le temps de l</w:t>
      </w:r>
      <w:r w:rsidR="003D6D77">
        <w:rPr>
          <w:rFonts w:eastAsia="SimSun" w:cs="Segoe UI"/>
          <w:lang w:val="fr-FR"/>
        </w:rPr>
        <w:t>’</w:t>
      </w:r>
      <w:r w:rsidRPr="00332C60">
        <w:rPr>
          <w:rFonts w:eastAsia="SimSun" w:cs="Segoe UI"/>
          <w:lang w:val="fr-FR"/>
        </w:rPr>
        <w:t>abondance des gaz à effet de serre dans l</w:t>
      </w:r>
      <w:r w:rsidR="003D6D77">
        <w:rPr>
          <w:rFonts w:eastAsia="SimSun" w:cs="Segoe UI"/>
          <w:lang w:val="fr-FR"/>
        </w:rPr>
        <w:t>’</w:t>
      </w:r>
      <w:r w:rsidRPr="00332C60">
        <w:rPr>
          <w:rFonts w:eastAsia="SimSun" w:cs="Segoe UI"/>
          <w:lang w:val="fr-FR"/>
        </w:rPr>
        <w:t>atmosphère, ce qui fournira un aperçu sans précédent des distributions géographiques et saisonnières des gaz à effet de serre, ce qui favorisera la fourniture d</w:t>
      </w:r>
      <w:r w:rsidR="003D6D77">
        <w:rPr>
          <w:rFonts w:eastAsia="SimSun" w:cs="Segoe UI"/>
          <w:lang w:val="fr-FR"/>
        </w:rPr>
        <w:t>’</w:t>
      </w:r>
      <w:r w:rsidRPr="00332C60">
        <w:rPr>
          <w:rFonts w:eastAsia="SimSun" w:cs="Segoe UI"/>
          <w:lang w:val="fr-FR"/>
        </w:rPr>
        <w:t>estimations des flux nets mensuels, par exemple sur une</w:t>
      </w:r>
      <w:r w:rsidR="003D6D77">
        <w:rPr>
          <w:rFonts w:eastAsia="SimSun" w:cs="Segoe UI"/>
          <w:lang w:val="fr-FR"/>
        </w:rPr>
        <w:t xml:space="preserve"> </w:t>
      </w:r>
      <w:r w:rsidRPr="00332C60">
        <w:rPr>
          <w:rFonts w:eastAsia="SimSun" w:cs="Times New Roman"/>
          <w:lang w:val="fr-FR"/>
        </w:rPr>
        <w:t xml:space="preserve">résolution de </w:t>
      </w:r>
      <w:proofErr w:type="spellStart"/>
      <w:r w:rsidRPr="00332C60">
        <w:rPr>
          <w:rFonts w:eastAsia="SimSun" w:cs="Times New Roman"/>
          <w:lang w:val="fr-FR"/>
        </w:rPr>
        <w:t>1x1</w:t>
      </w:r>
      <w:proofErr w:type="spellEnd"/>
      <w:r w:rsidRPr="00332C60">
        <w:rPr>
          <w:rFonts w:eastAsia="SimSun" w:cs="Times New Roman"/>
          <w:lang w:val="fr-FR"/>
        </w:rPr>
        <w:t>°</w:t>
      </w:r>
      <w:r w:rsidRPr="00332C60">
        <w:rPr>
          <w:rFonts w:eastAsia="SimSun" w:cs="Segoe UI"/>
          <w:lang w:val="fr-FR"/>
        </w:rPr>
        <w:t xml:space="preserve"> (environ 100 km d</w:t>
      </w:r>
      <w:r w:rsidR="003D6D77">
        <w:rPr>
          <w:rFonts w:eastAsia="SimSun" w:cs="Segoe UI"/>
          <w:lang w:val="fr-FR"/>
        </w:rPr>
        <w:t>’</w:t>
      </w:r>
      <w:r w:rsidRPr="00332C60">
        <w:rPr>
          <w:rFonts w:eastAsia="SimSun" w:cs="Segoe UI"/>
          <w:lang w:val="fr-FR"/>
        </w:rPr>
        <w:t>environ 100 km). Ces quantités constitueront le principal résultat de la surveillance opérationnelle proposée des gaz à effet de serre. De plus, des efforts sont actuellement déployés pour développer des capacités de séparation de ces flux nets en émissions de sources d</w:t>
      </w:r>
      <w:r w:rsidR="003D6D77">
        <w:rPr>
          <w:rFonts w:eastAsia="SimSun" w:cs="Segoe UI"/>
          <w:lang w:val="fr-FR"/>
        </w:rPr>
        <w:t>’</w:t>
      </w:r>
      <w:r w:rsidRPr="00332C60">
        <w:rPr>
          <w:rFonts w:eastAsia="SimSun" w:cs="Segoe UI"/>
          <w:lang w:val="fr-FR"/>
        </w:rPr>
        <w:t>émission, ce qui pourrait conduire à d</w:t>
      </w:r>
      <w:r w:rsidR="003D6D77">
        <w:rPr>
          <w:rFonts w:eastAsia="SimSun" w:cs="Segoe UI"/>
          <w:lang w:val="fr-FR"/>
        </w:rPr>
        <w:t>’</w:t>
      </w:r>
      <w:r w:rsidRPr="00332C60">
        <w:rPr>
          <w:rFonts w:eastAsia="SimSun" w:cs="Segoe UI"/>
          <w:lang w:val="fr-FR"/>
        </w:rPr>
        <w:t>autres produits opérationnels à l</w:t>
      </w:r>
      <w:r w:rsidR="003D6D77">
        <w:rPr>
          <w:rFonts w:eastAsia="SimSun" w:cs="Segoe UI"/>
          <w:lang w:val="fr-FR"/>
        </w:rPr>
        <w:t>’</w:t>
      </w:r>
      <w:r w:rsidRPr="00332C60">
        <w:rPr>
          <w:rFonts w:eastAsia="SimSun" w:cs="Segoe UI"/>
          <w:lang w:val="fr-FR"/>
        </w:rPr>
        <w:t>avenir. Conformément à la politique de l</w:t>
      </w:r>
      <w:r w:rsidR="003D6D77">
        <w:rPr>
          <w:rFonts w:eastAsia="SimSun" w:cs="Segoe UI"/>
          <w:lang w:val="fr-FR"/>
        </w:rPr>
        <w:t>’</w:t>
      </w:r>
      <w:r w:rsidRPr="00332C60">
        <w:rPr>
          <w:rFonts w:eastAsia="SimSun" w:cs="Segoe UI"/>
          <w:lang w:val="fr-FR"/>
        </w:rPr>
        <w:t>OMM en matière de données, les données seront mises à la disposition de tous les utilisateurs intéressés gratuitement et sans restriction.</w:t>
      </w:r>
    </w:p>
    <w:p w14:paraId="17FAF568" w14:textId="06831714" w:rsidR="00945ED7" w:rsidRPr="00332C60" w:rsidRDefault="00945ED7" w:rsidP="00333510">
      <w:pPr>
        <w:pStyle w:val="WMOBodyText"/>
        <w:rPr>
          <w:rFonts w:eastAsia="SimSun" w:cs="Segoe UI"/>
          <w:lang w:val="fr-FR"/>
        </w:rPr>
      </w:pPr>
      <w:r w:rsidRPr="00332C60">
        <w:rPr>
          <w:rFonts w:eastAsia="SimSun" w:cs="Segoe UI"/>
          <w:lang w:val="fr-FR"/>
        </w:rPr>
        <w:t>Les produits de données seront élaborés à l</w:t>
      </w:r>
      <w:r w:rsidR="003D6D77">
        <w:rPr>
          <w:rFonts w:eastAsia="SimSun" w:cs="Segoe UI"/>
          <w:lang w:val="fr-FR"/>
        </w:rPr>
        <w:t>’</w:t>
      </w:r>
      <w:r w:rsidRPr="00332C60">
        <w:rPr>
          <w:rFonts w:eastAsia="SimSun" w:cs="Segoe UI"/>
          <w:lang w:val="fr-FR"/>
        </w:rPr>
        <w:t>aide de méthodes déjà élaborées par les chercheurs et les spécialistes de l</w:t>
      </w:r>
      <w:r w:rsidR="003D6D77">
        <w:rPr>
          <w:rFonts w:eastAsia="SimSun" w:cs="Segoe UI"/>
          <w:lang w:val="fr-FR"/>
        </w:rPr>
        <w:t>’</w:t>
      </w:r>
      <w:r w:rsidRPr="00332C60">
        <w:rPr>
          <w:rFonts w:eastAsia="SimSun" w:cs="Segoe UI"/>
          <w:lang w:val="fr-FR"/>
        </w:rPr>
        <w:t>exploitation, la Veille de l</w:t>
      </w:r>
      <w:r w:rsidR="003D6D77">
        <w:rPr>
          <w:rFonts w:eastAsia="SimSun" w:cs="Segoe UI"/>
          <w:lang w:val="fr-FR"/>
        </w:rPr>
        <w:t>’</w:t>
      </w:r>
      <w:r w:rsidRPr="00332C60">
        <w:rPr>
          <w:rFonts w:eastAsia="SimSun" w:cs="Segoe UI"/>
          <w:lang w:val="fr-FR"/>
        </w:rPr>
        <w:t>atmosphère globale (</w:t>
      </w:r>
      <w:proofErr w:type="spellStart"/>
      <w:r w:rsidRPr="00332C60">
        <w:rPr>
          <w:rFonts w:eastAsia="SimSun" w:cs="Segoe UI"/>
          <w:lang w:val="fr-FR"/>
        </w:rPr>
        <w:t>VAG</w:t>
      </w:r>
      <w:proofErr w:type="spellEnd"/>
      <w:r w:rsidRPr="00332C60">
        <w:rPr>
          <w:rFonts w:eastAsia="SimSun" w:cs="Segoe UI"/>
          <w:lang w:val="fr-FR"/>
        </w:rPr>
        <w:t>) de l</w:t>
      </w:r>
      <w:r w:rsidR="003D6D77">
        <w:rPr>
          <w:rFonts w:eastAsia="SimSun" w:cs="Segoe UI"/>
          <w:lang w:val="fr-FR"/>
        </w:rPr>
        <w:t>’</w:t>
      </w:r>
      <w:r w:rsidRPr="00332C60">
        <w:rPr>
          <w:rFonts w:eastAsia="SimSun" w:cs="Segoe UI"/>
          <w:lang w:val="fr-FR"/>
        </w:rPr>
        <w:t>OMM a par exemple 50 ans d</w:t>
      </w:r>
      <w:r w:rsidR="003D6D77">
        <w:rPr>
          <w:rFonts w:eastAsia="SimSun" w:cs="Segoe UI"/>
          <w:lang w:val="fr-FR"/>
        </w:rPr>
        <w:t>’</w:t>
      </w:r>
      <w:r w:rsidRPr="00332C60">
        <w:rPr>
          <w:rFonts w:eastAsia="SimSun" w:cs="Segoe UI"/>
          <w:lang w:val="fr-FR"/>
        </w:rPr>
        <w:t>expérience dans l</w:t>
      </w:r>
      <w:r w:rsidR="003D6D77">
        <w:rPr>
          <w:rFonts w:eastAsia="SimSun" w:cs="Segoe UI"/>
          <w:lang w:val="fr-FR"/>
        </w:rPr>
        <w:t>’</w:t>
      </w:r>
      <w:r w:rsidRPr="00332C60">
        <w:rPr>
          <w:rFonts w:eastAsia="SimSun" w:cs="Segoe UI"/>
          <w:lang w:val="fr-FR"/>
        </w:rPr>
        <w:t>élaboration des directives de mesure des gaz à effet de serre qui sont appliquées, par exemple, dans les réseaux opérationnels d</w:t>
      </w:r>
      <w:r w:rsidR="003D6D77">
        <w:rPr>
          <w:rFonts w:eastAsia="SimSun" w:cs="Segoe UI"/>
          <w:lang w:val="fr-FR"/>
        </w:rPr>
        <w:t>’</w:t>
      </w:r>
      <w:r w:rsidRPr="00332C60">
        <w:rPr>
          <w:rFonts w:eastAsia="SimSun" w:cs="Segoe UI"/>
          <w:lang w:val="fr-FR"/>
        </w:rPr>
        <w:t>Europe (</w:t>
      </w:r>
      <w:proofErr w:type="spellStart"/>
      <w:r w:rsidRPr="00332C60">
        <w:rPr>
          <w:rFonts w:eastAsia="SimSun" w:cs="Segoe UI"/>
          <w:lang w:val="fr-FR"/>
        </w:rPr>
        <w:t>ICOS</w:t>
      </w:r>
      <w:proofErr w:type="spellEnd"/>
      <w:r w:rsidRPr="00332C60">
        <w:rPr>
          <w:rFonts w:eastAsia="SimSun" w:cs="Segoe UI"/>
          <w:lang w:val="fr-FR"/>
        </w:rPr>
        <w:t>) et aux États-Unis d</w:t>
      </w:r>
      <w:r w:rsidR="003D6D77">
        <w:rPr>
          <w:rFonts w:eastAsia="SimSun" w:cs="Segoe UI"/>
          <w:lang w:val="fr-FR"/>
        </w:rPr>
        <w:t>’</w:t>
      </w:r>
      <w:r w:rsidRPr="00332C60">
        <w:rPr>
          <w:rFonts w:eastAsia="SimSun" w:cs="Segoe UI"/>
          <w:lang w:val="fr-FR"/>
        </w:rPr>
        <w:t>Amérique (Administration américaine pour les océans et l</w:t>
      </w:r>
      <w:r w:rsidR="003D6D77">
        <w:rPr>
          <w:rFonts w:eastAsia="SimSun" w:cs="Segoe UI"/>
          <w:lang w:val="fr-FR"/>
        </w:rPr>
        <w:t>’</w:t>
      </w:r>
      <w:r w:rsidRPr="00332C60">
        <w:rPr>
          <w:rFonts w:eastAsia="SimSun" w:cs="Segoe UI"/>
          <w:lang w:val="fr-FR"/>
        </w:rPr>
        <w:t>atmosphère (</w:t>
      </w:r>
      <w:proofErr w:type="spellStart"/>
      <w:r w:rsidRPr="00332C60">
        <w:rPr>
          <w:rFonts w:eastAsia="SimSun" w:cs="Segoe UI"/>
          <w:lang w:val="fr-FR"/>
        </w:rPr>
        <w:t>NOAA</w:t>
      </w:r>
      <w:proofErr w:type="spellEnd"/>
      <w:r w:rsidRPr="00332C60">
        <w:rPr>
          <w:rFonts w:eastAsia="SimSun" w:cs="Segoe UI"/>
          <w:lang w:val="fr-FR"/>
        </w:rPr>
        <w:t>)). Le produit de flux fondé sur les observations complétera les estimations actuelles des émissions anthropiques. Ces produits peuvent aider les Parties à évaluer leurs efforts individuels de réduction des émissions et les progrès mondiaux accomplis en vue d</w:t>
      </w:r>
      <w:r w:rsidR="003D6D77">
        <w:rPr>
          <w:rFonts w:eastAsia="SimSun" w:cs="Segoe UI"/>
          <w:lang w:val="fr-FR"/>
        </w:rPr>
        <w:t>’</w:t>
      </w:r>
      <w:r w:rsidRPr="00332C60">
        <w:rPr>
          <w:rFonts w:eastAsia="SimSun" w:cs="Segoe UI"/>
          <w:lang w:val="fr-FR"/>
        </w:rPr>
        <w:t>atteindre les objectifs de l</w:t>
      </w:r>
      <w:r w:rsidR="003D6D77">
        <w:rPr>
          <w:rFonts w:eastAsia="SimSun" w:cs="Segoe UI"/>
          <w:lang w:val="fr-FR"/>
        </w:rPr>
        <w:t>’</w:t>
      </w:r>
      <w:r w:rsidRPr="00332C60">
        <w:rPr>
          <w:rFonts w:eastAsia="SimSun" w:cs="Segoe UI"/>
          <w:lang w:val="fr-FR"/>
        </w:rPr>
        <w:t>Accord de Paris en matière d</w:t>
      </w:r>
      <w:r w:rsidR="003D6D77">
        <w:rPr>
          <w:rFonts w:eastAsia="SimSun" w:cs="Segoe UI"/>
          <w:lang w:val="fr-FR"/>
        </w:rPr>
        <w:t>’</w:t>
      </w:r>
      <w:r w:rsidRPr="00332C60">
        <w:rPr>
          <w:rFonts w:eastAsia="SimSun" w:cs="Segoe UI"/>
          <w:lang w:val="fr-FR"/>
        </w:rPr>
        <w:t xml:space="preserve">atténuation. </w:t>
      </w:r>
    </w:p>
    <w:p w14:paraId="11A547B6" w14:textId="04304F1A" w:rsidR="00945ED7" w:rsidRPr="00332C60" w:rsidRDefault="00945ED7" w:rsidP="00333510">
      <w:pPr>
        <w:pStyle w:val="WMOBodyText"/>
        <w:rPr>
          <w:rFonts w:eastAsia="SimSun" w:cs="Segoe UI"/>
          <w:lang w:val="fr-FR"/>
        </w:rPr>
      </w:pPr>
      <w:r w:rsidRPr="00332C60">
        <w:rPr>
          <w:rFonts w:eastAsia="SimSun" w:cs="Segoe UI"/>
          <w:lang w:val="fr-FR"/>
        </w:rPr>
        <w:lastRenderedPageBreak/>
        <w:t>Compte tenu de la nécessité d</w:t>
      </w:r>
      <w:r w:rsidR="003D6D77">
        <w:rPr>
          <w:rFonts w:eastAsia="SimSun" w:cs="Segoe UI"/>
          <w:lang w:val="fr-FR"/>
        </w:rPr>
        <w:t>’</w:t>
      </w:r>
      <w:r w:rsidRPr="00332C60">
        <w:rPr>
          <w:rFonts w:eastAsia="SimSun" w:cs="Segoe UI"/>
          <w:lang w:val="fr-FR"/>
        </w:rPr>
        <w:t>une fourniture régulière et soutenue de produits de haute qualité couvrant l</w:t>
      </w:r>
      <w:r w:rsidR="003D6D77">
        <w:rPr>
          <w:rFonts w:eastAsia="SimSun" w:cs="Segoe UI"/>
          <w:lang w:val="fr-FR"/>
        </w:rPr>
        <w:t>’</w:t>
      </w:r>
      <w:r w:rsidRPr="00332C60">
        <w:rPr>
          <w:rFonts w:eastAsia="SimSun" w:cs="Segoe UI"/>
          <w:lang w:val="fr-FR"/>
        </w:rPr>
        <w:t>ensemble du domaine mondial à l</w:t>
      </w:r>
      <w:r w:rsidR="003D6D77">
        <w:rPr>
          <w:rFonts w:eastAsia="SimSun" w:cs="Segoe UI"/>
          <w:lang w:val="fr-FR"/>
        </w:rPr>
        <w:t>’</w:t>
      </w:r>
      <w:r w:rsidRPr="00332C60">
        <w:rPr>
          <w:rFonts w:eastAsia="SimSun" w:cs="Segoe UI"/>
          <w:lang w:val="fr-FR"/>
        </w:rPr>
        <w:t>appui de l</w:t>
      </w:r>
      <w:r w:rsidR="003D6D77">
        <w:rPr>
          <w:rFonts w:eastAsia="SimSun" w:cs="Segoe UI"/>
          <w:lang w:val="fr-FR"/>
        </w:rPr>
        <w:t>’</w:t>
      </w:r>
      <w:r w:rsidRPr="00332C60">
        <w:rPr>
          <w:rFonts w:eastAsia="SimSun" w:cs="Segoe UI"/>
          <w:lang w:val="fr-FR"/>
        </w:rPr>
        <w:t>atténuation, cette note souligne l</w:t>
      </w:r>
      <w:r w:rsidR="003D6D77">
        <w:rPr>
          <w:rFonts w:eastAsia="SimSun" w:cs="Segoe UI"/>
          <w:lang w:val="fr-FR"/>
        </w:rPr>
        <w:t>’</w:t>
      </w:r>
      <w:r w:rsidRPr="00332C60">
        <w:rPr>
          <w:rFonts w:eastAsia="SimSun" w:cs="Segoe UI"/>
          <w:lang w:val="fr-FR"/>
        </w:rPr>
        <w:t>exemple de la mise en place d</w:t>
      </w:r>
      <w:r w:rsidR="003D6D77">
        <w:rPr>
          <w:rFonts w:eastAsia="SimSun" w:cs="Segoe UI"/>
          <w:lang w:val="fr-FR"/>
        </w:rPr>
        <w:t>’</w:t>
      </w:r>
      <w:r w:rsidRPr="00332C60">
        <w:rPr>
          <w:rFonts w:eastAsia="SimSun" w:cs="Segoe UI"/>
          <w:lang w:val="fr-FR"/>
        </w:rPr>
        <w:t>une infrastructure mondiale de surveillance régulière et coordonnée à l</w:t>
      </w:r>
      <w:r w:rsidR="003D6D77">
        <w:rPr>
          <w:rFonts w:eastAsia="SimSun" w:cs="Segoe UI"/>
          <w:lang w:val="fr-FR"/>
        </w:rPr>
        <w:t>’</w:t>
      </w:r>
      <w:r w:rsidRPr="00332C60">
        <w:rPr>
          <w:rFonts w:eastAsia="SimSun" w:cs="Segoe UI"/>
          <w:lang w:val="fr-FR"/>
        </w:rPr>
        <w:t>échelle internationale des gaz à effet de serre, qui fournira ces données à la communauté scientifique et aux Parties sur une base plus régulière et soutenue. L</w:t>
      </w:r>
      <w:r w:rsidR="003D6D77">
        <w:rPr>
          <w:rFonts w:eastAsia="SimSun" w:cs="Segoe UI"/>
          <w:lang w:val="fr-FR"/>
        </w:rPr>
        <w:t>’</w:t>
      </w:r>
      <w:r w:rsidRPr="00332C60">
        <w:rPr>
          <w:rFonts w:eastAsia="SimSun" w:cs="Segoe UI"/>
          <w:lang w:val="fr-FR"/>
        </w:rPr>
        <w:t xml:space="preserve">infrastructure sera développée grâce à la coopération entre différentes organisations qui participent déjà à la surveillance environnementale des gaz à effet de serre. </w:t>
      </w:r>
    </w:p>
    <w:p w14:paraId="0CBCDC0D" w14:textId="4E9D90A9" w:rsidR="00945ED7" w:rsidRPr="00332C60" w:rsidRDefault="00945ED7" w:rsidP="00E17E4E">
      <w:pPr>
        <w:pStyle w:val="Heading3"/>
        <w:numPr>
          <w:ilvl w:val="0"/>
          <w:numId w:val="1"/>
        </w:numPr>
        <w:ind w:left="0" w:firstLine="0"/>
        <w:rPr>
          <w:b w:val="0"/>
          <w:bCs w:val="0"/>
          <w:lang w:val="fr-FR"/>
        </w:rPr>
      </w:pPr>
      <w:r w:rsidRPr="00332C60">
        <w:rPr>
          <w:lang w:val="fr-FR"/>
        </w:rPr>
        <w:t>Infrastructure coordonnée de surveillance des gaz à effet de serre à l</w:t>
      </w:r>
      <w:r w:rsidR="003D6D77">
        <w:rPr>
          <w:lang w:val="fr-FR"/>
        </w:rPr>
        <w:t>’</w:t>
      </w:r>
      <w:r w:rsidRPr="00332C60">
        <w:rPr>
          <w:lang w:val="fr-FR"/>
        </w:rPr>
        <w:t>échelle mondiale</w:t>
      </w:r>
    </w:p>
    <w:p w14:paraId="44528469" w14:textId="77777777" w:rsidR="00945ED7" w:rsidRPr="00332C60" w:rsidRDefault="00945ED7" w:rsidP="00333510">
      <w:pPr>
        <w:pStyle w:val="WMOBodyText"/>
        <w:rPr>
          <w:rFonts w:eastAsia="SimSun" w:cs="Segoe UI"/>
          <w:lang w:val="fr-FR"/>
        </w:rPr>
      </w:pPr>
      <w:r w:rsidRPr="00332C60">
        <w:rPr>
          <w:rFonts w:eastAsia="SimSun" w:cs="Segoe UI"/>
          <w:lang w:val="fr-FR"/>
        </w:rPr>
        <w:t>Dans sa configuration initiale, un système mondial régulier de surveillance des gaz à effet de serre se composerait de quatre éléments principaux:</w:t>
      </w:r>
    </w:p>
    <w:p w14:paraId="2CAE97FF" w14:textId="3836AAF9" w:rsidR="00945ED7" w:rsidRPr="00332C60" w:rsidRDefault="00945ED7" w:rsidP="000E090C">
      <w:pPr>
        <w:pStyle w:val="WMOIndent1"/>
        <w:numPr>
          <w:ilvl w:val="1"/>
          <w:numId w:val="5"/>
        </w:numPr>
        <w:ind w:left="567" w:hanging="567"/>
        <w:rPr>
          <w:rFonts w:eastAsia="Calibri" w:cs="Segoe UI"/>
          <w:lang w:val="fr-FR"/>
        </w:rPr>
      </w:pPr>
      <w:r w:rsidRPr="00332C60">
        <w:rPr>
          <w:rFonts w:eastAsia="Calibri" w:cs="Segoe UI"/>
          <w:lang w:val="fr-FR"/>
        </w:rPr>
        <w:t>« Un ensemble global et complet d</w:t>
      </w:r>
      <w:r w:rsidR="003D6D77">
        <w:rPr>
          <w:rFonts w:eastAsia="Calibri" w:cs="Segoe UI"/>
          <w:lang w:val="fr-FR"/>
        </w:rPr>
        <w:t>’</w:t>
      </w:r>
      <w:r w:rsidRPr="00332C60">
        <w:rPr>
          <w:rFonts w:eastAsia="Calibri" w:cs="Segoe UI"/>
          <w:lang w:val="fr-FR"/>
        </w:rPr>
        <w:t xml:space="preserve">observations en surface et par satellite des concentrations de CO2, DE </w:t>
      </w:r>
      <w:proofErr w:type="spellStart"/>
      <w:r w:rsidRPr="00332C60">
        <w:rPr>
          <w:rFonts w:eastAsia="Calibri" w:cs="Segoe UI"/>
          <w:lang w:val="fr-FR"/>
        </w:rPr>
        <w:t>CH4</w:t>
      </w:r>
      <w:proofErr w:type="spellEnd"/>
      <w:r w:rsidRPr="00332C60">
        <w:rPr>
          <w:rFonts w:eastAsia="Calibri" w:cs="Segoe UI"/>
          <w:lang w:val="fr-FR"/>
        </w:rPr>
        <w:t xml:space="preserve"> et de </w:t>
      </w:r>
      <w:proofErr w:type="spellStart"/>
      <w:r w:rsidRPr="00332C60">
        <w:rPr>
          <w:rFonts w:eastAsia="Calibri" w:cs="Segoe UI"/>
          <w:lang w:val="fr-FR"/>
        </w:rPr>
        <w:t>N2O</w:t>
      </w:r>
      <w:proofErr w:type="spellEnd"/>
      <w:r w:rsidRPr="00332C60">
        <w:rPr>
          <w:rFonts w:eastAsia="Calibri" w:cs="Segoe UI"/>
          <w:lang w:val="fr-FR"/>
        </w:rPr>
        <w:t>, des quantités totales dans la colonne, des colonnes partielles, des profils verticaux et des flux, ainsi que des variables météorologiques, océaniques et terrestres, échangées à l</w:t>
      </w:r>
      <w:r w:rsidR="003D6D77">
        <w:rPr>
          <w:rFonts w:eastAsia="Calibri" w:cs="Segoe UI"/>
          <w:lang w:val="fr-FR"/>
        </w:rPr>
        <w:t>’</w:t>
      </w:r>
      <w:r w:rsidRPr="00332C60">
        <w:rPr>
          <w:rFonts w:eastAsia="Calibri" w:cs="Segoe UI"/>
          <w:lang w:val="fr-FR"/>
        </w:rPr>
        <w:t>échelle internationale en temps quasi réel; »</w:t>
      </w:r>
    </w:p>
    <w:p w14:paraId="4109E209" w14:textId="77777777" w:rsidR="00945ED7" w:rsidRPr="00332C60" w:rsidRDefault="00945ED7" w:rsidP="000E090C">
      <w:pPr>
        <w:pStyle w:val="WMOIndent1"/>
        <w:numPr>
          <w:ilvl w:val="1"/>
          <w:numId w:val="5"/>
        </w:numPr>
        <w:ind w:left="567" w:hanging="567"/>
        <w:rPr>
          <w:rFonts w:eastAsia="Calibri" w:cs="Segoe UI"/>
          <w:lang w:val="fr-FR"/>
        </w:rPr>
      </w:pPr>
      <w:r w:rsidRPr="00332C60">
        <w:rPr>
          <w:rFonts w:eastAsia="Calibri" w:cs="Segoe UI"/>
          <w:lang w:val="fr-FR"/>
        </w:rPr>
        <w:t>Estimations préalables des émissions de GES;</w:t>
      </w:r>
    </w:p>
    <w:p w14:paraId="3331494A" w14:textId="77777777" w:rsidR="00945ED7" w:rsidRPr="00332C60" w:rsidRDefault="00945ED7" w:rsidP="000E090C">
      <w:pPr>
        <w:pStyle w:val="WMOIndent1"/>
        <w:numPr>
          <w:ilvl w:val="1"/>
          <w:numId w:val="5"/>
        </w:numPr>
        <w:ind w:left="567" w:hanging="567"/>
        <w:rPr>
          <w:rFonts w:eastAsia="Calibri" w:cs="Segoe UI"/>
          <w:lang w:val="fr-FR"/>
        </w:rPr>
      </w:pPr>
      <w:r w:rsidRPr="00332C60">
        <w:rPr>
          <w:rFonts w:eastAsia="Calibri" w:cs="Segoe UI"/>
          <w:lang w:val="fr-FR"/>
        </w:rPr>
        <w:t>Ensemble de modèles mondiaux haute résolution représentant les concentrations, les sources et les puits de GES;</w:t>
      </w:r>
    </w:p>
    <w:p w14:paraId="04D56371" w14:textId="41703C41" w:rsidR="00945ED7" w:rsidRPr="00332C60" w:rsidRDefault="00945ED7" w:rsidP="000E090C">
      <w:pPr>
        <w:pStyle w:val="WMOIndent1"/>
        <w:numPr>
          <w:ilvl w:val="1"/>
          <w:numId w:val="5"/>
        </w:numPr>
        <w:ind w:left="567" w:hanging="567"/>
        <w:rPr>
          <w:rFonts w:eastAsia="Calibri" w:cs="Segoe UI"/>
          <w:lang w:val="fr-FR"/>
        </w:rPr>
      </w:pPr>
      <w:r w:rsidRPr="00332C60">
        <w:rPr>
          <w:rFonts w:eastAsia="Calibri" w:cs="Segoe UI"/>
          <w:lang w:val="fr-FR"/>
        </w:rPr>
        <w:t>Associés à ces modèles, les systèmes d</w:t>
      </w:r>
      <w:r w:rsidR="003D6D77">
        <w:rPr>
          <w:rFonts w:eastAsia="Calibri" w:cs="Segoe UI"/>
          <w:lang w:val="fr-FR"/>
        </w:rPr>
        <w:t>’</w:t>
      </w:r>
      <w:r w:rsidRPr="00332C60">
        <w:rPr>
          <w:rFonts w:eastAsia="Calibri" w:cs="Segoe UI"/>
          <w:lang w:val="fr-FR"/>
        </w:rPr>
        <w:t>assimilation des données qui combinent de manière optimale les observations avec le contexte du modèle pour générer des produits d</w:t>
      </w:r>
      <w:r w:rsidR="003D6D77">
        <w:rPr>
          <w:rFonts w:eastAsia="Calibri" w:cs="Segoe UI"/>
          <w:lang w:val="fr-FR"/>
        </w:rPr>
        <w:t>’</w:t>
      </w:r>
      <w:r w:rsidRPr="00332C60">
        <w:rPr>
          <w:rFonts w:eastAsia="Calibri" w:cs="Segoe UI"/>
          <w:lang w:val="fr-FR"/>
        </w:rPr>
        <w:t>une plus grande précision.</w:t>
      </w:r>
    </w:p>
    <w:p w14:paraId="0954AB70" w14:textId="1134373D" w:rsidR="00945ED7" w:rsidRPr="00332C60" w:rsidRDefault="00945ED7" w:rsidP="00333510">
      <w:pPr>
        <w:pStyle w:val="WMOBodyText"/>
        <w:rPr>
          <w:rFonts w:eastAsia="SimSun" w:cs="Segoe UI"/>
          <w:lang w:val="fr-FR"/>
        </w:rPr>
      </w:pPr>
      <w:r w:rsidRPr="00332C60">
        <w:rPr>
          <w:rFonts w:eastAsia="SimSun" w:cs="Segoe UI"/>
          <w:lang w:val="fr-FR"/>
        </w:rPr>
        <w:t>L</w:t>
      </w:r>
      <w:r w:rsidR="003D6D77">
        <w:rPr>
          <w:rFonts w:eastAsia="SimSun" w:cs="Segoe UI"/>
          <w:lang w:val="fr-FR"/>
        </w:rPr>
        <w:t>’</w:t>
      </w:r>
      <w:r w:rsidRPr="00332C60">
        <w:rPr>
          <w:rFonts w:eastAsia="SimSun" w:cs="Segoe UI"/>
          <w:lang w:val="fr-FR"/>
        </w:rPr>
        <w:t xml:space="preserve">abondance du CO2, du </w:t>
      </w:r>
      <w:proofErr w:type="spellStart"/>
      <w:r w:rsidRPr="00332C60">
        <w:rPr>
          <w:rFonts w:eastAsia="SimSun" w:cs="Segoe UI"/>
          <w:lang w:val="fr-FR"/>
        </w:rPr>
        <w:t>CH4</w:t>
      </w:r>
      <w:proofErr w:type="spellEnd"/>
      <w:r w:rsidRPr="00332C60">
        <w:rPr>
          <w:rFonts w:eastAsia="SimSun" w:cs="Segoe UI"/>
          <w:lang w:val="fr-FR"/>
        </w:rPr>
        <w:t xml:space="preserve"> et du </w:t>
      </w:r>
      <w:proofErr w:type="spellStart"/>
      <w:r w:rsidRPr="00332C60">
        <w:rPr>
          <w:rFonts w:eastAsia="SimSun" w:cs="Segoe UI"/>
          <w:lang w:val="fr-FR"/>
        </w:rPr>
        <w:t>N2O</w:t>
      </w:r>
      <w:proofErr w:type="spellEnd"/>
      <w:r w:rsidRPr="00332C60">
        <w:rPr>
          <w:rFonts w:eastAsia="SimSun" w:cs="Segoe UI"/>
          <w:lang w:val="fr-FR"/>
        </w:rPr>
        <w:t xml:space="preserve"> peut être mesurée in situ dans l</w:t>
      </w:r>
      <w:r w:rsidR="003D6D77">
        <w:rPr>
          <w:rFonts w:eastAsia="SimSun" w:cs="Segoe UI"/>
          <w:lang w:val="fr-FR"/>
        </w:rPr>
        <w:t>’</w:t>
      </w:r>
      <w:r w:rsidRPr="00332C60">
        <w:rPr>
          <w:rFonts w:eastAsia="SimSun" w:cs="Segoe UI"/>
          <w:lang w:val="fr-FR"/>
        </w:rPr>
        <w:t>atmosphère et les milieux aquatiques avec une grande précision (0,1 % et mieux), ce qui permet de déterminer les flux. Les mesures in situ effectuées à la surface et à partir de plates-formes aériennes ont été largement utilisées depuis de nombreuses décennies, fournissant des données de grande précision à de nombreux endroits du monde entier. Au cours de la dernière décennie ou deux, les capacités de mesure depuis l</w:t>
      </w:r>
      <w:r w:rsidR="003D6D77">
        <w:rPr>
          <w:rFonts w:eastAsia="SimSun" w:cs="Segoe UI"/>
          <w:lang w:val="fr-FR"/>
        </w:rPr>
        <w:t>’</w:t>
      </w:r>
      <w:r w:rsidRPr="00332C60">
        <w:rPr>
          <w:rFonts w:eastAsia="SimSun" w:cs="Segoe UI"/>
          <w:lang w:val="fr-FR"/>
        </w:rPr>
        <w:t xml:space="preserve">espace, en particulier pour le CO2 et le </w:t>
      </w:r>
      <w:proofErr w:type="spellStart"/>
      <w:r w:rsidRPr="00332C60">
        <w:rPr>
          <w:rFonts w:eastAsia="SimSun" w:cs="Segoe UI"/>
          <w:lang w:val="fr-FR"/>
        </w:rPr>
        <w:t>CH4</w:t>
      </w:r>
      <w:proofErr w:type="spellEnd"/>
      <w:r w:rsidRPr="00332C60">
        <w:rPr>
          <w:rFonts w:eastAsia="SimSun" w:cs="Segoe UI"/>
          <w:lang w:val="fr-FR"/>
        </w:rPr>
        <w:t>, ont considérablement progressé</w:t>
      </w:r>
      <w:r w:rsidRPr="00332C60">
        <w:rPr>
          <w:rFonts w:eastAsia="Microsoft YaHei" w:cs="Microsoft YaHei" w:hint="eastAsia"/>
          <w:lang w:val="fr-FR"/>
        </w:rPr>
        <w:t xml:space="preserve">, </w:t>
      </w:r>
      <w:r w:rsidRPr="00332C60">
        <w:rPr>
          <w:rFonts w:eastAsia="SimSun" w:cs="Segoe UI"/>
          <w:lang w:val="fr-FR"/>
        </w:rPr>
        <w:t>bien que la précision de ces observations soit inférieure à celle des observations in situ, mais les plates-formes satellitaires permettent une couverture mondiale.</w:t>
      </w:r>
    </w:p>
    <w:p w14:paraId="1041A2CF" w14:textId="0F9D87FC" w:rsidR="00945ED7" w:rsidRPr="00332C60" w:rsidRDefault="00945ED7" w:rsidP="00333510">
      <w:pPr>
        <w:pStyle w:val="WMOBodyText"/>
        <w:rPr>
          <w:rFonts w:eastAsia="SimSun" w:cs="Segoe UI"/>
          <w:lang w:val="fr-FR"/>
        </w:rPr>
      </w:pPr>
      <w:r w:rsidRPr="00332C60">
        <w:rPr>
          <w:rFonts w:eastAsia="SimSun" w:cs="Segoe UI"/>
          <w:lang w:val="fr-FR"/>
        </w:rPr>
        <w:t>La composante atmosphérique de cette infrastructure s</w:t>
      </w:r>
      <w:r w:rsidR="003D6D77">
        <w:rPr>
          <w:rFonts w:eastAsia="SimSun" w:cs="Segoe UI"/>
          <w:lang w:val="fr-FR"/>
        </w:rPr>
        <w:t>’</w:t>
      </w:r>
      <w:r w:rsidRPr="00332C60">
        <w:rPr>
          <w:rFonts w:eastAsia="SimSun" w:cs="Segoe UI"/>
          <w:lang w:val="fr-FR"/>
        </w:rPr>
        <w:t>appuiera sur les divers éléments d</w:t>
      </w:r>
      <w:r w:rsidR="003D6D77">
        <w:rPr>
          <w:rFonts w:eastAsia="SimSun" w:cs="Segoe UI"/>
          <w:lang w:val="fr-FR"/>
        </w:rPr>
        <w:t>’</w:t>
      </w:r>
      <w:r w:rsidRPr="00332C60">
        <w:rPr>
          <w:rFonts w:eastAsia="SimSun" w:cs="Segoe UI"/>
          <w:lang w:val="fr-FR"/>
        </w:rPr>
        <w:t>infrastructure préexistants d</w:t>
      </w:r>
      <w:r w:rsidR="003D6D77">
        <w:rPr>
          <w:rFonts w:eastAsia="SimSun" w:cs="Segoe UI"/>
          <w:lang w:val="fr-FR"/>
        </w:rPr>
        <w:t>’</w:t>
      </w:r>
      <w:r w:rsidRPr="00332C60">
        <w:rPr>
          <w:rFonts w:eastAsia="SimSun" w:cs="Segoe UI"/>
          <w:lang w:val="fr-FR"/>
        </w:rPr>
        <w:t>observation et de modélisation des gaz à effet de serre soutenus par l</w:t>
      </w:r>
      <w:r w:rsidR="003D6D77">
        <w:rPr>
          <w:rFonts w:eastAsia="SimSun" w:cs="Segoe UI"/>
          <w:lang w:val="fr-FR"/>
        </w:rPr>
        <w:t>’</w:t>
      </w:r>
      <w:r w:rsidRPr="00332C60">
        <w:rPr>
          <w:rFonts w:eastAsia="SimSun" w:cs="Segoe UI"/>
          <w:lang w:val="fr-FR"/>
        </w:rPr>
        <w:t>OMM depuis 1975 et sur d</w:t>
      </w:r>
      <w:r w:rsidR="003D6D77">
        <w:rPr>
          <w:rFonts w:eastAsia="SimSun" w:cs="Segoe UI"/>
          <w:lang w:val="fr-FR"/>
        </w:rPr>
        <w:t>’</w:t>
      </w:r>
      <w:r w:rsidRPr="00332C60">
        <w:rPr>
          <w:rFonts w:eastAsia="SimSun" w:cs="Segoe UI"/>
          <w:lang w:val="fr-FR"/>
        </w:rPr>
        <w:t xml:space="preserve">autres initiatives pertinentes au niveau national, régional et mondial. </w:t>
      </w:r>
    </w:p>
    <w:p w14:paraId="410F9EBD" w14:textId="713DD52B" w:rsidR="00945ED7" w:rsidRPr="00332C60" w:rsidRDefault="00945ED7" w:rsidP="00333510">
      <w:pPr>
        <w:pStyle w:val="WMOBodyText"/>
        <w:rPr>
          <w:rFonts w:eastAsia="SimSun" w:cs="Segoe UI"/>
          <w:lang w:val="fr-FR"/>
        </w:rPr>
      </w:pPr>
      <w:r w:rsidRPr="00332C60">
        <w:rPr>
          <w:rFonts w:eastAsia="SimSun" w:cs="Segoe UI"/>
          <w:lang w:val="fr-FR"/>
        </w:rPr>
        <w:t>La composante « Observation de l</w:t>
      </w:r>
      <w:r w:rsidR="003D6D77">
        <w:rPr>
          <w:rFonts w:eastAsia="SimSun" w:cs="Segoe UI"/>
          <w:lang w:val="fr-FR"/>
        </w:rPr>
        <w:t>’</w:t>
      </w:r>
      <w:r w:rsidRPr="00332C60">
        <w:rPr>
          <w:rFonts w:eastAsia="SimSun" w:cs="Segoe UI"/>
          <w:lang w:val="fr-FR"/>
        </w:rPr>
        <w:t>océan » de l</w:t>
      </w:r>
      <w:r w:rsidR="003D6D77">
        <w:rPr>
          <w:rFonts w:eastAsia="SimSun" w:cs="Segoe UI"/>
          <w:lang w:val="fr-FR"/>
        </w:rPr>
        <w:t>’</w:t>
      </w:r>
      <w:r w:rsidRPr="00332C60">
        <w:rPr>
          <w:rFonts w:eastAsia="SimSun" w:cs="Segoe UI"/>
          <w:lang w:val="fr-FR"/>
        </w:rPr>
        <w:t>infrastructure s</w:t>
      </w:r>
      <w:r w:rsidR="003D6D77">
        <w:rPr>
          <w:rFonts w:eastAsia="SimSun" w:cs="Segoe UI"/>
          <w:lang w:val="fr-FR"/>
        </w:rPr>
        <w:t>’</w:t>
      </w:r>
      <w:r w:rsidRPr="00332C60">
        <w:rPr>
          <w:rFonts w:eastAsia="SimSun" w:cs="Segoe UI"/>
          <w:lang w:val="fr-FR"/>
        </w:rPr>
        <w:t>appuiera sur l</w:t>
      </w:r>
      <w:r w:rsidR="003D6D77">
        <w:rPr>
          <w:rFonts w:eastAsia="SimSun" w:cs="Segoe UI"/>
          <w:lang w:val="fr-FR"/>
        </w:rPr>
        <w:t>’</w:t>
      </w:r>
      <w:r w:rsidRPr="00332C60">
        <w:rPr>
          <w:rFonts w:eastAsia="SimSun" w:cs="Segoe UI"/>
          <w:lang w:val="fr-FR"/>
        </w:rPr>
        <w:t>infrastructure de recherche et de surveillance coordonnée par le Système mondial d</w:t>
      </w:r>
      <w:r w:rsidR="003D6D77">
        <w:rPr>
          <w:rFonts w:eastAsia="SimSun" w:cs="Segoe UI"/>
          <w:lang w:val="fr-FR"/>
        </w:rPr>
        <w:t>’</w:t>
      </w:r>
      <w:r w:rsidRPr="00332C60">
        <w:rPr>
          <w:rFonts w:eastAsia="SimSun" w:cs="Segoe UI"/>
          <w:lang w:val="fr-FR"/>
        </w:rPr>
        <w:t>observation de l</w:t>
      </w:r>
      <w:r w:rsidR="003D6D77">
        <w:rPr>
          <w:rFonts w:eastAsia="SimSun" w:cs="Segoe UI"/>
          <w:lang w:val="fr-FR"/>
        </w:rPr>
        <w:t>’</w:t>
      </w:r>
      <w:r w:rsidRPr="00332C60">
        <w:rPr>
          <w:rFonts w:eastAsia="SimSun" w:cs="Segoe UI"/>
          <w:lang w:val="fr-FR"/>
        </w:rPr>
        <w:t>océan (</w:t>
      </w:r>
      <w:proofErr w:type="spellStart"/>
      <w:r w:rsidRPr="00332C60">
        <w:rPr>
          <w:rFonts w:eastAsia="SimSun" w:cs="Segoe UI"/>
          <w:lang w:val="fr-FR"/>
        </w:rPr>
        <w:t>GOOS</w:t>
      </w:r>
      <w:proofErr w:type="spellEnd"/>
      <w:r w:rsidRPr="00332C60">
        <w:rPr>
          <w:rFonts w:eastAsia="SimSun" w:cs="Segoe UI"/>
          <w:lang w:val="fr-FR"/>
        </w:rPr>
        <w:t>). Il s</w:t>
      </w:r>
      <w:r w:rsidR="003D6D77">
        <w:rPr>
          <w:rFonts w:eastAsia="SimSun" w:cs="Segoe UI"/>
          <w:lang w:val="fr-FR"/>
        </w:rPr>
        <w:t>’</w:t>
      </w:r>
      <w:r w:rsidRPr="00332C60">
        <w:rPr>
          <w:rFonts w:eastAsia="SimSun" w:cs="Segoe UI"/>
          <w:lang w:val="fr-FR"/>
        </w:rPr>
        <w:t>agit notamment des composantes biologiques, physiques, chimiques et géologiques des cycles du carbone et de l</w:t>
      </w:r>
      <w:r w:rsidR="003D6D77">
        <w:rPr>
          <w:rFonts w:eastAsia="SimSun" w:cs="Segoe UI"/>
          <w:lang w:val="fr-FR"/>
        </w:rPr>
        <w:t>’</w:t>
      </w:r>
      <w:r w:rsidRPr="00332C60">
        <w:rPr>
          <w:rFonts w:eastAsia="SimSun" w:cs="Segoe UI"/>
          <w:lang w:val="fr-FR"/>
        </w:rPr>
        <w:t>azote qui sont directement impliquées dans les processus biogéochimiques qui influent sur les gaz à effet de serre.</w:t>
      </w:r>
    </w:p>
    <w:p w14:paraId="0F4993B4" w14:textId="75755CD5" w:rsidR="00945ED7" w:rsidRPr="00332C60" w:rsidRDefault="00945ED7" w:rsidP="00333510">
      <w:pPr>
        <w:pStyle w:val="WMOBodyText"/>
        <w:rPr>
          <w:rFonts w:eastAsia="SimSun" w:cs="Segoe UI"/>
          <w:lang w:val="fr-FR"/>
        </w:rPr>
      </w:pPr>
      <w:r w:rsidRPr="00332C60">
        <w:rPr>
          <w:rFonts w:eastAsia="SimSun" w:cs="Segoe UI"/>
          <w:lang w:val="fr-FR"/>
        </w:rPr>
        <w:t>Les connaissances actuelles sur les émissions anthropiques sont documentées sous forme d</w:t>
      </w:r>
      <w:r w:rsidR="003D6D77">
        <w:rPr>
          <w:rFonts w:eastAsia="SimSun" w:cs="Segoe UI"/>
          <w:lang w:val="fr-FR"/>
        </w:rPr>
        <w:t>’</w:t>
      </w:r>
      <w:r w:rsidRPr="00332C60">
        <w:rPr>
          <w:rFonts w:eastAsia="SimSun" w:cs="Segoe UI"/>
          <w:lang w:val="fr-FR"/>
        </w:rPr>
        <w:t>inventaires élaborés à des échelles allant d</w:t>
      </w:r>
      <w:r w:rsidR="003D6D77">
        <w:rPr>
          <w:rFonts w:eastAsia="SimSun" w:cs="Segoe UI"/>
          <w:lang w:val="fr-FR"/>
        </w:rPr>
        <w:t>’</w:t>
      </w:r>
      <w:r w:rsidRPr="00332C60">
        <w:rPr>
          <w:rFonts w:eastAsia="SimSun" w:cs="Segoe UI"/>
          <w:lang w:val="fr-FR"/>
        </w:rPr>
        <w:t>une échelle locale à mondiale. Les inventaires sont fondés sur les données d</w:t>
      </w:r>
      <w:r w:rsidR="003D6D77">
        <w:rPr>
          <w:rFonts w:eastAsia="SimSun" w:cs="Segoe UI"/>
          <w:lang w:val="fr-FR"/>
        </w:rPr>
        <w:t>’</w:t>
      </w:r>
      <w:r w:rsidRPr="00332C60">
        <w:rPr>
          <w:rFonts w:eastAsia="SimSun" w:cs="Segoe UI"/>
          <w:lang w:val="fr-FR"/>
        </w:rPr>
        <w:t>entrée de diverses données socio-économiques, telles que la consommation des combustibles fossiles, et sur les facteurs d</w:t>
      </w:r>
      <w:r w:rsidR="003D6D77">
        <w:rPr>
          <w:rFonts w:eastAsia="SimSun" w:cs="Segoe UI"/>
          <w:lang w:val="fr-FR"/>
        </w:rPr>
        <w:t>’</w:t>
      </w:r>
      <w:r w:rsidRPr="00332C60">
        <w:rPr>
          <w:rFonts w:eastAsia="SimSun" w:cs="Segoe UI"/>
          <w:lang w:val="fr-FR"/>
        </w:rPr>
        <w:t xml:space="preserve">émission pour différents types de sources. Ces inventaires sont produits à la fois par le secteur universitaire (par exemple, la base de données sur les émissions pour la recherche atmosphérique mondiale (EDGAR) et les </w:t>
      </w:r>
      <w:r w:rsidRPr="00332C60">
        <w:rPr>
          <w:rFonts w:eastAsia="SimSun" w:cs="Segoe UI"/>
          <w:lang w:val="fr-FR"/>
        </w:rPr>
        <w:lastRenderedPageBreak/>
        <w:t xml:space="preserve">inventaires </w:t>
      </w:r>
      <w:proofErr w:type="spellStart"/>
      <w:r w:rsidRPr="00332C60">
        <w:rPr>
          <w:rFonts w:eastAsia="SimSun" w:cs="Segoe UI"/>
          <w:lang w:val="fr-FR"/>
        </w:rPr>
        <w:t>odIAC</w:t>
      </w:r>
      <w:proofErr w:type="spellEnd"/>
      <w:r w:rsidRPr="00332C60">
        <w:rPr>
          <w:rFonts w:eastAsia="SimSun" w:cs="Segoe UI"/>
          <w:lang w:val="fr-FR"/>
        </w:rPr>
        <w:t>) et par les autorités publiques pour leur obligation de communication nationale et infranationale. Les inventaires resteront essentiels dans le cadre de l</w:t>
      </w:r>
      <w:r w:rsidR="003D6D77">
        <w:rPr>
          <w:rFonts w:eastAsia="SimSun" w:cs="Segoe UI"/>
          <w:lang w:val="fr-FR"/>
        </w:rPr>
        <w:t>’</w:t>
      </w:r>
      <w:r w:rsidRPr="00332C60">
        <w:rPr>
          <w:rFonts w:eastAsia="SimSun" w:cs="Segoe UI"/>
          <w:lang w:val="fr-FR"/>
        </w:rPr>
        <w:t>infrastructure de surveillance des GAZ À EFFET DE SERRE, car il est nécessaire pour les systèmes de modélisation et d</w:t>
      </w:r>
      <w:r w:rsidR="003D6D77">
        <w:rPr>
          <w:rFonts w:eastAsia="SimSun" w:cs="Segoe UI"/>
          <w:lang w:val="fr-FR"/>
        </w:rPr>
        <w:t>’</w:t>
      </w:r>
      <w:r w:rsidRPr="00332C60">
        <w:rPr>
          <w:rFonts w:eastAsia="SimSun" w:cs="Segoe UI"/>
          <w:lang w:val="fr-FR"/>
        </w:rPr>
        <w:t>assimilation des données.</w:t>
      </w:r>
    </w:p>
    <w:p w14:paraId="14B4081B" w14:textId="3A578200" w:rsidR="00945ED7" w:rsidRPr="00332C60" w:rsidRDefault="00945ED7" w:rsidP="00333510">
      <w:pPr>
        <w:pStyle w:val="WMOBodyText"/>
        <w:rPr>
          <w:rFonts w:eastAsia="SimSun" w:cs="Segoe UI"/>
          <w:lang w:val="fr-FR"/>
        </w:rPr>
      </w:pPr>
      <w:r w:rsidRPr="00332C60">
        <w:rPr>
          <w:rFonts w:eastAsia="SimSun" w:cs="Segoe UI"/>
          <w:lang w:val="fr-FR"/>
        </w:rPr>
        <w:t>La composante modélisation utilisera davantage l</w:t>
      </w:r>
      <w:r w:rsidR="003D6D77">
        <w:rPr>
          <w:rFonts w:eastAsia="SimSun" w:cs="Segoe UI"/>
          <w:lang w:val="fr-FR"/>
        </w:rPr>
        <w:t>’</w:t>
      </w:r>
      <w:r w:rsidRPr="00332C60">
        <w:rPr>
          <w:rFonts w:eastAsia="SimSun" w:cs="Segoe UI"/>
          <w:lang w:val="fr-FR"/>
        </w:rPr>
        <w:t>infrastructure et les méthodes employées depuis plus de 50 ans pour la prévision opérationnelle du temps. Au cours de la dernière décennie, cette infrastructure a évolué pour adopter une approche axée sur le système Terre. Les systèmes les plus perfectionnés utilisés pour la prévision numérique du temps intègrent désormais de plus en plus la modélisation détaillée de la végétation, de l</w:t>
      </w:r>
      <w:r w:rsidR="003D6D77">
        <w:rPr>
          <w:rFonts w:eastAsia="SimSun" w:cs="Segoe UI"/>
          <w:lang w:val="fr-FR"/>
        </w:rPr>
        <w:t>’</w:t>
      </w:r>
      <w:r w:rsidRPr="00332C60">
        <w:rPr>
          <w:rFonts w:eastAsia="SimSun" w:cs="Segoe UI"/>
          <w:lang w:val="fr-FR"/>
        </w:rPr>
        <w:t>océan, de la composition de l</w:t>
      </w:r>
      <w:r w:rsidR="003D6D77">
        <w:rPr>
          <w:rFonts w:eastAsia="SimSun" w:cs="Segoe UI"/>
          <w:lang w:val="fr-FR"/>
        </w:rPr>
        <w:t>’</w:t>
      </w:r>
      <w:r w:rsidRPr="00332C60">
        <w:rPr>
          <w:rFonts w:eastAsia="SimSun" w:cs="Segoe UI"/>
          <w:lang w:val="fr-FR"/>
        </w:rPr>
        <w:t>atmosphère et de la cryosphère. Cela constitue une excellente base pour représenter les cycles des principaux gaz à effet de serre. Le couplage direct vers la biosphère terrestre et les modèles océaniques contribuera à améliorer notre compréhension des cycles des GAZ À EFFET DE SERRE, de leur évolution et de l</w:t>
      </w:r>
      <w:r w:rsidR="003D6D77">
        <w:rPr>
          <w:rFonts w:eastAsia="SimSun" w:cs="Segoe UI"/>
          <w:lang w:val="fr-FR"/>
        </w:rPr>
        <w:t>’</w:t>
      </w:r>
      <w:r w:rsidRPr="00332C60">
        <w:rPr>
          <w:rFonts w:eastAsia="SimSun" w:cs="Segoe UI"/>
          <w:lang w:val="fr-FR"/>
        </w:rPr>
        <w:t>efficacité de diverses stratégies d</w:t>
      </w:r>
      <w:r w:rsidR="003D6D77">
        <w:rPr>
          <w:rFonts w:eastAsia="SimSun" w:cs="Segoe UI"/>
          <w:lang w:val="fr-FR"/>
        </w:rPr>
        <w:t>’</w:t>
      </w:r>
      <w:r w:rsidRPr="00332C60">
        <w:rPr>
          <w:rFonts w:eastAsia="SimSun" w:cs="Segoe UI"/>
          <w:lang w:val="fr-FR"/>
        </w:rPr>
        <w:t>atténuation.</w:t>
      </w:r>
    </w:p>
    <w:p w14:paraId="59A7B1A0" w14:textId="3BA67458" w:rsidR="00945ED7" w:rsidRPr="00332C60" w:rsidRDefault="00945ED7" w:rsidP="00E1236E">
      <w:pPr>
        <w:pStyle w:val="WMOBodyText"/>
        <w:spacing w:after="240"/>
        <w:rPr>
          <w:rFonts w:eastAsia="SimSun" w:cs="Segoe UI"/>
          <w:lang w:val="fr-FR"/>
        </w:rPr>
      </w:pPr>
      <w:r w:rsidRPr="00332C60">
        <w:rPr>
          <w:rFonts w:eastAsia="SimSun" w:cs="Segoe UI"/>
          <w:lang w:val="fr-FR"/>
        </w:rPr>
        <w:t>Les principales données de sortie proposées par l</w:t>
      </w:r>
      <w:r w:rsidR="003D6D77">
        <w:rPr>
          <w:rFonts w:eastAsia="SimSun" w:cs="Segoe UI"/>
          <w:lang w:val="fr-FR"/>
        </w:rPr>
        <w:t>’</w:t>
      </w:r>
      <w:r w:rsidRPr="00332C60">
        <w:rPr>
          <w:rFonts w:eastAsia="SimSun" w:cs="Segoe UI"/>
          <w:lang w:val="fr-FR"/>
        </w:rPr>
        <w:t>infrastructure de surveillance des GAZ À EFFET DE SERRE seront les suivants</w:t>
      </w:r>
    </w:p>
    <w:p w14:paraId="11561B59" w14:textId="77777777" w:rsidR="00945ED7" w:rsidRPr="00332C60" w:rsidRDefault="00945ED7" w:rsidP="00260860">
      <w:pPr>
        <w:numPr>
          <w:ilvl w:val="0"/>
          <w:numId w:val="3"/>
        </w:numPr>
        <w:tabs>
          <w:tab w:val="clear" w:pos="1134"/>
        </w:tabs>
        <w:spacing w:after="120"/>
        <w:ind w:left="765" w:hanging="357"/>
        <w:jc w:val="left"/>
        <w:rPr>
          <w:rFonts w:eastAsia="Calibri" w:cs="Segoe UI"/>
          <w:lang w:val="fr-FR"/>
        </w:rPr>
      </w:pPr>
      <w:r w:rsidRPr="00332C60">
        <w:rPr>
          <w:rFonts w:eastAsia="Calibri" w:cs="Segoe UI"/>
          <w:lang w:val="fr-FR"/>
        </w:rPr>
        <w:t>Champs mondiaux réguliers des concentrations de GES;</w:t>
      </w:r>
    </w:p>
    <w:p w14:paraId="2F63DF1A" w14:textId="3A137EDF" w:rsidR="00945ED7" w:rsidRPr="00332C60" w:rsidRDefault="00945ED7" w:rsidP="00260860">
      <w:pPr>
        <w:numPr>
          <w:ilvl w:val="0"/>
          <w:numId w:val="3"/>
        </w:numPr>
        <w:tabs>
          <w:tab w:val="clear" w:pos="1134"/>
        </w:tabs>
        <w:spacing w:after="120"/>
        <w:ind w:left="765" w:hanging="357"/>
        <w:jc w:val="left"/>
        <w:rPr>
          <w:rFonts w:eastAsia="Calibri" w:cs="Segoe UI"/>
          <w:lang w:val="fr-FR"/>
        </w:rPr>
      </w:pPr>
      <w:r w:rsidRPr="00332C60">
        <w:rPr>
          <w:rFonts w:eastAsia="Calibri" w:cs="Segoe UI"/>
          <w:lang w:val="fr-FR"/>
        </w:rPr>
        <w:t xml:space="preserve">Estimations mensuelles régulières en temps voulu des flux nets de GES à une résolution horizontale élevée (par exemple à </w:t>
      </w:r>
      <w:r w:rsidRPr="00332C60">
        <w:rPr>
          <w:rFonts w:eastAsia="Calibri" w:cs="Times New Roman"/>
          <w:lang w:val="fr-FR"/>
        </w:rPr>
        <w:t>1 x 1°</w:t>
      </w:r>
      <w:r w:rsidRPr="00332C60">
        <w:rPr>
          <w:rFonts w:eastAsia="Calibri" w:cs="Segoe UI"/>
          <w:lang w:val="fr-FR"/>
        </w:rPr>
        <w:t>).</w:t>
      </w:r>
    </w:p>
    <w:p w14:paraId="3ED65938" w14:textId="0FB237A6" w:rsidR="00945ED7" w:rsidRPr="00332C60" w:rsidRDefault="00945ED7" w:rsidP="00333510">
      <w:pPr>
        <w:pStyle w:val="WMOBodyText"/>
        <w:rPr>
          <w:rFonts w:eastAsia="SimSun" w:cs="Segoe UI"/>
          <w:lang w:val="fr-FR"/>
        </w:rPr>
      </w:pPr>
      <w:r w:rsidRPr="00332C60">
        <w:rPr>
          <w:rFonts w:eastAsia="SimSun" w:cs="Segoe UI"/>
          <w:lang w:val="fr-FR"/>
        </w:rPr>
        <w:t>Des produits supplémentaires de données seront possibles, en fonction des besoins des utilisateurs et de l</w:t>
      </w:r>
      <w:r w:rsidR="003D6D77">
        <w:rPr>
          <w:rFonts w:eastAsia="SimSun" w:cs="Segoe UI"/>
          <w:lang w:val="fr-FR"/>
        </w:rPr>
        <w:t>’</w:t>
      </w:r>
      <w:r w:rsidRPr="00332C60">
        <w:rPr>
          <w:rFonts w:eastAsia="SimSun" w:cs="Segoe UI"/>
          <w:lang w:val="fr-FR"/>
        </w:rPr>
        <w:t>évolution des besoins en matière de services liés aux GES (par exemple les estimations des émissions anthropiques et des flux terrestres et océaniques naturels). On trouvera dans la section 5 des exemples de produits et d</w:t>
      </w:r>
      <w:r w:rsidR="003D6D77">
        <w:rPr>
          <w:rFonts w:eastAsia="SimSun" w:cs="Segoe UI"/>
          <w:lang w:val="fr-FR"/>
        </w:rPr>
        <w:t>’</w:t>
      </w:r>
      <w:r w:rsidRPr="00332C60">
        <w:rPr>
          <w:rFonts w:eastAsia="SimSun" w:cs="Segoe UI"/>
          <w:lang w:val="fr-FR"/>
        </w:rPr>
        <w:t>applications potentiels en aval qui peuvent être fondés sur les résultats du système.</w:t>
      </w:r>
    </w:p>
    <w:p w14:paraId="402980AD" w14:textId="7DA3FD3A" w:rsidR="00945ED7" w:rsidRPr="00332C60" w:rsidRDefault="00945ED7" w:rsidP="00333510">
      <w:pPr>
        <w:pStyle w:val="WMOBodyText"/>
        <w:rPr>
          <w:rFonts w:eastAsia="SimSun" w:cs="Segoe UI"/>
          <w:lang w:val="fr-FR"/>
        </w:rPr>
      </w:pPr>
      <w:r w:rsidRPr="00332C60">
        <w:rPr>
          <w:rFonts w:eastAsia="SimSun" w:cs="Segoe UI"/>
          <w:lang w:val="fr-FR"/>
        </w:rPr>
        <w:t>Comme c</w:t>
      </w:r>
      <w:r w:rsidR="003D6D77">
        <w:rPr>
          <w:rFonts w:eastAsia="SimSun" w:cs="Segoe UI"/>
          <w:lang w:val="fr-FR"/>
        </w:rPr>
        <w:t>’</w:t>
      </w:r>
      <w:r w:rsidRPr="00332C60">
        <w:rPr>
          <w:rFonts w:eastAsia="SimSun" w:cs="Segoe UI"/>
          <w:lang w:val="fr-FR"/>
        </w:rPr>
        <w:t>est le cas pour la prévision numérique opérationnelle du temps, une solide composante de recherche parallèlement aux opérations sera nécessaire afin d</w:t>
      </w:r>
      <w:r w:rsidR="003D6D77">
        <w:rPr>
          <w:rFonts w:eastAsia="SimSun" w:cs="Segoe UI"/>
          <w:lang w:val="fr-FR"/>
        </w:rPr>
        <w:t>’</w:t>
      </w:r>
      <w:r w:rsidRPr="00332C60">
        <w:rPr>
          <w:rFonts w:eastAsia="SimSun" w:cs="Segoe UI"/>
          <w:lang w:val="fr-FR"/>
        </w:rPr>
        <w:t>améliorer en permanence les techniques de mesure, la compréhension des processus de GES et les systèmes d</w:t>
      </w:r>
      <w:r w:rsidR="003D6D77">
        <w:rPr>
          <w:rFonts w:eastAsia="SimSun" w:cs="Segoe UI"/>
          <w:lang w:val="fr-FR"/>
        </w:rPr>
        <w:t>’</w:t>
      </w:r>
      <w:r w:rsidRPr="00332C60">
        <w:rPr>
          <w:rFonts w:eastAsia="SimSun" w:cs="Segoe UI"/>
          <w:lang w:val="fr-FR"/>
        </w:rPr>
        <w:t>assimilation des données. Sans un tel effort de recherche soutenu, il est peu probable que l</w:t>
      </w:r>
      <w:r w:rsidR="003D6D77">
        <w:rPr>
          <w:rFonts w:eastAsia="SimSun" w:cs="Segoe UI"/>
          <w:lang w:val="fr-FR"/>
        </w:rPr>
        <w:t>’</w:t>
      </w:r>
      <w:r w:rsidRPr="00332C60">
        <w:rPr>
          <w:rFonts w:eastAsia="SimSun" w:cs="Segoe UI"/>
          <w:lang w:val="fr-FR"/>
        </w:rPr>
        <w:t>infrastructure puisse fournir des informations qui répondent à l</w:t>
      </w:r>
      <w:r w:rsidR="003D6D77">
        <w:rPr>
          <w:rFonts w:eastAsia="SimSun" w:cs="Segoe UI"/>
          <w:lang w:val="fr-FR"/>
        </w:rPr>
        <w:t>’</w:t>
      </w:r>
      <w:r w:rsidRPr="00332C60">
        <w:rPr>
          <w:rFonts w:eastAsia="SimSun" w:cs="Segoe UI"/>
          <w:lang w:val="fr-FR"/>
        </w:rPr>
        <w:t>évolution des besoins des utilisateurs.</w:t>
      </w:r>
    </w:p>
    <w:p w14:paraId="133A43B1" w14:textId="77777777" w:rsidR="00945ED7" w:rsidRPr="00332C60" w:rsidRDefault="00945ED7" w:rsidP="007803F7">
      <w:pPr>
        <w:pStyle w:val="Heading3"/>
        <w:numPr>
          <w:ilvl w:val="0"/>
          <w:numId w:val="1"/>
        </w:numPr>
        <w:ind w:left="0" w:firstLine="0"/>
        <w:rPr>
          <w:b w:val="0"/>
          <w:bCs w:val="0"/>
          <w:lang w:val="fr-FR"/>
        </w:rPr>
      </w:pPr>
      <w:r w:rsidRPr="00332C60">
        <w:rPr>
          <w:lang w:val="fr-FR"/>
        </w:rPr>
        <w:t>Capacités et initiatives actuelles et prévues de surveillance des GES</w:t>
      </w:r>
    </w:p>
    <w:p w14:paraId="3D43A4C8" w14:textId="22F1D663" w:rsidR="00945ED7" w:rsidRPr="00332C60" w:rsidRDefault="00945ED7" w:rsidP="00333510">
      <w:pPr>
        <w:pStyle w:val="WMOBodyText"/>
        <w:rPr>
          <w:rFonts w:eastAsia="SimSun" w:cs="Segoe UI"/>
          <w:lang w:val="fr-FR"/>
        </w:rPr>
      </w:pPr>
      <w:r w:rsidRPr="00332C60">
        <w:rPr>
          <w:rFonts w:eastAsia="SimSun" w:cs="Segoe UI"/>
          <w:lang w:val="fr-FR"/>
        </w:rPr>
        <w:t>Depuis de nombreuses années, divers efforts ont été déployés pour surveiller quantitativement les gaz à effet de serre sur la base d</w:t>
      </w:r>
      <w:r w:rsidR="003D6D77">
        <w:rPr>
          <w:rFonts w:eastAsia="SimSun" w:cs="Segoe UI"/>
          <w:lang w:val="fr-FR"/>
        </w:rPr>
        <w:t>’</w:t>
      </w:r>
      <w:r w:rsidRPr="00332C60">
        <w:rPr>
          <w:rFonts w:eastAsia="SimSun" w:cs="Segoe UI"/>
          <w:lang w:val="fr-FR"/>
        </w:rPr>
        <w:t>une ou de plusieurs des composantes du système décrites ci-dessus.</w:t>
      </w:r>
    </w:p>
    <w:p w14:paraId="6715716F" w14:textId="1679F6B9" w:rsidR="00945ED7" w:rsidRPr="00332C60" w:rsidRDefault="00945ED7" w:rsidP="00333510">
      <w:pPr>
        <w:pStyle w:val="WMOBodyText"/>
        <w:rPr>
          <w:rFonts w:eastAsia="SimSun" w:cs="Segoe UI"/>
          <w:lang w:val="fr-FR"/>
        </w:rPr>
      </w:pPr>
      <w:r w:rsidRPr="00332C60">
        <w:rPr>
          <w:rFonts w:eastAsia="SimSun" w:cs="Segoe UI"/>
          <w:lang w:val="fr-FR"/>
        </w:rPr>
        <w:t xml:space="preserve">Depuis 1989, le programme de la </w:t>
      </w:r>
      <w:proofErr w:type="spellStart"/>
      <w:r w:rsidRPr="00332C60">
        <w:rPr>
          <w:rFonts w:eastAsia="SimSun" w:cs="Segoe UI"/>
          <w:lang w:val="fr-FR"/>
        </w:rPr>
        <w:t>VAG</w:t>
      </w:r>
      <w:proofErr w:type="spellEnd"/>
      <w:r w:rsidRPr="00332C60">
        <w:rPr>
          <w:rFonts w:eastAsia="SimSun" w:cs="Segoe UI"/>
          <w:lang w:val="fr-FR"/>
        </w:rPr>
        <w:t xml:space="preserve"> de l</w:t>
      </w:r>
      <w:r w:rsidR="003D6D77">
        <w:rPr>
          <w:rFonts w:eastAsia="SimSun" w:cs="Segoe UI"/>
          <w:lang w:val="fr-FR"/>
        </w:rPr>
        <w:t>’</w:t>
      </w:r>
      <w:r w:rsidRPr="00332C60">
        <w:rPr>
          <w:rFonts w:eastAsia="SimSun" w:cs="Segoe UI"/>
          <w:lang w:val="fr-FR"/>
        </w:rPr>
        <w:t>OMM a coordonné l</w:t>
      </w:r>
      <w:r w:rsidR="003D6D77">
        <w:rPr>
          <w:rFonts w:eastAsia="SimSun" w:cs="Segoe UI"/>
          <w:lang w:val="fr-FR"/>
        </w:rPr>
        <w:t>’</w:t>
      </w:r>
      <w:r w:rsidRPr="00332C60">
        <w:rPr>
          <w:rFonts w:eastAsia="SimSun" w:cs="Segoe UI"/>
          <w:lang w:val="fr-FR"/>
        </w:rPr>
        <w:t>acquisition de mesures, la gestion de la qualité, le développement des capacités et l</w:t>
      </w:r>
      <w:r w:rsidR="003D6D77">
        <w:rPr>
          <w:rFonts w:eastAsia="SimSun" w:cs="Segoe UI"/>
          <w:lang w:val="fr-FR"/>
        </w:rPr>
        <w:t>’</w:t>
      </w:r>
      <w:r w:rsidRPr="00332C60">
        <w:rPr>
          <w:rFonts w:eastAsia="SimSun" w:cs="Segoe UI"/>
          <w:lang w:val="fr-FR"/>
        </w:rPr>
        <w:t>élaboration de produits et de services en aval liés à la composition de l</w:t>
      </w:r>
      <w:r w:rsidR="003D6D77">
        <w:rPr>
          <w:rFonts w:eastAsia="SimSun" w:cs="Segoe UI"/>
          <w:lang w:val="fr-FR"/>
        </w:rPr>
        <w:t>’</w:t>
      </w:r>
      <w:r w:rsidRPr="00332C60">
        <w:rPr>
          <w:rFonts w:eastAsia="SimSun" w:cs="Segoe UI"/>
          <w:lang w:val="fr-FR"/>
        </w:rPr>
        <w:t>atmosphère, y compris les gaz à effet de serre.</w:t>
      </w:r>
      <w:r w:rsidR="003D6D77">
        <w:rPr>
          <w:rFonts w:eastAsia="SimSun" w:cs="Segoe UI"/>
          <w:lang w:val="fr-FR"/>
        </w:rPr>
        <w:t xml:space="preserve"> </w:t>
      </w:r>
      <w:r w:rsidRPr="00332C60">
        <w:rPr>
          <w:rFonts w:eastAsia="SimSun" w:cs="Segoe UI" w:hint="eastAsia"/>
          <w:lang w:val="fr-FR"/>
        </w:rPr>
        <w:t xml:space="preserve">La </w:t>
      </w:r>
      <w:proofErr w:type="spellStart"/>
      <w:r w:rsidRPr="00332C60">
        <w:rPr>
          <w:rFonts w:eastAsia="SimSun" w:cs="Segoe UI" w:hint="eastAsia"/>
          <w:lang w:val="fr-FR"/>
        </w:rPr>
        <w:t>VAG</w:t>
      </w:r>
      <w:proofErr w:type="spellEnd"/>
      <w:r w:rsidRPr="00332C60">
        <w:rPr>
          <w:rFonts w:eastAsia="SimSun" w:cs="Segoe UI"/>
          <w:lang w:val="fr-FR"/>
        </w:rPr>
        <w:t xml:space="preserve"> fournit le cadre international pour les observations in situ des gaz à effet de serre en les organisant de stations mondiales à locales de la </w:t>
      </w:r>
      <w:proofErr w:type="spellStart"/>
      <w:r w:rsidRPr="00332C60">
        <w:rPr>
          <w:rFonts w:eastAsia="SimSun" w:cs="Segoe UI"/>
          <w:lang w:val="fr-FR"/>
        </w:rPr>
        <w:t>VAG</w:t>
      </w:r>
      <w:proofErr w:type="spellEnd"/>
      <w:r w:rsidRPr="00332C60">
        <w:rPr>
          <w:rFonts w:eastAsia="SimSun" w:cs="Segoe UI"/>
          <w:lang w:val="fr-FR"/>
        </w:rPr>
        <w:t>. Le cadre implique également la mise en place de réseaux d</w:t>
      </w:r>
      <w:r w:rsidR="003D6D77">
        <w:rPr>
          <w:rFonts w:eastAsia="SimSun" w:cs="Segoe UI"/>
          <w:lang w:val="fr-FR"/>
        </w:rPr>
        <w:t>’</w:t>
      </w:r>
      <w:r w:rsidRPr="00332C60">
        <w:rPr>
          <w:rFonts w:eastAsia="SimSun" w:cs="Segoe UI"/>
          <w:lang w:val="fr-FR"/>
        </w:rPr>
        <w:t xml:space="preserve">observation des gaz à effet de serre exploités par de nombreux autres organismes. Par exemple, le </w:t>
      </w:r>
      <w:proofErr w:type="spellStart"/>
      <w:r w:rsidRPr="00332C60">
        <w:rPr>
          <w:rFonts w:eastAsia="SimSun" w:cs="Segoe UI"/>
          <w:lang w:val="fr-FR"/>
        </w:rPr>
        <w:t>TCCON</w:t>
      </w:r>
      <w:proofErr w:type="spellEnd"/>
      <w:r w:rsidRPr="00332C60">
        <w:rPr>
          <w:rFonts w:eastAsia="SimSun" w:cs="Segoe UI"/>
          <w:lang w:val="fr-FR"/>
        </w:rPr>
        <w:t xml:space="preserve"> est utilisé pour la vérification des observations des gaz à effet de serre depuis l</w:t>
      </w:r>
      <w:r w:rsidR="003D6D77">
        <w:rPr>
          <w:rFonts w:eastAsia="SimSun" w:cs="Segoe UI"/>
          <w:lang w:val="fr-FR"/>
        </w:rPr>
        <w:t>’</w:t>
      </w:r>
      <w:r w:rsidRPr="00332C60">
        <w:rPr>
          <w:rFonts w:eastAsia="SimSun" w:cs="Segoe UI"/>
          <w:lang w:val="fr-FR"/>
        </w:rPr>
        <w:t>espace. Les données sont gérées de manière centralisée par le Centre mondial de données sur les gaz à effet de serre, soutenu par le Japon, afin d</w:t>
      </w:r>
      <w:r w:rsidR="003D6D77">
        <w:rPr>
          <w:rFonts w:eastAsia="SimSun" w:cs="Segoe UI"/>
          <w:lang w:val="fr-FR"/>
        </w:rPr>
        <w:t>’</w:t>
      </w:r>
      <w:r w:rsidRPr="00332C60">
        <w:rPr>
          <w:rFonts w:eastAsia="SimSun" w:cs="Segoe UI"/>
          <w:lang w:val="fr-FR"/>
        </w:rPr>
        <w:t>assurer la cohérence et la qualité des données, au détriment d</w:t>
      </w:r>
      <w:r w:rsidR="003D6D77">
        <w:rPr>
          <w:rFonts w:eastAsia="SimSun" w:cs="Segoe UI"/>
          <w:lang w:val="fr-FR"/>
        </w:rPr>
        <w:t>’</w:t>
      </w:r>
      <w:r w:rsidRPr="00332C60">
        <w:rPr>
          <w:rFonts w:eastAsia="SimSun" w:cs="Segoe UI"/>
          <w:lang w:val="fr-FR"/>
        </w:rPr>
        <w:t>un délai considérable de transmission des données. Des tentatives ont été faites pour étendre les capacités d</w:t>
      </w:r>
      <w:r w:rsidR="003D6D77">
        <w:rPr>
          <w:rFonts w:eastAsia="SimSun" w:cs="Segoe UI"/>
          <w:lang w:val="fr-FR"/>
        </w:rPr>
        <w:t>’</w:t>
      </w:r>
      <w:r w:rsidRPr="00332C60">
        <w:rPr>
          <w:rFonts w:eastAsia="SimSun" w:cs="Segoe UI"/>
          <w:lang w:val="fr-FR"/>
        </w:rPr>
        <w:t>observation des gaz à effet de serre en zones peu couvertes. Toutefois, dans la majeure partie du globe, la densité horizontale du réseau d</w:t>
      </w:r>
      <w:r w:rsidR="003D6D77">
        <w:rPr>
          <w:rFonts w:eastAsia="SimSun" w:cs="Segoe UI"/>
          <w:lang w:val="fr-FR"/>
        </w:rPr>
        <w:t>’</w:t>
      </w:r>
      <w:r w:rsidRPr="00332C60">
        <w:rPr>
          <w:rFonts w:eastAsia="SimSun" w:cs="Segoe UI"/>
          <w:lang w:val="fr-FR"/>
        </w:rPr>
        <w:t xml:space="preserve">observation en surface reste insuffisante pour assurer un suivi efficace, bien que des réseaux régionaux plus denses soient trouvés en Europe (Système intégré </w:t>
      </w:r>
      <w:r w:rsidRPr="00332C60">
        <w:rPr>
          <w:rFonts w:eastAsia="SimSun" w:cs="Segoe UI"/>
          <w:lang w:val="fr-FR"/>
        </w:rPr>
        <w:lastRenderedPageBreak/>
        <w:t>d</w:t>
      </w:r>
      <w:r w:rsidR="003D6D77">
        <w:rPr>
          <w:rFonts w:eastAsia="SimSun" w:cs="Segoe UI"/>
          <w:lang w:val="fr-FR"/>
        </w:rPr>
        <w:t>’</w:t>
      </w:r>
      <w:r w:rsidRPr="00332C60">
        <w:rPr>
          <w:rFonts w:eastAsia="SimSun" w:cs="Segoe UI"/>
          <w:lang w:val="fr-FR"/>
        </w:rPr>
        <w:t>observation du carbone (</w:t>
      </w:r>
      <w:proofErr w:type="spellStart"/>
      <w:r w:rsidRPr="00332C60">
        <w:rPr>
          <w:rFonts w:eastAsia="SimSun" w:cs="Segoe UI"/>
          <w:lang w:val="fr-FR"/>
        </w:rPr>
        <w:t>ICOS</w:t>
      </w:r>
      <w:proofErr w:type="spellEnd"/>
      <w:r w:rsidRPr="00332C60">
        <w:rPr>
          <w:rFonts w:eastAsia="SimSun" w:cs="Segoe UI"/>
          <w:lang w:val="fr-FR"/>
        </w:rPr>
        <w:t>)), la Chine, l</w:t>
      </w:r>
      <w:r w:rsidR="003D6D77">
        <w:rPr>
          <w:rFonts w:eastAsia="SimSun" w:cs="Segoe UI"/>
          <w:lang w:val="fr-FR"/>
        </w:rPr>
        <w:t>’</w:t>
      </w:r>
      <w:r w:rsidRPr="00332C60">
        <w:rPr>
          <w:rFonts w:eastAsia="SimSun" w:cs="Segoe UI"/>
          <w:lang w:val="fr-FR"/>
        </w:rPr>
        <w:t>Amérique du Nord et quelques autres endroits. L</w:t>
      </w:r>
      <w:r w:rsidR="003D6D77">
        <w:rPr>
          <w:rFonts w:eastAsia="SimSun" w:cs="Segoe UI"/>
          <w:lang w:val="fr-FR"/>
        </w:rPr>
        <w:t>’</w:t>
      </w:r>
      <w:r w:rsidRPr="00332C60">
        <w:rPr>
          <w:rFonts w:eastAsia="SimSun" w:cs="Segoe UI"/>
          <w:lang w:val="fr-FR"/>
        </w:rPr>
        <w:t>échange libre des données reste un problème dans certaines régions.</w:t>
      </w:r>
    </w:p>
    <w:p w14:paraId="3CAD94ED" w14:textId="51A63556" w:rsidR="00945ED7" w:rsidRPr="00332C60" w:rsidRDefault="00945ED7" w:rsidP="00333510">
      <w:pPr>
        <w:pStyle w:val="WMOBodyText"/>
        <w:rPr>
          <w:rFonts w:eastAsia="SimSun" w:cs="Segoe UI"/>
          <w:lang w:val="fr-FR"/>
        </w:rPr>
      </w:pPr>
      <w:r w:rsidRPr="00332C60">
        <w:rPr>
          <w:rFonts w:eastAsia="SimSun" w:cs="Segoe UI"/>
          <w:lang w:val="fr-FR"/>
        </w:rPr>
        <w:t xml:space="preserve">Du côté des satellites, le Jet Propulsion </w:t>
      </w:r>
      <w:proofErr w:type="spellStart"/>
      <w:r w:rsidRPr="00332C60">
        <w:rPr>
          <w:rFonts w:eastAsia="SimSun" w:cs="Segoe UI"/>
          <w:lang w:val="fr-FR"/>
        </w:rPr>
        <w:t>Lab</w:t>
      </w:r>
      <w:proofErr w:type="spellEnd"/>
      <w:r w:rsidRPr="00332C60">
        <w:rPr>
          <w:rFonts w:eastAsia="SimSun" w:cs="Segoe UI"/>
          <w:lang w:val="fr-FR"/>
        </w:rPr>
        <w:t xml:space="preserve"> de la NASA a ouvert la voie à la mesure du premier CO2 et, plus tard, du </w:t>
      </w:r>
      <w:proofErr w:type="spellStart"/>
      <w:r w:rsidRPr="00332C60">
        <w:rPr>
          <w:rFonts w:eastAsia="SimSun" w:cs="Segoe UI"/>
          <w:lang w:val="fr-FR"/>
        </w:rPr>
        <w:t>CH4</w:t>
      </w:r>
      <w:proofErr w:type="spellEnd"/>
      <w:r w:rsidRPr="00332C60">
        <w:rPr>
          <w:rFonts w:eastAsia="SimSun" w:cs="Segoe UI"/>
          <w:lang w:val="fr-FR"/>
        </w:rPr>
        <w:t xml:space="preserve"> depuis l</w:t>
      </w:r>
      <w:r w:rsidR="003D6D77">
        <w:rPr>
          <w:rFonts w:eastAsia="SimSun" w:cs="Segoe UI"/>
          <w:lang w:val="fr-FR"/>
        </w:rPr>
        <w:t>’</w:t>
      </w:r>
      <w:r w:rsidRPr="00332C60">
        <w:rPr>
          <w:rFonts w:eastAsia="SimSun" w:cs="Segoe UI"/>
          <w:lang w:val="fr-FR"/>
        </w:rPr>
        <w:t>espace. À commencer par le satellite d</w:t>
      </w:r>
      <w:r w:rsidR="003D6D77">
        <w:rPr>
          <w:rFonts w:eastAsia="SimSun" w:cs="Segoe UI"/>
          <w:lang w:val="fr-FR"/>
        </w:rPr>
        <w:t>’</w:t>
      </w:r>
      <w:r w:rsidRPr="00332C60">
        <w:rPr>
          <w:rFonts w:eastAsia="SimSun" w:cs="Segoe UI"/>
          <w:lang w:val="fr-FR"/>
        </w:rPr>
        <w:t>observation des gaz à effet de serre (</w:t>
      </w:r>
      <w:proofErr w:type="spellStart"/>
      <w:r w:rsidRPr="00332C60">
        <w:rPr>
          <w:rFonts w:eastAsia="SimSun" w:cs="Segoe UI"/>
          <w:lang w:val="fr-FR"/>
        </w:rPr>
        <w:t>GOSAT</w:t>
      </w:r>
      <w:proofErr w:type="spellEnd"/>
      <w:r w:rsidRPr="00332C60">
        <w:rPr>
          <w:rFonts w:eastAsia="SimSun" w:cs="Segoe UI"/>
          <w:lang w:val="fr-FR"/>
        </w:rPr>
        <w:t xml:space="preserve">) en 2009, par le biais du </w:t>
      </w:r>
      <w:proofErr w:type="spellStart"/>
      <w:r w:rsidRPr="00332C60">
        <w:rPr>
          <w:rFonts w:eastAsia="SimSun" w:cs="Segoe UI"/>
          <w:lang w:val="fr-FR"/>
        </w:rPr>
        <w:t>GOSAT</w:t>
      </w:r>
      <w:proofErr w:type="spellEnd"/>
      <w:r w:rsidRPr="00332C60">
        <w:rPr>
          <w:rFonts w:eastAsia="SimSun" w:cs="Segoe UI"/>
          <w:lang w:val="fr-FR"/>
        </w:rPr>
        <w:t xml:space="preserve">-2, qui sera suivi par </w:t>
      </w:r>
      <w:proofErr w:type="spellStart"/>
      <w:r w:rsidRPr="00332C60">
        <w:rPr>
          <w:rFonts w:eastAsia="SimSun" w:cs="Segoe UI"/>
          <w:lang w:val="fr-FR"/>
        </w:rPr>
        <w:t>GOSAT</w:t>
      </w:r>
      <w:proofErr w:type="spellEnd"/>
      <w:r w:rsidRPr="00332C60">
        <w:rPr>
          <w:rFonts w:eastAsia="SimSun" w:cs="Segoe UI"/>
          <w:lang w:val="fr-FR"/>
        </w:rPr>
        <w:t>-GW, le Japon a continué de développer et d</w:t>
      </w:r>
      <w:r w:rsidR="003D6D77">
        <w:rPr>
          <w:rFonts w:eastAsia="SimSun" w:cs="Segoe UI"/>
          <w:lang w:val="fr-FR"/>
        </w:rPr>
        <w:t>’</w:t>
      </w:r>
      <w:r w:rsidRPr="00332C60">
        <w:rPr>
          <w:rFonts w:eastAsia="SimSun" w:cs="Segoe UI"/>
          <w:lang w:val="fr-FR"/>
        </w:rPr>
        <w:t xml:space="preserve">affiner ses capacités spatiales de surveillance du CO2 et du </w:t>
      </w:r>
      <w:proofErr w:type="spellStart"/>
      <w:r w:rsidRPr="00332C60">
        <w:rPr>
          <w:rFonts w:eastAsia="SimSun" w:cs="Segoe UI"/>
          <w:lang w:val="fr-FR"/>
        </w:rPr>
        <w:t>CH4</w:t>
      </w:r>
      <w:proofErr w:type="spellEnd"/>
      <w:r w:rsidRPr="00332C60">
        <w:rPr>
          <w:rFonts w:eastAsia="SimSun" w:cs="Segoe UI"/>
          <w:lang w:val="fr-FR"/>
        </w:rPr>
        <w:t xml:space="preserve">. La Chine dispose de capacités de surveillance du CO2 et du </w:t>
      </w:r>
      <w:proofErr w:type="spellStart"/>
      <w:r w:rsidRPr="00332C60">
        <w:rPr>
          <w:rFonts w:eastAsia="SimSun" w:cs="Segoe UI"/>
          <w:lang w:val="fr-FR"/>
        </w:rPr>
        <w:t>CH4</w:t>
      </w:r>
      <w:proofErr w:type="spellEnd"/>
      <w:r w:rsidRPr="00332C60">
        <w:rPr>
          <w:rFonts w:eastAsia="SimSun" w:cs="Segoe UI"/>
          <w:lang w:val="fr-FR"/>
        </w:rPr>
        <w:t xml:space="preserve"> sur son orbite polaire FY-3D, sur sa mission dédiée </w:t>
      </w:r>
      <w:proofErr w:type="spellStart"/>
      <w:r w:rsidRPr="00332C60">
        <w:rPr>
          <w:rFonts w:eastAsia="SimSun" w:cs="Segoe UI"/>
          <w:lang w:val="fr-FR"/>
        </w:rPr>
        <w:t>TanSat</w:t>
      </w:r>
      <w:proofErr w:type="spellEnd"/>
      <w:r w:rsidRPr="00332C60">
        <w:rPr>
          <w:rFonts w:eastAsia="SimSun" w:cs="Segoe UI"/>
          <w:lang w:val="fr-FR"/>
        </w:rPr>
        <w:t xml:space="preserve"> et sur </w:t>
      </w:r>
      <w:proofErr w:type="spellStart"/>
      <w:r w:rsidRPr="00332C60">
        <w:rPr>
          <w:rFonts w:eastAsia="SimSun" w:cs="Segoe UI"/>
          <w:lang w:val="fr-FR"/>
        </w:rPr>
        <w:t>GaoFen</w:t>
      </w:r>
      <w:proofErr w:type="spellEnd"/>
      <w:r w:rsidRPr="00332C60">
        <w:rPr>
          <w:rFonts w:eastAsia="SimSun" w:cs="Segoe UI"/>
          <w:lang w:val="fr-FR"/>
        </w:rPr>
        <w:t>-5, avec d</w:t>
      </w:r>
      <w:r w:rsidR="003D6D77">
        <w:rPr>
          <w:rFonts w:eastAsia="SimSun" w:cs="Segoe UI"/>
          <w:lang w:val="fr-FR"/>
        </w:rPr>
        <w:t>’</w:t>
      </w:r>
      <w:r w:rsidRPr="00332C60">
        <w:rPr>
          <w:rFonts w:eastAsia="SimSun" w:cs="Segoe UI"/>
          <w:lang w:val="fr-FR"/>
        </w:rPr>
        <w:t>autres capacités spatiales dans le pipeline. L</w:t>
      </w:r>
      <w:r w:rsidR="003D6D77">
        <w:rPr>
          <w:rFonts w:eastAsia="SimSun" w:cs="Segoe UI"/>
          <w:lang w:val="fr-FR"/>
        </w:rPr>
        <w:t>’</w:t>
      </w:r>
      <w:r w:rsidRPr="00332C60">
        <w:rPr>
          <w:rFonts w:eastAsia="SimSun" w:cs="Segoe UI"/>
          <w:lang w:val="fr-FR"/>
        </w:rPr>
        <w:t xml:space="preserve">observation pionnière du </w:t>
      </w:r>
      <w:proofErr w:type="spellStart"/>
      <w:r w:rsidRPr="00332C60">
        <w:rPr>
          <w:rFonts w:eastAsia="SimSun" w:cs="Segoe UI"/>
          <w:lang w:val="fr-FR"/>
        </w:rPr>
        <w:t>CH4</w:t>
      </w:r>
      <w:proofErr w:type="spellEnd"/>
      <w:r w:rsidRPr="00332C60">
        <w:rPr>
          <w:rFonts w:eastAsia="SimSun" w:cs="Segoe UI"/>
          <w:lang w:val="fr-FR"/>
        </w:rPr>
        <w:t xml:space="preserve"> à l</w:t>
      </w:r>
      <w:r w:rsidR="003D6D77">
        <w:rPr>
          <w:rFonts w:eastAsia="SimSun" w:cs="Segoe UI"/>
          <w:lang w:val="fr-FR"/>
        </w:rPr>
        <w:t>’</w:t>
      </w:r>
      <w:r w:rsidRPr="00332C60">
        <w:rPr>
          <w:rFonts w:eastAsia="SimSun" w:cs="Segoe UI"/>
          <w:lang w:val="fr-FR"/>
        </w:rPr>
        <w:t>aide d</w:t>
      </w:r>
      <w:r w:rsidR="003D6D77">
        <w:rPr>
          <w:rFonts w:eastAsia="SimSun" w:cs="Segoe UI"/>
          <w:lang w:val="fr-FR"/>
        </w:rPr>
        <w:t>’</w:t>
      </w:r>
      <w:r w:rsidRPr="00332C60">
        <w:rPr>
          <w:rFonts w:eastAsia="SimSun" w:cs="Segoe UI"/>
          <w:lang w:val="fr-FR"/>
        </w:rPr>
        <w:t xml:space="preserve">instruments </w:t>
      </w:r>
      <w:proofErr w:type="spellStart"/>
      <w:r w:rsidRPr="00332C60">
        <w:rPr>
          <w:rFonts w:eastAsia="SimSun" w:cs="Segoe UI"/>
          <w:lang w:val="fr-FR"/>
        </w:rPr>
        <w:t>SCIAMACHY</w:t>
      </w:r>
      <w:proofErr w:type="spellEnd"/>
      <w:r w:rsidRPr="00332C60">
        <w:rPr>
          <w:rFonts w:eastAsia="SimSun" w:cs="Segoe UI"/>
          <w:lang w:val="fr-FR"/>
        </w:rPr>
        <w:t xml:space="preserve"> exploite actuellement Sentinel-5/</w:t>
      </w:r>
      <w:proofErr w:type="spellStart"/>
      <w:r w:rsidRPr="00332C60">
        <w:rPr>
          <w:rFonts w:eastAsia="SimSun" w:cs="Segoe UI"/>
          <w:lang w:val="fr-FR"/>
        </w:rPr>
        <w:t>Tropomi</w:t>
      </w:r>
      <w:proofErr w:type="spellEnd"/>
      <w:r w:rsidRPr="00332C60">
        <w:rPr>
          <w:rFonts w:eastAsia="SimSun" w:cs="Segoe UI"/>
          <w:lang w:val="fr-FR"/>
        </w:rPr>
        <w:t xml:space="preserve"> et compte un ensemble de missions de CO2 prévues, à commencer par </w:t>
      </w:r>
      <w:proofErr w:type="spellStart"/>
      <w:r w:rsidRPr="00332C60">
        <w:rPr>
          <w:rFonts w:eastAsia="SimSun" w:cs="Segoe UI"/>
          <w:lang w:val="fr-FR"/>
        </w:rPr>
        <w:t>Microcarb</w:t>
      </w:r>
      <w:proofErr w:type="spellEnd"/>
      <w:r w:rsidRPr="00332C60">
        <w:rPr>
          <w:rFonts w:eastAsia="SimSun" w:cs="Segoe UI"/>
          <w:lang w:val="fr-FR"/>
        </w:rPr>
        <w:t xml:space="preserve"> et suivie de la mission </w:t>
      </w:r>
      <w:proofErr w:type="spellStart"/>
      <w:r w:rsidRPr="00332C60">
        <w:rPr>
          <w:rFonts w:eastAsia="SimSun" w:cs="Segoe UI"/>
          <w:lang w:val="fr-FR"/>
        </w:rPr>
        <w:t>Copernicus</w:t>
      </w:r>
      <w:proofErr w:type="spellEnd"/>
      <w:r w:rsidRPr="00332C60">
        <w:rPr>
          <w:rFonts w:eastAsia="SimSun" w:cs="Segoe UI"/>
          <w:lang w:val="fr-FR"/>
        </w:rPr>
        <w:t xml:space="preserve"> </w:t>
      </w:r>
      <w:proofErr w:type="spellStart"/>
      <w:r w:rsidRPr="00332C60">
        <w:rPr>
          <w:rFonts w:eastAsia="SimSun" w:cs="Segoe UI"/>
          <w:lang w:val="fr-FR"/>
        </w:rPr>
        <w:t>CO2M</w:t>
      </w:r>
      <w:proofErr w:type="spellEnd"/>
      <w:r w:rsidRPr="00332C60">
        <w:rPr>
          <w:rFonts w:eastAsia="SimSun" w:cs="Segoe UI"/>
          <w:lang w:val="fr-FR"/>
        </w:rPr>
        <w:t xml:space="preserve"> (</w:t>
      </w:r>
      <w:proofErr w:type="spellStart"/>
      <w:r w:rsidRPr="00332C60">
        <w:rPr>
          <w:rFonts w:eastAsia="SimSun" w:cs="Segoe UI"/>
          <w:lang w:val="fr-FR"/>
        </w:rPr>
        <w:t>CO2M</w:t>
      </w:r>
      <w:proofErr w:type="spellEnd"/>
      <w:r w:rsidRPr="00332C60">
        <w:rPr>
          <w:rFonts w:eastAsia="SimSun" w:cs="Segoe UI"/>
          <w:lang w:val="fr-FR"/>
        </w:rPr>
        <w:t>) de l</w:t>
      </w:r>
      <w:r w:rsidR="003D6D77">
        <w:rPr>
          <w:rFonts w:eastAsia="SimSun" w:cs="Segoe UI"/>
          <w:lang w:val="fr-FR"/>
        </w:rPr>
        <w:t>’</w:t>
      </w:r>
      <w:r w:rsidRPr="00332C60">
        <w:rPr>
          <w:rFonts w:eastAsia="SimSun" w:cs="Segoe UI"/>
          <w:lang w:val="fr-FR"/>
        </w:rPr>
        <w:t>UNION européenne pour son lancement en 2026. La coordination internationale de ces activités s</w:t>
      </w:r>
      <w:r w:rsidR="003D6D77">
        <w:rPr>
          <w:rFonts w:eastAsia="SimSun" w:cs="Segoe UI"/>
          <w:lang w:val="fr-FR"/>
        </w:rPr>
        <w:t>’</w:t>
      </w:r>
      <w:r w:rsidRPr="00332C60">
        <w:rPr>
          <w:rFonts w:eastAsia="SimSun" w:cs="Segoe UI"/>
          <w:lang w:val="fr-FR"/>
        </w:rPr>
        <w:t>effectue principalement par l</w:t>
      </w:r>
      <w:r w:rsidR="003D6D77">
        <w:rPr>
          <w:rFonts w:eastAsia="SimSun" w:cs="Segoe UI"/>
          <w:lang w:val="fr-FR"/>
        </w:rPr>
        <w:t>’</w:t>
      </w:r>
      <w:r w:rsidRPr="00332C60">
        <w:rPr>
          <w:rFonts w:eastAsia="SimSun" w:cs="Segoe UI"/>
          <w:lang w:val="fr-FR"/>
        </w:rPr>
        <w:t>intermédiaire du Comité sur les satellites d</w:t>
      </w:r>
      <w:r w:rsidR="003D6D77">
        <w:rPr>
          <w:rFonts w:eastAsia="SimSun" w:cs="Segoe UI"/>
          <w:lang w:val="fr-FR"/>
        </w:rPr>
        <w:t>’</w:t>
      </w:r>
      <w:r w:rsidRPr="00332C60">
        <w:rPr>
          <w:rFonts w:eastAsia="SimSun" w:cs="Segoe UI"/>
          <w:lang w:val="fr-FR"/>
        </w:rPr>
        <w:t xml:space="preserve">observation de la Terre (constellations virtuelles, du Groupe de travail sur cal/Val du </w:t>
      </w:r>
      <w:proofErr w:type="spellStart"/>
      <w:r w:rsidRPr="00332C60">
        <w:rPr>
          <w:rFonts w:eastAsia="SimSun" w:cs="Segoe UI"/>
          <w:lang w:val="fr-FR"/>
        </w:rPr>
        <w:t>CSO</w:t>
      </w:r>
      <w:proofErr w:type="spellEnd"/>
      <w:r w:rsidRPr="00332C60">
        <w:rPr>
          <w:rFonts w:eastAsia="SimSun" w:cs="Segoe UI"/>
          <w:lang w:val="fr-FR"/>
        </w:rPr>
        <w:t xml:space="preserve">) et, dans une certaine mesure, par le biais du </w:t>
      </w:r>
      <w:proofErr w:type="spellStart"/>
      <w:r w:rsidRPr="00332C60">
        <w:rPr>
          <w:rFonts w:eastAsia="SimSun" w:cs="Segoe UI"/>
          <w:lang w:val="fr-FR"/>
        </w:rPr>
        <w:t>CGMS</w:t>
      </w:r>
      <w:proofErr w:type="spellEnd"/>
      <w:r w:rsidRPr="00332C60">
        <w:rPr>
          <w:rFonts w:eastAsia="SimSun" w:cs="Segoe UI"/>
          <w:lang w:val="fr-FR"/>
        </w:rPr>
        <w:t xml:space="preserve">. </w:t>
      </w:r>
    </w:p>
    <w:p w14:paraId="6A372DA0" w14:textId="1399D584" w:rsidR="00945ED7" w:rsidRPr="00332C60" w:rsidRDefault="00945ED7" w:rsidP="00333510">
      <w:pPr>
        <w:pStyle w:val="WMOBodyText"/>
        <w:rPr>
          <w:rFonts w:eastAsia="SimSun" w:cs="Segoe UI"/>
          <w:lang w:val="fr-FR"/>
        </w:rPr>
      </w:pPr>
      <w:r w:rsidRPr="00332C60">
        <w:rPr>
          <w:rFonts w:eastAsia="SimSun" w:cs="Segoe UI"/>
          <w:lang w:val="fr-FR"/>
        </w:rPr>
        <w:t>Du côté de la modélisation et de l</w:t>
      </w:r>
      <w:r w:rsidR="003D6D77">
        <w:rPr>
          <w:rFonts w:eastAsia="SimSun" w:cs="Segoe UI"/>
          <w:lang w:val="fr-FR"/>
        </w:rPr>
        <w:t>’</w:t>
      </w:r>
      <w:r w:rsidRPr="00332C60">
        <w:rPr>
          <w:rFonts w:eastAsia="SimSun" w:cs="Segoe UI"/>
          <w:lang w:val="fr-FR"/>
        </w:rPr>
        <w:t>assimilation, l</w:t>
      </w:r>
      <w:r w:rsidR="003D6D77">
        <w:rPr>
          <w:rFonts w:eastAsia="SimSun" w:cs="Segoe UI"/>
          <w:lang w:val="fr-FR"/>
        </w:rPr>
        <w:t>’</w:t>
      </w:r>
      <w:r w:rsidRPr="00332C60">
        <w:rPr>
          <w:rFonts w:eastAsia="SimSun" w:cs="Segoe UI"/>
          <w:lang w:val="fr-FR"/>
        </w:rPr>
        <w:t xml:space="preserve">un des efforts les plus avancés fait partie du programme </w:t>
      </w:r>
      <w:proofErr w:type="spellStart"/>
      <w:r w:rsidRPr="00332C60">
        <w:rPr>
          <w:rFonts w:eastAsia="SimSun" w:cs="Segoe UI"/>
          <w:lang w:val="fr-FR"/>
        </w:rPr>
        <w:t>Copernicus</w:t>
      </w:r>
      <w:proofErr w:type="spellEnd"/>
      <w:r w:rsidRPr="00332C60">
        <w:rPr>
          <w:rFonts w:eastAsia="SimSun" w:cs="Segoe UI"/>
          <w:lang w:val="fr-FR"/>
        </w:rPr>
        <w:t xml:space="preserve"> de la Commission européenne. Le Service </w:t>
      </w:r>
      <w:proofErr w:type="spellStart"/>
      <w:r w:rsidRPr="00332C60">
        <w:rPr>
          <w:rFonts w:eastAsia="SimSun" w:cs="Segoe UI"/>
          <w:lang w:val="fr-FR"/>
        </w:rPr>
        <w:t>Copernicus</w:t>
      </w:r>
      <w:proofErr w:type="spellEnd"/>
      <w:r w:rsidRPr="00332C60">
        <w:rPr>
          <w:rFonts w:eastAsia="SimSun" w:cs="Segoe UI"/>
          <w:lang w:val="fr-FR"/>
        </w:rPr>
        <w:t xml:space="preserve"> de surveillance de l</w:t>
      </w:r>
      <w:r w:rsidR="003D6D77">
        <w:rPr>
          <w:rFonts w:eastAsia="SimSun" w:cs="Segoe UI"/>
          <w:lang w:val="fr-FR"/>
        </w:rPr>
        <w:t>’</w:t>
      </w:r>
      <w:r w:rsidRPr="00332C60">
        <w:rPr>
          <w:rFonts w:eastAsia="SimSun" w:cs="Segoe UI"/>
          <w:lang w:val="fr-FR"/>
        </w:rPr>
        <w:t xml:space="preserve">atmosphère (CAMS) partage un grand nombre des objectifs énumérés dans la section précédente concernant le suivi quantitatif du CO2 et du </w:t>
      </w:r>
      <w:proofErr w:type="spellStart"/>
      <w:r w:rsidRPr="00332C60">
        <w:rPr>
          <w:rFonts w:eastAsia="SimSun" w:cs="Segoe UI"/>
          <w:lang w:val="fr-FR"/>
        </w:rPr>
        <w:t>CH4</w:t>
      </w:r>
      <w:proofErr w:type="spellEnd"/>
      <w:r w:rsidRPr="00332C60">
        <w:rPr>
          <w:rFonts w:eastAsia="SimSun" w:cs="Segoe UI"/>
          <w:lang w:val="fr-FR"/>
        </w:rPr>
        <w:t>. Il est prévu d</w:t>
      </w:r>
      <w:r w:rsidR="003D6D77">
        <w:rPr>
          <w:rFonts w:eastAsia="SimSun" w:cs="Segoe UI"/>
          <w:lang w:val="fr-FR"/>
        </w:rPr>
        <w:t>’</w:t>
      </w:r>
      <w:r w:rsidRPr="00332C60">
        <w:rPr>
          <w:rFonts w:eastAsia="SimSun" w:cs="Segoe UI"/>
          <w:lang w:val="fr-FR"/>
        </w:rPr>
        <w:t>élargir encore le système et d</w:t>
      </w:r>
      <w:r w:rsidR="003D6D77">
        <w:rPr>
          <w:rFonts w:eastAsia="SimSun" w:cs="Segoe UI"/>
          <w:lang w:val="fr-FR"/>
        </w:rPr>
        <w:t>’</w:t>
      </w:r>
      <w:r w:rsidRPr="00332C60">
        <w:rPr>
          <w:rFonts w:eastAsia="SimSun" w:cs="Segoe UI"/>
          <w:lang w:val="fr-FR"/>
        </w:rPr>
        <w:t xml:space="preserve">élaborer une nouvelle capacité mondiale de surveillance et de vérification des émissions anthropiques de CO2 et de </w:t>
      </w:r>
      <w:proofErr w:type="spellStart"/>
      <w:r w:rsidRPr="00332C60">
        <w:rPr>
          <w:rFonts w:eastAsia="SimSun" w:cs="Segoe UI"/>
          <w:lang w:val="fr-FR"/>
        </w:rPr>
        <w:t>CH4</w:t>
      </w:r>
      <w:proofErr w:type="spellEnd"/>
      <w:r w:rsidRPr="00332C60">
        <w:rPr>
          <w:rFonts w:eastAsia="SimSun" w:cs="Segoe UI"/>
          <w:lang w:val="fr-FR"/>
        </w:rPr>
        <w:t>, en utilisant la complémentarité des observations et des modèles informatiques. Des efforts similaires ont été déployés pour modéliser et assimiler les observations du CO2 aux États-Unis d</w:t>
      </w:r>
      <w:r w:rsidR="003D6D77">
        <w:rPr>
          <w:rFonts w:eastAsia="SimSun" w:cs="Segoe UI"/>
          <w:lang w:val="fr-FR"/>
        </w:rPr>
        <w:t>’</w:t>
      </w:r>
      <w:r w:rsidRPr="00332C60">
        <w:rPr>
          <w:rFonts w:eastAsia="SimSun" w:cs="Segoe UI"/>
          <w:lang w:val="fr-FR"/>
        </w:rPr>
        <w:t>Amérique, tant l</w:t>
      </w:r>
      <w:r w:rsidR="003D6D77">
        <w:rPr>
          <w:rFonts w:eastAsia="SimSun" w:cs="Segoe UI"/>
          <w:lang w:val="fr-FR"/>
        </w:rPr>
        <w:t>’</w:t>
      </w:r>
      <w:r w:rsidRPr="00332C60">
        <w:rPr>
          <w:rFonts w:eastAsia="SimSun" w:cs="Segoe UI"/>
          <w:lang w:val="fr-FR"/>
        </w:rPr>
        <w:t>Administration américaine pour l</w:t>
      </w:r>
      <w:r w:rsidR="003D6D77">
        <w:rPr>
          <w:rFonts w:eastAsia="SimSun" w:cs="Segoe UI"/>
          <w:lang w:val="fr-FR"/>
        </w:rPr>
        <w:t>’</w:t>
      </w:r>
      <w:r w:rsidRPr="00332C60">
        <w:rPr>
          <w:rFonts w:eastAsia="SimSun" w:cs="Segoe UI"/>
          <w:lang w:val="fr-FR"/>
        </w:rPr>
        <w:t>aéronautique et l</w:t>
      </w:r>
      <w:r w:rsidR="003D6D77">
        <w:rPr>
          <w:rFonts w:eastAsia="SimSun" w:cs="Segoe UI"/>
          <w:lang w:val="fr-FR"/>
        </w:rPr>
        <w:t>’</w:t>
      </w:r>
      <w:r w:rsidRPr="00332C60">
        <w:rPr>
          <w:rFonts w:eastAsia="SimSun" w:cs="Segoe UI"/>
          <w:lang w:val="fr-FR"/>
        </w:rPr>
        <w:t xml:space="preserve">espace (NASA) que la </w:t>
      </w:r>
      <w:proofErr w:type="spellStart"/>
      <w:r w:rsidRPr="00332C60">
        <w:rPr>
          <w:rFonts w:eastAsia="SimSun" w:cs="Segoe UI"/>
          <w:lang w:val="fr-FR"/>
        </w:rPr>
        <w:t>NOAA</w:t>
      </w:r>
      <w:proofErr w:type="spellEnd"/>
      <w:r w:rsidRPr="00332C60">
        <w:rPr>
          <w:rFonts w:eastAsia="SimSun" w:cs="Segoe UI"/>
          <w:lang w:val="fr-FR"/>
        </w:rPr>
        <w:t xml:space="preserve"> ayant des capacités dans ce domaine, notamment avec le </w:t>
      </w:r>
      <w:proofErr w:type="spellStart"/>
      <w:r w:rsidRPr="00332C60">
        <w:rPr>
          <w:rFonts w:eastAsia="SimSun" w:cs="Segoe UI"/>
          <w:lang w:val="fr-FR"/>
        </w:rPr>
        <w:t>CarbonTracker</w:t>
      </w:r>
      <w:proofErr w:type="spellEnd"/>
      <w:r w:rsidRPr="00332C60">
        <w:rPr>
          <w:rFonts w:eastAsia="SimSun" w:cs="Segoe UI"/>
          <w:lang w:val="fr-FR"/>
        </w:rPr>
        <w:t>, tandis que le Japon a progressé ses efforts, notamment les observations, les observations, les navires et les mesures d</w:t>
      </w:r>
      <w:r w:rsidR="003D6D77">
        <w:rPr>
          <w:rFonts w:eastAsia="SimSun" w:cs="Segoe UI"/>
          <w:lang w:val="fr-FR"/>
        </w:rPr>
        <w:t>’</w:t>
      </w:r>
      <w:r w:rsidRPr="00332C60">
        <w:rPr>
          <w:rFonts w:eastAsia="SimSun" w:cs="Segoe UI"/>
          <w:lang w:val="fr-FR"/>
        </w:rPr>
        <w:t>aéronefs, et la Chine prévoit également de développer ses propres capacités au cours des années à venir. Les efforts de modélisation s</w:t>
      </w:r>
      <w:r w:rsidR="003D6D77">
        <w:rPr>
          <w:rFonts w:eastAsia="SimSun" w:cs="Segoe UI"/>
          <w:lang w:val="fr-FR"/>
        </w:rPr>
        <w:t>’</w:t>
      </w:r>
      <w:r w:rsidRPr="00332C60">
        <w:rPr>
          <w:rFonts w:eastAsia="SimSun" w:cs="Segoe UI"/>
          <w:lang w:val="fr-FR"/>
        </w:rPr>
        <w:t xml:space="preserve">appuient sur une longue expérience et sur des travaux pionniers de la communauté </w:t>
      </w:r>
      <w:proofErr w:type="spellStart"/>
      <w:r w:rsidRPr="00332C60">
        <w:rPr>
          <w:rFonts w:eastAsia="SimSun" w:cs="Segoe UI"/>
          <w:lang w:val="fr-FR"/>
        </w:rPr>
        <w:t>TRANSCOM</w:t>
      </w:r>
      <w:proofErr w:type="spellEnd"/>
      <w:r w:rsidRPr="00332C60">
        <w:rPr>
          <w:rFonts w:eastAsia="SimSun" w:cs="Segoe UI"/>
          <w:lang w:val="fr-FR"/>
        </w:rPr>
        <w:t>, dont de nombreux contributeurs participent toujours aux initiatives de modélisation mentionnées.</w:t>
      </w:r>
    </w:p>
    <w:p w14:paraId="61DE31AF" w14:textId="4EDF8D5F" w:rsidR="00945ED7" w:rsidRPr="00332C60" w:rsidRDefault="00945ED7" w:rsidP="00333510">
      <w:pPr>
        <w:pStyle w:val="WMOBodyText"/>
        <w:rPr>
          <w:rFonts w:eastAsia="SimSun" w:cs="Segoe UI"/>
          <w:lang w:val="fr-FR"/>
        </w:rPr>
      </w:pPr>
      <w:r w:rsidRPr="00332C60">
        <w:rPr>
          <w:rFonts w:eastAsia="SimSun" w:cs="Segoe UI"/>
          <w:lang w:val="fr-FR"/>
        </w:rPr>
        <w:t>Outre les efforts recensés ici, plusieurs autres initiatives liées aux GAZ À effet de serre sont en cours d</w:t>
      </w:r>
      <w:r w:rsidR="003D6D77">
        <w:rPr>
          <w:rFonts w:eastAsia="SimSun" w:cs="Segoe UI"/>
          <w:lang w:val="fr-FR"/>
        </w:rPr>
        <w:t>’</w:t>
      </w:r>
      <w:r w:rsidRPr="00332C60">
        <w:rPr>
          <w:rFonts w:eastAsia="SimSun" w:cs="Segoe UI"/>
          <w:lang w:val="fr-FR"/>
        </w:rPr>
        <w:t>élaboration, ce qui témoigne d</w:t>
      </w:r>
      <w:r w:rsidR="003D6D77">
        <w:rPr>
          <w:rFonts w:eastAsia="SimSun" w:cs="Segoe UI"/>
          <w:lang w:val="fr-FR"/>
        </w:rPr>
        <w:t>’</w:t>
      </w:r>
      <w:r w:rsidRPr="00332C60">
        <w:rPr>
          <w:rFonts w:eastAsia="SimSun" w:cs="Segoe UI"/>
          <w:lang w:val="fr-FR"/>
        </w:rPr>
        <w:t>une large reconnaissance de la nécessité d</w:t>
      </w:r>
      <w:r w:rsidR="003D6D77">
        <w:rPr>
          <w:rFonts w:eastAsia="SimSun" w:cs="Segoe UI"/>
          <w:lang w:val="fr-FR"/>
        </w:rPr>
        <w:t>’</w:t>
      </w:r>
      <w:r w:rsidRPr="00332C60">
        <w:rPr>
          <w:rFonts w:eastAsia="SimSun" w:cs="Segoe UI"/>
          <w:lang w:val="fr-FR"/>
        </w:rPr>
        <w:t>améliorer l</w:t>
      </w:r>
      <w:r w:rsidR="003D6D77">
        <w:rPr>
          <w:rFonts w:eastAsia="SimSun" w:cs="Segoe UI"/>
          <w:lang w:val="fr-FR"/>
        </w:rPr>
        <w:t>’</w:t>
      </w:r>
      <w:r w:rsidRPr="00332C60">
        <w:rPr>
          <w:rFonts w:eastAsia="SimSun" w:cs="Segoe UI"/>
          <w:lang w:val="fr-FR"/>
        </w:rPr>
        <w:t>information sur les GAZ À EFFET DE SERRE. Compte tenu des vastes implications politiques et économiques de la surveillance des GAZ À EFFET DE SERRE, d</w:t>
      </w:r>
      <w:r w:rsidR="003D6D77">
        <w:rPr>
          <w:rFonts w:eastAsia="SimSun" w:cs="Segoe UI"/>
          <w:lang w:val="fr-FR"/>
        </w:rPr>
        <w:t>’</w:t>
      </w:r>
      <w:r w:rsidRPr="00332C60">
        <w:rPr>
          <w:rFonts w:eastAsia="SimSun" w:cs="Segoe UI"/>
          <w:lang w:val="fr-FR"/>
        </w:rPr>
        <w:t>autres efforts seront probablement déployés au cours des années à venir. Pour maintenir une base d</w:t>
      </w:r>
      <w:r w:rsidR="003D6D77">
        <w:rPr>
          <w:rFonts w:eastAsia="SimSun" w:cs="Segoe UI"/>
          <w:lang w:val="fr-FR"/>
        </w:rPr>
        <w:t>’</w:t>
      </w:r>
      <w:r w:rsidRPr="00332C60">
        <w:rPr>
          <w:rFonts w:eastAsia="SimSun" w:cs="Segoe UI"/>
          <w:lang w:val="fr-FR"/>
        </w:rPr>
        <w:t>information crédible sur les mesures d</w:t>
      </w:r>
      <w:r w:rsidR="003D6D77">
        <w:rPr>
          <w:rFonts w:eastAsia="SimSun" w:cs="Segoe UI"/>
          <w:lang w:val="fr-FR"/>
        </w:rPr>
        <w:t>’</w:t>
      </w:r>
      <w:r w:rsidRPr="00332C60">
        <w:rPr>
          <w:rFonts w:eastAsia="SimSun" w:cs="Segoe UI"/>
          <w:lang w:val="fr-FR"/>
        </w:rPr>
        <w:t xml:space="preserve">atténuation des effets du changement climatique, il est essentiel de renforcer la coordination de ces efforts en toute transparence auprès de toutes les Parties. </w:t>
      </w:r>
    </w:p>
    <w:p w14:paraId="2424E942" w14:textId="77777777" w:rsidR="00945ED7" w:rsidRPr="00945ED7" w:rsidRDefault="00945ED7" w:rsidP="007803F7">
      <w:pPr>
        <w:pStyle w:val="Heading3"/>
        <w:numPr>
          <w:ilvl w:val="0"/>
          <w:numId w:val="1"/>
        </w:numPr>
        <w:ind w:left="0" w:firstLine="0"/>
        <w:rPr>
          <w:b w:val="0"/>
          <w:bCs w:val="0"/>
        </w:rPr>
      </w:pPr>
      <w:r w:rsidRPr="00945ED7">
        <w:t xml:space="preserve">Applications </w:t>
      </w:r>
      <w:proofErr w:type="spellStart"/>
      <w:r w:rsidRPr="00945ED7">
        <w:t>potentielles</w:t>
      </w:r>
      <w:proofErr w:type="spellEnd"/>
      <w:r w:rsidRPr="00945ED7">
        <w:t xml:space="preserve"> </w:t>
      </w:r>
      <w:proofErr w:type="spellStart"/>
      <w:r w:rsidRPr="00945ED7">
        <w:t>en</w:t>
      </w:r>
      <w:proofErr w:type="spellEnd"/>
      <w:r w:rsidRPr="00945ED7">
        <w:t xml:space="preserve"> aval</w:t>
      </w:r>
    </w:p>
    <w:p w14:paraId="371544EC" w14:textId="07F7CB7E" w:rsidR="00945ED7" w:rsidRPr="00945ED7" w:rsidRDefault="00945ED7" w:rsidP="00E1236E">
      <w:pPr>
        <w:pStyle w:val="WMOBodyText"/>
        <w:spacing w:after="240"/>
        <w:rPr>
          <w:rFonts w:eastAsia="SimSun" w:cs="Times New Roman"/>
          <w:lang w:val="en-US"/>
        </w:rPr>
      </w:pPr>
      <w:r w:rsidRPr="00332C60">
        <w:rPr>
          <w:rFonts w:eastAsia="SimSun" w:cs="Times New Roman"/>
          <w:lang w:val="fr-FR"/>
        </w:rPr>
        <w:t>Les résultats de l</w:t>
      </w:r>
      <w:r w:rsidR="003D6D77">
        <w:rPr>
          <w:rFonts w:eastAsia="SimSun" w:cs="Times New Roman"/>
          <w:lang w:val="fr-FR"/>
        </w:rPr>
        <w:t>’</w:t>
      </w:r>
      <w:r w:rsidRPr="00332C60">
        <w:rPr>
          <w:rFonts w:eastAsia="SimSun" w:cs="Times New Roman"/>
          <w:lang w:val="fr-FR"/>
        </w:rPr>
        <w:t>infrastructure proposée pour la surveillance des gaz à effet de serre seront accessibles au public, les observations des gaz à effet de serre (en surface et depuis l</w:t>
      </w:r>
      <w:r w:rsidR="003D6D77">
        <w:rPr>
          <w:rFonts w:eastAsia="SimSun" w:cs="Times New Roman"/>
          <w:lang w:val="fr-FR"/>
        </w:rPr>
        <w:t>’</w:t>
      </w:r>
      <w:r w:rsidRPr="00332C60">
        <w:rPr>
          <w:rFonts w:eastAsia="SimSun" w:cs="Times New Roman"/>
          <w:lang w:val="fr-FR"/>
        </w:rPr>
        <w:t xml:space="preserve">espace), les champs mondiaux de concentration de GES modélisés à une résolution de 1 x 1° et les flux de surface modélisés avec une résolution de </w:t>
      </w:r>
      <w:proofErr w:type="spellStart"/>
      <w:r w:rsidRPr="00332C60">
        <w:rPr>
          <w:rFonts w:eastAsia="SimSun" w:cs="Times New Roman"/>
          <w:lang w:val="fr-FR"/>
        </w:rPr>
        <w:t>1x1</w:t>
      </w:r>
      <w:proofErr w:type="spellEnd"/>
      <w:r w:rsidRPr="00332C60">
        <w:rPr>
          <w:rFonts w:eastAsia="SimSun" w:cs="Times New Roman"/>
          <w:lang w:val="fr-FR"/>
        </w:rPr>
        <w:t>° à l</w:t>
      </w:r>
      <w:r w:rsidR="003D6D77">
        <w:rPr>
          <w:rFonts w:eastAsia="SimSun" w:cs="Times New Roman"/>
          <w:lang w:val="fr-FR"/>
        </w:rPr>
        <w:t>’</w:t>
      </w:r>
      <w:r w:rsidRPr="00332C60">
        <w:rPr>
          <w:rFonts w:eastAsia="SimSun" w:cs="Times New Roman"/>
          <w:lang w:val="fr-FR"/>
        </w:rPr>
        <w:t xml:space="preserve">échelle mondiale. </w:t>
      </w:r>
      <w:r w:rsidRPr="00945ED7">
        <w:rPr>
          <w:rFonts w:eastAsia="SimSun" w:cs="Times New Roman"/>
        </w:rPr>
        <w:t xml:space="preserve">La </w:t>
      </w:r>
      <w:proofErr w:type="spellStart"/>
      <w:r w:rsidRPr="00945ED7">
        <w:rPr>
          <w:rFonts w:eastAsia="SimSun" w:cs="Times New Roman"/>
        </w:rPr>
        <w:t>liste</w:t>
      </w:r>
      <w:proofErr w:type="spellEnd"/>
      <w:r w:rsidRPr="00945ED7">
        <w:rPr>
          <w:rFonts w:eastAsia="SimSun" w:cs="Times New Roman"/>
        </w:rPr>
        <w:t xml:space="preserve"> </w:t>
      </w:r>
      <w:proofErr w:type="spellStart"/>
      <w:r w:rsidRPr="00945ED7">
        <w:rPr>
          <w:rFonts w:eastAsia="SimSun" w:cs="Times New Roman"/>
        </w:rPr>
        <w:t>initiale</w:t>
      </w:r>
      <w:proofErr w:type="spellEnd"/>
      <w:r w:rsidRPr="00945ED7">
        <w:rPr>
          <w:rFonts w:eastAsia="SimSun" w:cs="Times New Roman"/>
        </w:rPr>
        <w:t xml:space="preserve"> de </w:t>
      </w:r>
      <w:proofErr w:type="spellStart"/>
      <w:r w:rsidRPr="00945ED7">
        <w:rPr>
          <w:rFonts w:eastAsia="SimSun" w:cs="Times New Roman"/>
        </w:rPr>
        <w:t>l</w:t>
      </w:r>
      <w:r w:rsidR="003D6D77">
        <w:rPr>
          <w:rFonts w:eastAsia="SimSun" w:cs="Times New Roman"/>
        </w:rPr>
        <w:t>’</w:t>
      </w:r>
      <w:r w:rsidRPr="00945ED7">
        <w:rPr>
          <w:rFonts w:eastAsia="SimSun" w:cs="Times New Roman"/>
        </w:rPr>
        <w:t>application</w:t>
      </w:r>
      <w:proofErr w:type="spellEnd"/>
      <w:r w:rsidRPr="00945ED7">
        <w:rPr>
          <w:rFonts w:eastAsia="SimSun" w:cs="Times New Roman"/>
        </w:rPr>
        <w:t xml:space="preserve"> </w:t>
      </w:r>
      <w:proofErr w:type="spellStart"/>
      <w:r w:rsidRPr="00945ED7">
        <w:rPr>
          <w:rFonts w:eastAsia="SimSun" w:cs="Times New Roman"/>
        </w:rPr>
        <w:t>potentielle</w:t>
      </w:r>
      <w:proofErr w:type="spellEnd"/>
      <w:r w:rsidRPr="00945ED7">
        <w:rPr>
          <w:rFonts w:eastAsia="SimSun" w:cs="Times New Roman"/>
        </w:rPr>
        <w:t xml:space="preserve"> </w:t>
      </w:r>
      <w:proofErr w:type="spellStart"/>
      <w:r w:rsidRPr="00945ED7">
        <w:rPr>
          <w:rFonts w:eastAsia="SimSun" w:cs="Times New Roman"/>
        </w:rPr>
        <w:t>comprend</w:t>
      </w:r>
      <w:proofErr w:type="spellEnd"/>
      <w:r w:rsidRPr="00945ED7">
        <w:rPr>
          <w:rFonts w:eastAsia="SimSun" w:cs="Times New Roman"/>
        </w:rPr>
        <w:t>:</w:t>
      </w:r>
    </w:p>
    <w:p w14:paraId="4601D133" w14:textId="78AA76B1" w:rsidR="00945ED7" w:rsidRPr="00332C60" w:rsidRDefault="00945ED7">
      <w:pPr>
        <w:numPr>
          <w:ilvl w:val="0"/>
          <w:numId w:val="4"/>
        </w:numPr>
        <w:tabs>
          <w:tab w:val="clear" w:pos="1134"/>
        </w:tabs>
        <w:suppressAutoHyphens/>
        <w:autoSpaceDN w:val="0"/>
        <w:spacing w:after="160" w:line="256" w:lineRule="auto"/>
        <w:jc w:val="left"/>
        <w:textAlignment w:val="baseline"/>
        <w:rPr>
          <w:rFonts w:eastAsia="SimSun" w:cs="Times New Roman"/>
          <w:lang w:val="fr-FR"/>
        </w:rPr>
      </w:pPr>
      <w:r w:rsidRPr="00332C60">
        <w:rPr>
          <w:rFonts w:eastAsia="SimSun" w:cs="Times New Roman"/>
          <w:lang w:val="fr-FR"/>
        </w:rPr>
        <w:t>Interprétation du produit mondial dans le contexte de l</w:t>
      </w:r>
      <w:r w:rsidR="003D6D77">
        <w:rPr>
          <w:rFonts w:eastAsia="SimSun" w:cs="Times New Roman"/>
          <w:lang w:val="fr-FR"/>
        </w:rPr>
        <w:t>’</w:t>
      </w:r>
      <w:r w:rsidRPr="00332C60">
        <w:rPr>
          <w:rFonts w:eastAsia="SimSun" w:cs="Times New Roman"/>
          <w:lang w:val="fr-FR"/>
        </w:rPr>
        <w:t>Accord de Paris assorti d</w:t>
      </w:r>
      <w:r w:rsidR="003D6D77">
        <w:rPr>
          <w:rFonts w:eastAsia="SimSun" w:cs="Times New Roman"/>
          <w:lang w:val="fr-FR"/>
        </w:rPr>
        <w:t>’</w:t>
      </w:r>
      <w:r w:rsidRPr="00332C60">
        <w:rPr>
          <w:rFonts w:eastAsia="SimSun" w:cs="Times New Roman"/>
          <w:lang w:val="fr-FR"/>
        </w:rPr>
        <w:t>un bilan mondial, y compris:</w:t>
      </w:r>
    </w:p>
    <w:p w14:paraId="4EC36599" w14:textId="744F3D79" w:rsidR="00945ED7" w:rsidRPr="00332C60" w:rsidRDefault="00945ED7">
      <w:pPr>
        <w:numPr>
          <w:ilvl w:val="1"/>
          <w:numId w:val="4"/>
        </w:numPr>
        <w:tabs>
          <w:tab w:val="clear" w:pos="1134"/>
        </w:tabs>
        <w:suppressAutoHyphens/>
        <w:autoSpaceDN w:val="0"/>
        <w:spacing w:after="160" w:line="256" w:lineRule="auto"/>
        <w:jc w:val="left"/>
        <w:textAlignment w:val="baseline"/>
        <w:rPr>
          <w:rFonts w:eastAsia="SimSun" w:cs="Times New Roman"/>
          <w:lang w:val="fr-FR"/>
        </w:rPr>
      </w:pPr>
      <w:r w:rsidRPr="00332C60">
        <w:rPr>
          <w:rFonts w:eastAsia="SimSun" w:cs="Times New Roman"/>
          <w:lang w:val="fr-FR"/>
        </w:rPr>
        <w:t>Agrégation mondiale et/ou régionale des sources et des puits d</w:t>
      </w:r>
      <w:r w:rsidR="003D6D77">
        <w:rPr>
          <w:rFonts w:eastAsia="SimSun" w:cs="Times New Roman"/>
          <w:lang w:val="fr-FR"/>
        </w:rPr>
        <w:t>’</w:t>
      </w:r>
      <w:r w:rsidRPr="00332C60">
        <w:rPr>
          <w:rFonts w:eastAsia="SimSun" w:cs="Times New Roman"/>
          <w:lang w:val="fr-FR"/>
        </w:rPr>
        <w:t>émission.</w:t>
      </w:r>
    </w:p>
    <w:p w14:paraId="391D70C7" w14:textId="77777777" w:rsidR="00945ED7" w:rsidRPr="00332C60" w:rsidRDefault="00945ED7">
      <w:pPr>
        <w:numPr>
          <w:ilvl w:val="1"/>
          <w:numId w:val="4"/>
        </w:numPr>
        <w:tabs>
          <w:tab w:val="clear" w:pos="1134"/>
        </w:tabs>
        <w:suppressAutoHyphens/>
        <w:autoSpaceDN w:val="0"/>
        <w:spacing w:after="160" w:line="256" w:lineRule="auto"/>
        <w:jc w:val="left"/>
        <w:textAlignment w:val="baseline"/>
        <w:rPr>
          <w:rFonts w:eastAsia="SimSun" w:cs="Times New Roman"/>
          <w:lang w:val="fr-FR"/>
        </w:rPr>
      </w:pPr>
      <w:r w:rsidRPr="00332C60">
        <w:rPr>
          <w:rFonts w:eastAsia="SimSun" w:cs="Times New Roman"/>
          <w:lang w:val="fr-FR"/>
        </w:rPr>
        <w:t>Méthodes de partitionnement des flux mondiaux en secteurs, gaz, régions.</w:t>
      </w:r>
    </w:p>
    <w:p w14:paraId="397C6619" w14:textId="77777777" w:rsidR="00945ED7" w:rsidRPr="00332C60" w:rsidRDefault="00945ED7">
      <w:pPr>
        <w:numPr>
          <w:ilvl w:val="1"/>
          <w:numId w:val="4"/>
        </w:numPr>
        <w:tabs>
          <w:tab w:val="clear" w:pos="1134"/>
        </w:tabs>
        <w:suppressAutoHyphens/>
        <w:autoSpaceDN w:val="0"/>
        <w:spacing w:after="160" w:line="256" w:lineRule="auto"/>
        <w:jc w:val="left"/>
        <w:textAlignment w:val="baseline"/>
        <w:rPr>
          <w:rFonts w:eastAsia="SimSun" w:cs="Times New Roman"/>
          <w:lang w:val="fr-FR"/>
        </w:rPr>
      </w:pPr>
      <w:r w:rsidRPr="00332C60">
        <w:rPr>
          <w:rFonts w:eastAsia="SimSun" w:cs="Times New Roman"/>
          <w:lang w:val="fr-FR"/>
        </w:rPr>
        <w:t>Incertitudes associées aux produits agrégés.</w:t>
      </w:r>
    </w:p>
    <w:p w14:paraId="7465A4D2" w14:textId="06B28822" w:rsidR="00945ED7" w:rsidRPr="00332C60" w:rsidRDefault="00945ED7">
      <w:pPr>
        <w:numPr>
          <w:ilvl w:val="0"/>
          <w:numId w:val="4"/>
        </w:numPr>
        <w:tabs>
          <w:tab w:val="clear" w:pos="1134"/>
        </w:tabs>
        <w:suppressAutoHyphens/>
        <w:autoSpaceDN w:val="0"/>
        <w:spacing w:after="160" w:line="256" w:lineRule="auto"/>
        <w:jc w:val="left"/>
        <w:textAlignment w:val="baseline"/>
        <w:rPr>
          <w:rFonts w:eastAsia="SimSun" w:cs="Times New Roman"/>
          <w:lang w:val="fr-FR"/>
        </w:rPr>
      </w:pPr>
      <w:r w:rsidRPr="00332C60">
        <w:rPr>
          <w:rFonts w:eastAsia="SimSun" w:cs="Times New Roman"/>
          <w:lang w:val="fr-FR"/>
        </w:rPr>
        <w:lastRenderedPageBreak/>
        <w:t>Agrégation d</w:t>
      </w:r>
      <w:r w:rsidR="003D6D77">
        <w:rPr>
          <w:rFonts w:eastAsia="SimSun" w:cs="Times New Roman"/>
          <w:lang w:val="fr-FR"/>
        </w:rPr>
        <w:t>’</w:t>
      </w:r>
      <w:r w:rsidRPr="00332C60">
        <w:rPr>
          <w:rFonts w:eastAsia="SimSun" w:cs="Times New Roman"/>
          <w:lang w:val="fr-FR"/>
        </w:rPr>
        <w:t>informations sur les flux de 1 x 1° à l</w:t>
      </w:r>
      <w:r w:rsidR="003D6D77">
        <w:rPr>
          <w:rFonts w:eastAsia="SimSun" w:cs="Times New Roman"/>
          <w:lang w:val="fr-FR"/>
        </w:rPr>
        <w:t>’</w:t>
      </w:r>
      <w:r w:rsidRPr="00332C60">
        <w:rPr>
          <w:rFonts w:eastAsia="SimSun" w:cs="Times New Roman"/>
          <w:lang w:val="fr-FR"/>
        </w:rPr>
        <w:t>échelle régionale aux fins de l</w:t>
      </w:r>
      <w:r w:rsidR="003D6D77">
        <w:rPr>
          <w:rFonts w:eastAsia="SimSun" w:cs="Times New Roman"/>
          <w:lang w:val="fr-FR"/>
        </w:rPr>
        <w:t>’</w:t>
      </w:r>
      <w:r w:rsidRPr="00332C60">
        <w:rPr>
          <w:rFonts w:eastAsia="SimSun" w:cs="Times New Roman"/>
          <w:lang w:val="fr-FR"/>
        </w:rPr>
        <w:t>interprétation des flux d</w:t>
      </w:r>
      <w:r w:rsidR="003D6D77">
        <w:rPr>
          <w:rFonts w:eastAsia="SimSun" w:cs="Times New Roman"/>
          <w:lang w:val="fr-FR"/>
        </w:rPr>
        <w:t>’</w:t>
      </w:r>
      <w:r w:rsidRPr="00332C60">
        <w:rPr>
          <w:rFonts w:eastAsia="SimSun" w:cs="Times New Roman"/>
          <w:lang w:val="fr-FR"/>
        </w:rPr>
        <w:t>émissions à l</w:t>
      </w:r>
      <w:r w:rsidR="003D6D77">
        <w:rPr>
          <w:rFonts w:eastAsia="SimSun" w:cs="Times New Roman"/>
          <w:lang w:val="fr-FR"/>
        </w:rPr>
        <w:t>’</w:t>
      </w:r>
      <w:r w:rsidRPr="00332C60">
        <w:rPr>
          <w:rFonts w:eastAsia="SimSun" w:cs="Times New Roman"/>
          <w:lang w:val="fr-FR"/>
        </w:rPr>
        <w:t>échelle régionale:</w:t>
      </w:r>
    </w:p>
    <w:p w14:paraId="7A710106" w14:textId="0C2B37A4" w:rsidR="00945ED7" w:rsidRPr="00332C60" w:rsidRDefault="00945ED7">
      <w:pPr>
        <w:numPr>
          <w:ilvl w:val="1"/>
          <w:numId w:val="4"/>
        </w:numPr>
        <w:tabs>
          <w:tab w:val="clear" w:pos="1134"/>
        </w:tabs>
        <w:suppressAutoHyphens/>
        <w:autoSpaceDN w:val="0"/>
        <w:spacing w:after="160" w:line="256" w:lineRule="auto"/>
        <w:jc w:val="left"/>
        <w:textAlignment w:val="baseline"/>
        <w:rPr>
          <w:rFonts w:eastAsia="SimSun" w:cs="Times New Roman"/>
          <w:lang w:val="fr-FR"/>
        </w:rPr>
      </w:pPr>
      <w:r w:rsidRPr="00332C60">
        <w:rPr>
          <w:rFonts w:eastAsia="SimSun" w:cs="Times New Roman"/>
          <w:lang w:val="fr-FR"/>
        </w:rPr>
        <w:t>Pour l</w:t>
      </w:r>
      <w:r w:rsidR="003D6D77">
        <w:rPr>
          <w:rFonts w:eastAsia="SimSun" w:cs="Times New Roman"/>
          <w:lang w:val="fr-FR"/>
        </w:rPr>
        <w:t>’</w:t>
      </w:r>
      <w:r w:rsidRPr="00332C60">
        <w:rPr>
          <w:rFonts w:eastAsia="SimSun" w:cs="Times New Roman"/>
          <w:lang w:val="fr-FR"/>
        </w:rPr>
        <w:t>évaluation des flux océaniques qui ne figurent pas dans les inventaires nationaux et qui sont actuellement manqués dans le bilan mondial. Il est à noter que ces données apporteront également une valeur ajoutée à la déclaration sur l</w:t>
      </w:r>
      <w:r w:rsidR="003D6D77">
        <w:rPr>
          <w:rFonts w:eastAsia="SimSun" w:cs="Times New Roman"/>
          <w:lang w:val="fr-FR"/>
        </w:rPr>
        <w:t>’</w:t>
      </w:r>
      <w:r w:rsidRPr="00332C60">
        <w:rPr>
          <w:rFonts w:eastAsia="SimSun" w:cs="Times New Roman"/>
          <w:lang w:val="fr-FR"/>
        </w:rPr>
        <w:t>acidité marine par rapport à l</w:t>
      </w:r>
      <w:r w:rsidR="003D6D77">
        <w:rPr>
          <w:rFonts w:eastAsia="SimSun" w:cs="Times New Roman"/>
          <w:lang w:val="fr-FR"/>
        </w:rPr>
        <w:t>’</w:t>
      </w:r>
      <w:r w:rsidRPr="00332C60">
        <w:rPr>
          <w:rFonts w:eastAsia="SimSun" w:cs="Times New Roman"/>
          <w:lang w:val="fr-FR"/>
        </w:rPr>
        <w:t>objectif de développement durable (</w:t>
      </w:r>
      <w:proofErr w:type="spellStart"/>
      <w:r w:rsidRPr="00332C60">
        <w:rPr>
          <w:rFonts w:eastAsia="SimSun" w:cs="Times New Roman"/>
          <w:lang w:val="fr-FR"/>
        </w:rPr>
        <w:t>ODD</w:t>
      </w:r>
      <w:proofErr w:type="spellEnd"/>
      <w:r w:rsidRPr="00332C60">
        <w:rPr>
          <w:rFonts w:eastAsia="SimSun" w:cs="Times New Roman"/>
          <w:lang w:val="fr-FR"/>
        </w:rPr>
        <w:t xml:space="preserve"> 14.3.1).</w:t>
      </w:r>
    </w:p>
    <w:p w14:paraId="5C414361" w14:textId="3DF8223A" w:rsidR="00945ED7" w:rsidRPr="00332C60" w:rsidRDefault="00945ED7">
      <w:pPr>
        <w:numPr>
          <w:ilvl w:val="1"/>
          <w:numId w:val="4"/>
        </w:numPr>
        <w:tabs>
          <w:tab w:val="clear" w:pos="1134"/>
        </w:tabs>
        <w:suppressAutoHyphens/>
        <w:autoSpaceDN w:val="0"/>
        <w:spacing w:after="160" w:line="256" w:lineRule="auto"/>
        <w:jc w:val="left"/>
        <w:textAlignment w:val="baseline"/>
        <w:rPr>
          <w:rFonts w:eastAsia="SimSun" w:cs="Times New Roman"/>
          <w:lang w:val="fr-FR"/>
        </w:rPr>
      </w:pPr>
      <w:r w:rsidRPr="00332C60">
        <w:rPr>
          <w:rFonts w:eastAsia="SimSun" w:cs="Times New Roman"/>
          <w:lang w:val="fr-FR"/>
        </w:rPr>
        <w:t>Pour l</w:t>
      </w:r>
      <w:r w:rsidR="003D6D77">
        <w:rPr>
          <w:rFonts w:eastAsia="SimSun" w:cs="Times New Roman"/>
          <w:lang w:val="fr-FR"/>
        </w:rPr>
        <w:t>’</w:t>
      </w:r>
      <w:r w:rsidRPr="00332C60">
        <w:rPr>
          <w:rFonts w:eastAsia="SimSun" w:cs="Times New Roman"/>
          <w:lang w:val="fr-FR"/>
        </w:rPr>
        <w:t>évaluation des flux de carbone terrestres à l</w:t>
      </w:r>
      <w:r w:rsidR="003D6D77">
        <w:rPr>
          <w:rFonts w:eastAsia="SimSun" w:cs="Times New Roman"/>
          <w:lang w:val="fr-FR"/>
        </w:rPr>
        <w:t>’</w:t>
      </w:r>
      <w:r w:rsidRPr="00332C60">
        <w:rPr>
          <w:rFonts w:eastAsia="SimSun" w:cs="Times New Roman"/>
          <w:lang w:val="fr-FR"/>
        </w:rPr>
        <w:t>échelle régionale, qui sont partiellement inclus dans les inventaires nationaux. Le suivi de la variabilité interannuelle (par exemple en réponse à la sécheresse) sera essentiel.</w:t>
      </w:r>
    </w:p>
    <w:p w14:paraId="4EC2D859" w14:textId="797A344D" w:rsidR="00945ED7" w:rsidRPr="00332C60" w:rsidRDefault="00945ED7">
      <w:pPr>
        <w:numPr>
          <w:ilvl w:val="1"/>
          <w:numId w:val="4"/>
        </w:numPr>
        <w:tabs>
          <w:tab w:val="clear" w:pos="1134"/>
        </w:tabs>
        <w:suppressAutoHyphens/>
        <w:autoSpaceDN w:val="0"/>
        <w:spacing w:after="160" w:line="256" w:lineRule="auto"/>
        <w:jc w:val="left"/>
        <w:textAlignment w:val="baseline"/>
        <w:rPr>
          <w:rFonts w:eastAsia="SimSun" w:cs="Times New Roman"/>
          <w:lang w:val="fr-FR"/>
        </w:rPr>
      </w:pPr>
      <w:r w:rsidRPr="00332C60">
        <w:rPr>
          <w:rFonts w:eastAsia="SimSun" w:cs="Times New Roman"/>
          <w:lang w:val="fr-FR"/>
        </w:rPr>
        <w:t>Émissions anthropiques agrégées à l</w:t>
      </w:r>
      <w:r w:rsidR="003D6D77">
        <w:rPr>
          <w:rFonts w:eastAsia="SimSun" w:cs="Times New Roman"/>
          <w:lang w:val="fr-FR"/>
        </w:rPr>
        <w:t>’</w:t>
      </w:r>
      <w:r w:rsidRPr="00332C60">
        <w:rPr>
          <w:rFonts w:eastAsia="SimSun" w:cs="Times New Roman"/>
          <w:lang w:val="fr-FR"/>
        </w:rPr>
        <w:t>échelle nationale pour les pays qui disposent actuellement de peu ou pas d</w:t>
      </w:r>
      <w:r w:rsidR="003D6D77">
        <w:rPr>
          <w:rFonts w:eastAsia="SimSun" w:cs="Times New Roman"/>
          <w:lang w:val="fr-FR"/>
        </w:rPr>
        <w:t>’</w:t>
      </w:r>
      <w:r w:rsidRPr="00332C60">
        <w:rPr>
          <w:rFonts w:eastAsia="SimSun" w:cs="Times New Roman"/>
          <w:lang w:val="fr-FR"/>
        </w:rPr>
        <w:t>infrastructures pour déterminer les émissions à partir des données d</w:t>
      </w:r>
      <w:r w:rsidR="003D6D77">
        <w:rPr>
          <w:rFonts w:eastAsia="SimSun" w:cs="Times New Roman"/>
          <w:lang w:val="fr-FR"/>
        </w:rPr>
        <w:t>’</w:t>
      </w:r>
      <w:r w:rsidRPr="00332C60">
        <w:rPr>
          <w:rFonts w:eastAsia="SimSun" w:cs="Times New Roman"/>
          <w:lang w:val="fr-FR"/>
        </w:rPr>
        <w:t>activité, ce qui permet de commencer à élaborer des informations améliorées sur les émissions; Peut être particulièrement pertinent pour les sources d</w:t>
      </w:r>
      <w:r w:rsidR="003D6D77">
        <w:rPr>
          <w:rFonts w:eastAsia="SimSun" w:cs="Times New Roman"/>
          <w:lang w:val="fr-FR"/>
        </w:rPr>
        <w:t>’</w:t>
      </w:r>
      <w:r w:rsidRPr="00332C60">
        <w:rPr>
          <w:rFonts w:eastAsia="SimSun" w:cs="Times New Roman"/>
          <w:lang w:val="fr-FR"/>
        </w:rPr>
        <w:t>émission autres que le CO2.</w:t>
      </w:r>
    </w:p>
    <w:p w14:paraId="23F2AEB1" w14:textId="77777777" w:rsidR="00945ED7" w:rsidRPr="00332C60" w:rsidRDefault="00945ED7">
      <w:pPr>
        <w:numPr>
          <w:ilvl w:val="1"/>
          <w:numId w:val="4"/>
        </w:numPr>
        <w:tabs>
          <w:tab w:val="clear" w:pos="1134"/>
        </w:tabs>
        <w:suppressAutoHyphens/>
        <w:autoSpaceDN w:val="0"/>
        <w:spacing w:after="160" w:line="256" w:lineRule="auto"/>
        <w:jc w:val="left"/>
        <w:textAlignment w:val="baseline"/>
        <w:rPr>
          <w:rFonts w:eastAsia="SimSun" w:cs="Times New Roman"/>
          <w:lang w:val="fr-FR"/>
        </w:rPr>
      </w:pPr>
      <w:r w:rsidRPr="00332C60">
        <w:rPr>
          <w:rFonts w:eastAsia="SimSun" w:cs="Times New Roman"/>
          <w:lang w:val="fr-FR"/>
        </w:rPr>
        <w:t>Analyse des incertitudes associées à ces produits globaux.</w:t>
      </w:r>
    </w:p>
    <w:p w14:paraId="30248668" w14:textId="20A7CA59" w:rsidR="00945ED7" w:rsidRPr="00332C60" w:rsidRDefault="00945ED7">
      <w:pPr>
        <w:numPr>
          <w:ilvl w:val="0"/>
          <w:numId w:val="4"/>
        </w:numPr>
        <w:tabs>
          <w:tab w:val="clear" w:pos="1134"/>
        </w:tabs>
        <w:suppressAutoHyphens/>
        <w:autoSpaceDN w:val="0"/>
        <w:spacing w:after="160" w:line="256" w:lineRule="auto"/>
        <w:jc w:val="left"/>
        <w:textAlignment w:val="baseline"/>
        <w:rPr>
          <w:rFonts w:eastAsia="SimSun" w:cs="Times New Roman"/>
          <w:lang w:val="fr-FR"/>
        </w:rPr>
      </w:pPr>
      <w:r w:rsidRPr="00332C60">
        <w:rPr>
          <w:rFonts w:eastAsia="SimSun" w:cs="Times New Roman"/>
          <w:lang w:val="fr-FR"/>
        </w:rPr>
        <w:t>Fourniture de conditions aux limites des études régionales, nationales et infranationales. Cela utilisera généralement les champs de concentration des GES plutôt que les flux produits. Cela permettra aux entités d</w:t>
      </w:r>
      <w:r w:rsidR="003D6D77">
        <w:rPr>
          <w:rFonts w:eastAsia="SimSun" w:cs="Times New Roman"/>
          <w:lang w:val="fr-FR"/>
        </w:rPr>
        <w:t>’</w:t>
      </w:r>
      <w:r w:rsidRPr="00332C60">
        <w:rPr>
          <w:rFonts w:eastAsia="SimSun" w:cs="Times New Roman"/>
          <w:lang w:val="fr-FR"/>
        </w:rPr>
        <w:t>élaborer des informations plus fines sur les émissions pour leur domaine d</w:t>
      </w:r>
      <w:r w:rsidR="003D6D77">
        <w:rPr>
          <w:rFonts w:eastAsia="SimSun" w:cs="Times New Roman"/>
          <w:lang w:val="fr-FR"/>
        </w:rPr>
        <w:t>’</w:t>
      </w:r>
      <w:r w:rsidRPr="00332C60">
        <w:rPr>
          <w:rFonts w:eastAsia="SimSun" w:cs="Times New Roman"/>
          <w:lang w:val="fr-FR"/>
        </w:rPr>
        <w:t>intérêt.</w:t>
      </w:r>
    </w:p>
    <w:p w14:paraId="04450FEA" w14:textId="0B694F47" w:rsidR="00945ED7" w:rsidRPr="00332C60" w:rsidRDefault="00945ED7">
      <w:pPr>
        <w:numPr>
          <w:ilvl w:val="1"/>
          <w:numId w:val="4"/>
        </w:numPr>
        <w:tabs>
          <w:tab w:val="clear" w:pos="1134"/>
        </w:tabs>
        <w:suppressAutoHyphens/>
        <w:autoSpaceDN w:val="0"/>
        <w:spacing w:after="160" w:line="256" w:lineRule="auto"/>
        <w:jc w:val="left"/>
        <w:textAlignment w:val="baseline"/>
        <w:rPr>
          <w:rFonts w:eastAsia="SimSun" w:cs="Times New Roman"/>
          <w:lang w:val="fr-FR"/>
        </w:rPr>
      </w:pPr>
      <w:r w:rsidRPr="00332C60">
        <w:rPr>
          <w:rFonts w:eastAsia="SimSun" w:cs="Times New Roman"/>
          <w:lang w:val="fr-FR"/>
        </w:rPr>
        <w:t>Analyse de l</w:t>
      </w:r>
      <w:r w:rsidR="003D6D77">
        <w:rPr>
          <w:rFonts w:eastAsia="SimSun" w:cs="Times New Roman"/>
          <w:lang w:val="fr-FR"/>
        </w:rPr>
        <w:t>’</w:t>
      </w:r>
      <w:r w:rsidRPr="00332C60">
        <w:rPr>
          <w:rFonts w:eastAsia="SimSun" w:cs="Times New Roman"/>
          <w:lang w:val="fr-FR"/>
        </w:rPr>
        <w:t>incertitude pour les conditions aux limites dérivées.</w:t>
      </w:r>
    </w:p>
    <w:p w14:paraId="68802619" w14:textId="303F1BDF" w:rsidR="00945ED7" w:rsidRPr="00332C60" w:rsidRDefault="00945ED7">
      <w:pPr>
        <w:numPr>
          <w:ilvl w:val="1"/>
          <w:numId w:val="4"/>
        </w:numPr>
        <w:tabs>
          <w:tab w:val="clear" w:pos="1134"/>
        </w:tabs>
        <w:suppressAutoHyphens/>
        <w:autoSpaceDN w:val="0"/>
        <w:spacing w:after="160" w:line="256" w:lineRule="auto"/>
        <w:jc w:val="left"/>
        <w:textAlignment w:val="baseline"/>
        <w:rPr>
          <w:rFonts w:eastAsia="SimSun" w:cs="Times New Roman"/>
          <w:lang w:val="fr-FR"/>
        </w:rPr>
      </w:pPr>
      <w:r w:rsidRPr="00332C60">
        <w:rPr>
          <w:rFonts w:eastAsia="SimSun" w:cs="Times New Roman"/>
          <w:lang w:val="fr-FR"/>
        </w:rPr>
        <w:t>Orientations sur la façon dont ces efforts de réduction d</w:t>
      </w:r>
      <w:r w:rsidR="003D6D77">
        <w:rPr>
          <w:rFonts w:eastAsia="SimSun" w:cs="Times New Roman"/>
          <w:lang w:val="fr-FR"/>
        </w:rPr>
        <w:t>’</w:t>
      </w:r>
      <w:r w:rsidRPr="00332C60">
        <w:rPr>
          <w:rFonts w:eastAsia="SimSun" w:cs="Times New Roman"/>
          <w:lang w:val="fr-FR"/>
        </w:rPr>
        <w:t>échelle devraient être déployés (en utilisant d</w:t>
      </w:r>
      <w:r w:rsidR="003D6D77">
        <w:rPr>
          <w:rFonts w:eastAsia="SimSun" w:cs="Times New Roman"/>
          <w:lang w:val="fr-FR"/>
        </w:rPr>
        <w:t>’</w:t>
      </w:r>
      <w:r w:rsidRPr="00332C60">
        <w:rPr>
          <w:rFonts w:eastAsia="SimSun" w:cs="Times New Roman"/>
          <w:lang w:val="fr-FR"/>
        </w:rPr>
        <w:t>autres mécanismes tels que les bonnes pratiques du Système.</w:t>
      </w:r>
    </w:p>
    <w:p w14:paraId="17427FBA" w14:textId="74AF5976" w:rsidR="00945ED7" w:rsidRPr="00945ED7" w:rsidRDefault="00945ED7" w:rsidP="007803F7">
      <w:pPr>
        <w:pStyle w:val="Heading3"/>
        <w:numPr>
          <w:ilvl w:val="0"/>
          <w:numId w:val="1"/>
        </w:numPr>
        <w:ind w:left="0" w:firstLine="0"/>
        <w:rPr>
          <w:rFonts w:cs="Segoe UI"/>
          <w:b w:val="0"/>
          <w:bCs w:val="0"/>
          <w:sz w:val="22"/>
          <w:szCs w:val="22"/>
        </w:rPr>
      </w:pPr>
      <w:proofErr w:type="spellStart"/>
      <w:r w:rsidRPr="00945ED7">
        <w:t>Rôle</w:t>
      </w:r>
      <w:proofErr w:type="spellEnd"/>
      <w:r w:rsidRPr="00945ED7">
        <w:t xml:space="preserve"> de </w:t>
      </w:r>
      <w:proofErr w:type="spellStart"/>
      <w:r w:rsidRPr="00945ED7">
        <w:t>l</w:t>
      </w:r>
      <w:r w:rsidR="003D6D77">
        <w:t>’</w:t>
      </w:r>
      <w:r w:rsidRPr="00945ED7">
        <w:t>OMM</w:t>
      </w:r>
      <w:proofErr w:type="spellEnd"/>
    </w:p>
    <w:p w14:paraId="6D2AB299" w14:textId="25213375" w:rsidR="00945ED7" w:rsidRPr="00332C60" w:rsidRDefault="00945ED7" w:rsidP="00333510">
      <w:pPr>
        <w:pStyle w:val="WMOBodyText"/>
        <w:rPr>
          <w:rFonts w:eastAsia="SimSun" w:cs="Segoe UI"/>
          <w:lang w:val="fr-FR"/>
        </w:rPr>
      </w:pPr>
      <w:r w:rsidRPr="00332C60">
        <w:rPr>
          <w:rFonts w:eastAsia="SimSun" w:cs="Segoe UI"/>
          <w:lang w:val="fr-FR"/>
        </w:rPr>
        <w:t>Il existe deux raisons principales pour lesquelles l</w:t>
      </w:r>
      <w:r w:rsidR="003D6D77">
        <w:rPr>
          <w:rFonts w:eastAsia="SimSun" w:cs="Segoe UI"/>
          <w:lang w:val="fr-FR"/>
        </w:rPr>
        <w:t>’</w:t>
      </w:r>
      <w:r w:rsidRPr="00332C60">
        <w:rPr>
          <w:rFonts w:eastAsia="SimSun" w:cs="Segoe UI"/>
          <w:lang w:val="fr-FR"/>
        </w:rPr>
        <w:t>OMM est bien placée pour jouer un rôle central dans la coordination d</w:t>
      </w:r>
      <w:r w:rsidR="003D6D77">
        <w:rPr>
          <w:rFonts w:eastAsia="SimSun" w:cs="Segoe UI"/>
          <w:lang w:val="fr-FR"/>
        </w:rPr>
        <w:t>’</w:t>
      </w:r>
      <w:r w:rsidRPr="00332C60">
        <w:rPr>
          <w:rFonts w:eastAsia="SimSun" w:cs="Segoe UI"/>
          <w:lang w:val="fr-FR"/>
        </w:rPr>
        <w:t>une infrastructure mondiale de surveillance des gaz à effet de serre.</w:t>
      </w:r>
    </w:p>
    <w:p w14:paraId="1A1281FC" w14:textId="4D2CA651" w:rsidR="00945ED7" w:rsidRPr="00332C60" w:rsidRDefault="00945ED7" w:rsidP="00333510">
      <w:pPr>
        <w:pStyle w:val="WMOBodyText"/>
        <w:rPr>
          <w:rFonts w:eastAsia="SimSun" w:cs="Segoe UI"/>
          <w:lang w:val="fr-FR"/>
        </w:rPr>
      </w:pPr>
      <w:r w:rsidRPr="00332C60">
        <w:rPr>
          <w:rFonts w:eastAsia="SimSun" w:cs="Segoe UI"/>
          <w:lang w:val="fr-FR"/>
        </w:rPr>
        <w:t>Premièrement, l</w:t>
      </w:r>
      <w:r w:rsidR="003D6D77">
        <w:rPr>
          <w:rFonts w:eastAsia="SimSun" w:cs="Segoe UI"/>
          <w:lang w:val="fr-FR"/>
        </w:rPr>
        <w:t>’</w:t>
      </w:r>
      <w:r w:rsidRPr="00332C60">
        <w:rPr>
          <w:rFonts w:eastAsia="SimSun" w:cs="Segoe UI"/>
          <w:lang w:val="fr-FR"/>
        </w:rPr>
        <w:t>OMM dispose d</w:t>
      </w:r>
      <w:r w:rsidR="003D6D77">
        <w:rPr>
          <w:rFonts w:eastAsia="SimSun" w:cs="Segoe UI"/>
          <w:lang w:val="fr-FR"/>
        </w:rPr>
        <w:t>’</w:t>
      </w:r>
      <w:r w:rsidRPr="00332C60">
        <w:rPr>
          <w:rFonts w:eastAsia="SimSun" w:cs="Segoe UI"/>
          <w:lang w:val="fr-FR"/>
        </w:rPr>
        <w:t>activités et d</w:t>
      </w:r>
      <w:r w:rsidR="003D6D77">
        <w:rPr>
          <w:rFonts w:eastAsia="SimSun" w:cs="Segoe UI"/>
          <w:lang w:val="fr-FR"/>
        </w:rPr>
        <w:t>’</w:t>
      </w:r>
      <w:r w:rsidRPr="00332C60">
        <w:rPr>
          <w:rFonts w:eastAsia="SimSun" w:cs="Segoe UI"/>
          <w:lang w:val="fr-FR"/>
        </w:rPr>
        <w:t>expériences dans trois des quatre grands domaines énumérés dans la section 3: Les observations en surface et à partir de l</w:t>
      </w:r>
      <w:r w:rsidR="003D6D77">
        <w:rPr>
          <w:rFonts w:eastAsia="SimSun" w:cs="Segoe UI"/>
          <w:lang w:val="fr-FR"/>
        </w:rPr>
        <w:t>’</w:t>
      </w:r>
      <w:r w:rsidRPr="00332C60">
        <w:rPr>
          <w:rFonts w:eastAsia="SimSun" w:cs="Segoe UI"/>
          <w:lang w:val="fr-FR"/>
        </w:rPr>
        <w:t>espace portant à la fois sur les variables météorologiques de base et les constituants atmosphériques mineurs, l</w:t>
      </w:r>
      <w:r w:rsidR="003D6D77">
        <w:rPr>
          <w:rFonts w:eastAsia="SimSun" w:cs="Segoe UI"/>
          <w:lang w:val="fr-FR"/>
        </w:rPr>
        <w:t>’</w:t>
      </w:r>
      <w:r w:rsidRPr="00332C60">
        <w:rPr>
          <w:rFonts w:eastAsia="SimSun" w:cs="Segoe UI"/>
          <w:lang w:val="fr-FR"/>
        </w:rPr>
        <w:t>échange international de données, les activités de modélisation et d</w:t>
      </w:r>
      <w:r w:rsidR="003D6D77">
        <w:rPr>
          <w:rFonts w:eastAsia="SimSun" w:cs="Segoe UI"/>
          <w:lang w:val="fr-FR"/>
        </w:rPr>
        <w:t>’</w:t>
      </w:r>
      <w:r w:rsidRPr="00332C60">
        <w:rPr>
          <w:rFonts w:eastAsia="SimSun" w:cs="Segoe UI"/>
          <w:lang w:val="fr-FR"/>
        </w:rPr>
        <w:t>assimilation des données pertinentes, et la recherche. Par l</w:t>
      </w:r>
      <w:r w:rsidR="003D6D77">
        <w:rPr>
          <w:rFonts w:eastAsia="SimSun" w:cs="Segoe UI"/>
          <w:lang w:val="fr-FR"/>
        </w:rPr>
        <w:t>’</w:t>
      </w:r>
      <w:r w:rsidRPr="00332C60">
        <w:rPr>
          <w:rFonts w:eastAsia="SimSun" w:cs="Segoe UI"/>
          <w:lang w:val="fr-FR"/>
        </w:rPr>
        <w:t>intermédiaire du Système mondial d</w:t>
      </w:r>
      <w:r w:rsidR="003D6D77">
        <w:rPr>
          <w:rFonts w:eastAsia="SimSun" w:cs="Segoe UI"/>
          <w:lang w:val="fr-FR"/>
        </w:rPr>
        <w:t>’</w:t>
      </w:r>
      <w:r w:rsidRPr="00332C60">
        <w:rPr>
          <w:rFonts w:eastAsia="SimSun" w:cs="Segoe UI"/>
          <w:lang w:val="fr-FR"/>
        </w:rPr>
        <w:t>observation du climat (</w:t>
      </w:r>
      <w:proofErr w:type="spellStart"/>
      <w:r w:rsidRPr="00332C60">
        <w:rPr>
          <w:rFonts w:eastAsia="SimSun" w:cs="Segoe UI"/>
          <w:lang w:val="fr-FR"/>
        </w:rPr>
        <w:t>SMOC</w:t>
      </w:r>
      <w:proofErr w:type="spellEnd"/>
      <w:r w:rsidRPr="00332C60">
        <w:rPr>
          <w:rFonts w:eastAsia="SimSun" w:cs="Segoe UI"/>
          <w:lang w:val="fr-FR"/>
        </w:rPr>
        <w:t>) et de sa collaboration avec le Programme des Nations Unies pour l</w:t>
      </w:r>
      <w:r w:rsidR="003D6D77">
        <w:rPr>
          <w:rFonts w:eastAsia="SimSun" w:cs="Segoe UI"/>
          <w:lang w:val="fr-FR"/>
        </w:rPr>
        <w:t>’</w:t>
      </w:r>
      <w:r w:rsidRPr="00332C60">
        <w:rPr>
          <w:rFonts w:eastAsia="SimSun" w:cs="Segoe UI"/>
          <w:lang w:val="fr-FR"/>
        </w:rPr>
        <w:t>environnement (</w:t>
      </w:r>
      <w:proofErr w:type="spellStart"/>
      <w:r w:rsidRPr="00332C60">
        <w:rPr>
          <w:rFonts w:eastAsia="SimSun" w:cs="Segoe UI"/>
          <w:lang w:val="fr-FR"/>
        </w:rPr>
        <w:t>PNUE</w:t>
      </w:r>
      <w:proofErr w:type="spellEnd"/>
      <w:r w:rsidRPr="00332C60">
        <w:rPr>
          <w:rFonts w:eastAsia="SimSun" w:cs="Segoe UI"/>
          <w:lang w:val="fr-FR"/>
        </w:rPr>
        <w:t>), l</w:t>
      </w:r>
      <w:r w:rsidR="003D6D77">
        <w:rPr>
          <w:rFonts w:eastAsia="SimSun" w:cs="Segoe UI"/>
          <w:lang w:val="fr-FR"/>
        </w:rPr>
        <w:t>’</w:t>
      </w:r>
      <w:r w:rsidRPr="00332C60">
        <w:rPr>
          <w:rFonts w:eastAsia="SimSun" w:cs="Segoe UI"/>
          <w:lang w:val="fr-FR"/>
        </w:rPr>
        <w:t>OMM dispose de certaines activités d</w:t>
      </w:r>
      <w:r w:rsidR="003D6D77">
        <w:rPr>
          <w:rFonts w:eastAsia="SimSun" w:cs="Segoe UI"/>
          <w:lang w:val="fr-FR"/>
        </w:rPr>
        <w:t>’</w:t>
      </w:r>
      <w:r w:rsidRPr="00332C60">
        <w:rPr>
          <w:rFonts w:eastAsia="SimSun" w:cs="Segoe UI"/>
          <w:lang w:val="fr-FR"/>
        </w:rPr>
        <w:t xml:space="preserve">observation à la surface des terres émergées, ainsi que du </w:t>
      </w:r>
      <w:proofErr w:type="spellStart"/>
      <w:r w:rsidRPr="00332C60">
        <w:rPr>
          <w:rFonts w:eastAsia="SimSun" w:cs="Segoe UI"/>
          <w:lang w:val="fr-FR"/>
        </w:rPr>
        <w:t>GOOS</w:t>
      </w:r>
      <w:proofErr w:type="spellEnd"/>
      <w:r w:rsidRPr="00332C60">
        <w:rPr>
          <w:rFonts w:eastAsia="SimSun" w:cs="Segoe UI"/>
          <w:lang w:val="fr-FR"/>
        </w:rPr>
        <w:t xml:space="preserve"> et de la collaboration avec la Commission océanographique intergouvernementale (COI), d</w:t>
      </w:r>
      <w:r w:rsidR="003D6D77">
        <w:rPr>
          <w:rFonts w:eastAsia="SimSun" w:cs="Segoe UI"/>
          <w:lang w:val="fr-FR"/>
        </w:rPr>
        <w:t>’</w:t>
      </w:r>
      <w:r w:rsidRPr="00332C60">
        <w:rPr>
          <w:rFonts w:eastAsia="SimSun" w:cs="Segoe UI"/>
          <w:lang w:val="fr-FR"/>
        </w:rPr>
        <w:t>importantes activités d</w:t>
      </w:r>
      <w:r w:rsidR="003D6D77">
        <w:rPr>
          <w:rFonts w:eastAsia="SimSun" w:cs="Segoe UI"/>
          <w:lang w:val="fr-FR"/>
        </w:rPr>
        <w:t>’</w:t>
      </w:r>
      <w:r w:rsidRPr="00332C60">
        <w:rPr>
          <w:rFonts w:eastAsia="SimSun" w:cs="Segoe UI"/>
          <w:lang w:val="fr-FR"/>
        </w:rPr>
        <w:t>observation de l</w:t>
      </w:r>
      <w:r w:rsidR="003D6D77">
        <w:rPr>
          <w:rFonts w:eastAsia="SimSun" w:cs="Segoe UI"/>
          <w:lang w:val="fr-FR"/>
        </w:rPr>
        <w:t>’</w:t>
      </w:r>
      <w:r w:rsidRPr="00332C60">
        <w:rPr>
          <w:rFonts w:eastAsia="SimSun" w:cs="Segoe UI"/>
          <w:lang w:val="fr-FR"/>
        </w:rPr>
        <w:t xml:space="preserve">océan et de modélisation des océans. </w:t>
      </w:r>
    </w:p>
    <w:p w14:paraId="53115153" w14:textId="32EB10FF" w:rsidR="00945ED7" w:rsidRPr="00332C60" w:rsidRDefault="00945ED7" w:rsidP="00333510">
      <w:pPr>
        <w:pStyle w:val="WMOBodyText"/>
        <w:rPr>
          <w:rFonts w:eastAsia="SimSun" w:cs="Segoe UI"/>
          <w:lang w:val="fr-FR"/>
        </w:rPr>
      </w:pPr>
      <w:r w:rsidRPr="00332C60">
        <w:rPr>
          <w:rFonts w:eastAsia="SimSun" w:cs="Segoe UI"/>
          <w:lang w:val="fr-FR"/>
        </w:rPr>
        <w:t>Deuxièmement, en tant qu</w:t>
      </w:r>
      <w:r w:rsidR="003D6D77">
        <w:rPr>
          <w:rFonts w:eastAsia="SimSun" w:cs="Segoe UI"/>
          <w:lang w:val="fr-FR"/>
        </w:rPr>
        <w:t>’</w:t>
      </w:r>
      <w:r w:rsidRPr="00332C60">
        <w:rPr>
          <w:rFonts w:eastAsia="SimSun" w:cs="Segoe UI"/>
          <w:lang w:val="fr-FR"/>
        </w:rPr>
        <w:t>organisation intergouvernementale, l</w:t>
      </w:r>
      <w:r w:rsidR="003D6D77">
        <w:rPr>
          <w:rFonts w:eastAsia="SimSun" w:cs="Segoe UI"/>
          <w:lang w:val="fr-FR"/>
        </w:rPr>
        <w:t>’</w:t>
      </w:r>
      <w:r w:rsidRPr="00332C60">
        <w:rPr>
          <w:rFonts w:eastAsia="SimSun" w:cs="Segoe UI"/>
          <w:lang w:val="fr-FR"/>
        </w:rPr>
        <w:t>OMM a des décennies d</w:t>
      </w:r>
      <w:r w:rsidR="003D6D77">
        <w:rPr>
          <w:rFonts w:eastAsia="SimSun" w:cs="Segoe UI"/>
          <w:lang w:val="fr-FR"/>
        </w:rPr>
        <w:t>’</w:t>
      </w:r>
      <w:r w:rsidRPr="00332C60">
        <w:rPr>
          <w:rFonts w:eastAsia="SimSun" w:cs="Segoe UI"/>
          <w:lang w:val="fr-FR"/>
        </w:rPr>
        <w:t>expérience dans la coordination des efforts internationaux, la mise en place de systèmes internationaux et l</w:t>
      </w:r>
      <w:r w:rsidR="003D6D77">
        <w:rPr>
          <w:rFonts w:eastAsia="SimSun" w:cs="Segoe UI"/>
          <w:lang w:val="fr-FR"/>
        </w:rPr>
        <w:t>’</w:t>
      </w:r>
      <w:r w:rsidRPr="00332C60">
        <w:rPr>
          <w:rFonts w:eastAsia="SimSun" w:cs="Segoe UI"/>
          <w:lang w:val="fr-FR"/>
        </w:rPr>
        <w:t>établissement de normes et de pratiques exemplaires dans des domaines étroitement liés tels que les observations météorologiques et climatologiques (Système mondial intégré des systèmes d</w:t>
      </w:r>
      <w:r w:rsidR="003D6D77">
        <w:rPr>
          <w:rFonts w:eastAsia="SimSun" w:cs="Segoe UI"/>
          <w:lang w:val="fr-FR"/>
        </w:rPr>
        <w:t>’</w:t>
      </w:r>
      <w:r w:rsidRPr="00332C60">
        <w:rPr>
          <w:rFonts w:eastAsia="SimSun" w:cs="Segoe UI"/>
          <w:lang w:val="fr-FR"/>
        </w:rPr>
        <w:t>observation de l</w:t>
      </w:r>
      <w:r w:rsidR="003D6D77">
        <w:rPr>
          <w:rFonts w:eastAsia="SimSun" w:cs="Segoe UI"/>
          <w:lang w:val="fr-FR"/>
        </w:rPr>
        <w:t>’</w:t>
      </w:r>
      <w:r w:rsidRPr="00332C60">
        <w:rPr>
          <w:rFonts w:eastAsia="SimSun" w:cs="Segoe UI"/>
          <w:lang w:val="fr-FR"/>
        </w:rPr>
        <w:t>OMM (</w:t>
      </w:r>
      <w:proofErr w:type="spellStart"/>
      <w:r w:rsidRPr="00332C60">
        <w:rPr>
          <w:rFonts w:eastAsia="SimSun" w:cs="Segoe UI"/>
          <w:lang w:val="fr-FR"/>
        </w:rPr>
        <w:t>WIGOS</w:t>
      </w:r>
      <w:proofErr w:type="spellEnd"/>
      <w:r w:rsidRPr="00332C60">
        <w:rPr>
          <w:rFonts w:eastAsia="SimSun" w:cs="Segoe UI"/>
          <w:lang w:val="fr-FR"/>
        </w:rPr>
        <w:t xml:space="preserve">), le </w:t>
      </w:r>
      <w:proofErr w:type="spellStart"/>
      <w:r w:rsidRPr="00332C60">
        <w:rPr>
          <w:rFonts w:eastAsia="SimSun" w:cs="Segoe UI"/>
          <w:lang w:val="fr-FR"/>
        </w:rPr>
        <w:t>SMOC</w:t>
      </w:r>
      <w:proofErr w:type="spellEnd"/>
      <w:r w:rsidRPr="00332C60">
        <w:rPr>
          <w:rFonts w:eastAsia="SimSun" w:cs="Segoe UI"/>
          <w:lang w:val="fr-FR"/>
        </w:rPr>
        <w:t xml:space="preserve">, le </w:t>
      </w:r>
      <w:proofErr w:type="spellStart"/>
      <w:r w:rsidRPr="00332C60">
        <w:rPr>
          <w:rFonts w:eastAsia="SimSun" w:cs="Segoe UI"/>
          <w:lang w:val="fr-FR"/>
        </w:rPr>
        <w:t>GOOS</w:t>
      </w:r>
      <w:proofErr w:type="spellEnd"/>
      <w:r w:rsidRPr="00332C60">
        <w:rPr>
          <w:rFonts w:eastAsia="SimSun" w:cs="Segoe UI"/>
          <w:lang w:val="fr-FR"/>
        </w:rPr>
        <w:t>, la prévision numérique du temps (Programme mondial de recherche sur la prévision du temps (</w:t>
      </w:r>
      <w:proofErr w:type="spellStart"/>
      <w:r w:rsidRPr="00332C60">
        <w:rPr>
          <w:rFonts w:eastAsia="SimSun" w:cs="Segoe UI"/>
          <w:lang w:val="fr-FR"/>
        </w:rPr>
        <w:t>PMRPT</w:t>
      </w:r>
      <w:proofErr w:type="spellEnd"/>
      <w:r w:rsidRPr="00332C60">
        <w:rPr>
          <w:rFonts w:eastAsia="SimSun" w:cs="Segoe UI"/>
          <w:lang w:val="fr-FR"/>
        </w:rPr>
        <w:t>) et le Système mondial de traitement des données et de prévision (</w:t>
      </w:r>
      <w:proofErr w:type="spellStart"/>
      <w:r w:rsidRPr="00332C60">
        <w:rPr>
          <w:rFonts w:eastAsia="SimSun" w:cs="Segoe UI"/>
          <w:lang w:val="fr-FR"/>
        </w:rPr>
        <w:t>SMTDP</w:t>
      </w:r>
      <w:proofErr w:type="spellEnd"/>
      <w:r w:rsidRPr="00332C60">
        <w:rPr>
          <w:rFonts w:eastAsia="SimSun" w:cs="Segoe UI"/>
          <w:lang w:val="fr-FR"/>
        </w:rPr>
        <w:t>)),</w:t>
      </w:r>
      <w:r w:rsidR="003D6D77">
        <w:rPr>
          <w:rFonts w:eastAsia="SimSun" w:cs="Segoe UI"/>
          <w:lang w:val="fr-FR"/>
        </w:rPr>
        <w:t xml:space="preserve"> </w:t>
      </w:r>
      <w:r w:rsidRPr="00332C60">
        <w:rPr>
          <w:rFonts w:eastAsia="SimSun" w:cs="Segoe UI"/>
          <w:lang w:val="fr-FR"/>
        </w:rPr>
        <w:t>et la mesure et la modélisation des concentrations de constituants atmosphériques mineurs (</w:t>
      </w:r>
      <w:proofErr w:type="spellStart"/>
      <w:r w:rsidRPr="00332C60">
        <w:rPr>
          <w:rFonts w:eastAsia="SimSun" w:cs="Segoe UI"/>
          <w:lang w:val="fr-FR"/>
        </w:rPr>
        <w:t>VAG</w:t>
      </w:r>
      <w:proofErr w:type="spellEnd"/>
      <w:r w:rsidRPr="00332C60">
        <w:rPr>
          <w:rFonts w:eastAsia="SimSun" w:cs="Segoe UI"/>
          <w:lang w:val="fr-FR"/>
        </w:rPr>
        <w:t>).</w:t>
      </w:r>
    </w:p>
    <w:p w14:paraId="5A69C082" w14:textId="40E1229F" w:rsidR="00945ED7" w:rsidRPr="00332C60" w:rsidRDefault="00945ED7" w:rsidP="00333510">
      <w:pPr>
        <w:pStyle w:val="WMOBodyText"/>
        <w:rPr>
          <w:rFonts w:eastAsia="SimSun" w:cs="Segoe UI"/>
          <w:lang w:val="fr-FR"/>
        </w:rPr>
      </w:pPr>
      <w:r w:rsidRPr="00332C60">
        <w:rPr>
          <w:rFonts w:eastAsia="SimSun" w:cs="Segoe UI"/>
          <w:lang w:val="fr-FR"/>
        </w:rPr>
        <w:lastRenderedPageBreak/>
        <w:t>En outre, la Veille météorologique mondiale (</w:t>
      </w:r>
      <w:proofErr w:type="spellStart"/>
      <w:r w:rsidRPr="00332C60">
        <w:rPr>
          <w:rFonts w:eastAsia="SimSun" w:cs="Segoe UI"/>
          <w:lang w:val="fr-FR"/>
        </w:rPr>
        <w:t>VMM</w:t>
      </w:r>
      <w:proofErr w:type="spellEnd"/>
      <w:r w:rsidRPr="00332C60">
        <w:rPr>
          <w:rFonts w:eastAsia="SimSun" w:cs="Segoe UI"/>
          <w:lang w:val="fr-FR"/>
        </w:rPr>
        <w:t>) est un modèle utile pour l</w:t>
      </w:r>
      <w:r w:rsidR="003D6D77">
        <w:rPr>
          <w:rFonts w:eastAsia="SimSun" w:cs="Segoe UI"/>
          <w:lang w:val="fr-FR"/>
        </w:rPr>
        <w:t>’</w:t>
      </w:r>
      <w:r w:rsidRPr="00332C60">
        <w:rPr>
          <w:rFonts w:eastAsia="SimSun" w:cs="Segoe UI"/>
          <w:lang w:val="fr-FR"/>
        </w:rPr>
        <w:t>infrastructure envisagée ici, puisqu</w:t>
      </w:r>
      <w:r w:rsidR="003D6D77">
        <w:rPr>
          <w:rFonts w:eastAsia="SimSun" w:cs="Segoe UI"/>
          <w:lang w:val="fr-FR"/>
        </w:rPr>
        <w:t>’</w:t>
      </w:r>
      <w:r w:rsidRPr="00332C60">
        <w:rPr>
          <w:rFonts w:eastAsia="SimSun" w:cs="Segoe UI"/>
          <w:lang w:val="fr-FR"/>
        </w:rPr>
        <w:t>elle englobe les observations, l</w:t>
      </w:r>
      <w:r w:rsidR="003D6D77">
        <w:rPr>
          <w:rFonts w:eastAsia="SimSun" w:cs="Segoe UI"/>
          <w:lang w:val="fr-FR"/>
        </w:rPr>
        <w:t>’</w:t>
      </w:r>
      <w:r w:rsidRPr="00332C60">
        <w:rPr>
          <w:rFonts w:eastAsia="SimSun" w:cs="Segoe UI"/>
          <w:lang w:val="fr-FR"/>
        </w:rPr>
        <w:t>échange de données, la modélisation et l</w:t>
      </w:r>
      <w:r w:rsidR="003D6D77">
        <w:rPr>
          <w:rFonts w:eastAsia="SimSun" w:cs="Segoe UI"/>
          <w:lang w:val="fr-FR"/>
        </w:rPr>
        <w:t>’</w:t>
      </w:r>
      <w:r w:rsidRPr="00332C60">
        <w:rPr>
          <w:rFonts w:eastAsia="SimSun" w:cs="Segoe UI"/>
          <w:lang w:val="fr-FR"/>
        </w:rPr>
        <w:t>assimilation des données et les méthodes de vérification courantes. Il s</w:t>
      </w:r>
      <w:r w:rsidR="003D6D77">
        <w:rPr>
          <w:rFonts w:eastAsia="SimSun" w:cs="Segoe UI"/>
          <w:lang w:val="fr-FR"/>
        </w:rPr>
        <w:t>’</w:t>
      </w:r>
      <w:r w:rsidRPr="00332C60">
        <w:rPr>
          <w:rFonts w:eastAsia="SimSun" w:cs="Segoe UI"/>
          <w:lang w:val="fr-FR"/>
        </w:rPr>
        <w:t>agit des Membres de l</w:t>
      </w:r>
      <w:r w:rsidR="003D6D77">
        <w:rPr>
          <w:rFonts w:eastAsia="SimSun" w:cs="Segoe UI"/>
          <w:lang w:val="fr-FR"/>
        </w:rPr>
        <w:t>’</w:t>
      </w:r>
      <w:r w:rsidRPr="00332C60">
        <w:rPr>
          <w:rFonts w:eastAsia="SimSun" w:cs="Segoe UI"/>
          <w:lang w:val="fr-FR"/>
        </w:rPr>
        <w:t xml:space="preserve">OMM qui réalisent des observations, exploitent des modèles et fournissent des données aux utilisateurs. La </w:t>
      </w:r>
      <w:proofErr w:type="spellStart"/>
      <w:r w:rsidRPr="00332C60">
        <w:rPr>
          <w:rFonts w:eastAsia="SimSun" w:cs="Segoe UI"/>
          <w:lang w:val="fr-FR"/>
        </w:rPr>
        <w:t>VMM</w:t>
      </w:r>
      <w:proofErr w:type="spellEnd"/>
      <w:r w:rsidRPr="00332C60">
        <w:rPr>
          <w:rFonts w:eastAsia="SimSun" w:cs="Segoe UI"/>
          <w:lang w:val="fr-FR"/>
        </w:rPr>
        <w:t xml:space="preserve"> établit un cadre de collaboration pour ces pays (« infrastructure » dans la terminologie de l</w:t>
      </w:r>
      <w:r w:rsidR="003D6D77">
        <w:rPr>
          <w:rFonts w:eastAsia="SimSun" w:cs="Segoe UI"/>
          <w:lang w:val="fr-FR"/>
        </w:rPr>
        <w:t>’</w:t>
      </w:r>
      <w:r w:rsidRPr="00332C60">
        <w:rPr>
          <w:rFonts w:eastAsia="SimSun" w:cs="Segoe UI"/>
          <w:lang w:val="fr-FR"/>
        </w:rPr>
        <w:t>OMM), au sein duquel ses Membres exploitent les différentes composantes du système de manière à les compléter et à les exploiter mutuellement pour en tirer le meilleur parti possible. Sous les auspices de la Convention de l</w:t>
      </w:r>
      <w:r w:rsidR="003D6D77">
        <w:rPr>
          <w:rFonts w:eastAsia="SimSun" w:cs="Segoe UI"/>
          <w:lang w:val="fr-FR"/>
        </w:rPr>
        <w:t>’</w:t>
      </w:r>
      <w:r w:rsidRPr="00332C60">
        <w:rPr>
          <w:rFonts w:eastAsia="SimSun" w:cs="Segoe UI"/>
          <w:lang w:val="fr-FR"/>
        </w:rPr>
        <w:t>OMM, les Membres de l</w:t>
      </w:r>
      <w:r w:rsidR="003D6D77">
        <w:rPr>
          <w:rFonts w:eastAsia="SimSun" w:cs="Segoe UI"/>
          <w:lang w:val="fr-FR"/>
        </w:rPr>
        <w:t>’</w:t>
      </w:r>
      <w:r w:rsidRPr="00332C60">
        <w:rPr>
          <w:rFonts w:eastAsia="SimSun" w:cs="Segoe UI"/>
          <w:lang w:val="fr-FR"/>
        </w:rPr>
        <w:t>OMM (pays et territoires) ont défini les besoins en matière de systèmes d</w:t>
      </w:r>
      <w:r w:rsidR="003D6D77">
        <w:rPr>
          <w:rFonts w:eastAsia="SimSun" w:cs="Segoe UI"/>
          <w:lang w:val="fr-FR"/>
        </w:rPr>
        <w:t>’</w:t>
      </w:r>
      <w:r w:rsidRPr="00332C60">
        <w:rPr>
          <w:rFonts w:eastAsia="SimSun" w:cs="Segoe UI"/>
          <w:lang w:val="fr-FR"/>
        </w:rPr>
        <w:t>observation, d</w:t>
      </w:r>
      <w:r w:rsidR="003D6D77">
        <w:rPr>
          <w:rFonts w:eastAsia="SimSun" w:cs="Segoe UI"/>
          <w:lang w:val="fr-FR"/>
        </w:rPr>
        <w:t>’</w:t>
      </w:r>
      <w:r w:rsidRPr="00332C60">
        <w:rPr>
          <w:rFonts w:eastAsia="SimSun" w:cs="Segoe UI"/>
          <w:lang w:val="fr-FR"/>
        </w:rPr>
        <w:t>échange international de données, de modélisation mondiale et d</w:t>
      </w:r>
      <w:r w:rsidR="003D6D77">
        <w:rPr>
          <w:rFonts w:eastAsia="SimSun" w:cs="Segoe UI"/>
          <w:lang w:val="fr-FR"/>
        </w:rPr>
        <w:t>’</w:t>
      </w:r>
      <w:r w:rsidRPr="00332C60">
        <w:rPr>
          <w:rFonts w:eastAsia="SimSun" w:cs="Segoe UI"/>
          <w:lang w:val="fr-FR"/>
        </w:rPr>
        <w:t>assimilation, ainsi que de diffusion et de vérification des champs de modèles mondiaux. Les systèmes eux-mêmes sont exploités par les Membres de l</w:t>
      </w:r>
      <w:r w:rsidR="003D6D77">
        <w:rPr>
          <w:rFonts w:eastAsia="SimSun" w:cs="Segoe UI"/>
          <w:lang w:val="fr-FR"/>
        </w:rPr>
        <w:t>’</w:t>
      </w:r>
      <w:r w:rsidRPr="00332C60">
        <w:rPr>
          <w:rFonts w:eastAsia="SimSun" w:cs="Segoe UI"/>
          <w:lang w:val="fr-FR"/>
        </w:rPr>
        <w:t>OMM, soit individuellement, soit en tant que groupes de Membres. Ce paradigme doit être élargi pour englober de nombreuses autres institutions et parties prenantes au sein des pays Membres et à l</w:t>
      </w:r>
      <w:r w:rsidR="003D6D77">
        <w:rPr>
          <w:rFonts w:eastAsia="SimSun" w:cs="Segoe UI"/>
          <w:lang w:val="fr-FR"/>
        </w:rPr>
        <w:t>’</w:t>
      </w:r>
      <w:r w:rsidRPr="00332C60">
        <w:rPr>
          <w:rFonts w:eastAsia="SimSun" w:cs="Segoe UI"/>
          <w:lang w:val="fr-FR"/>
        </w:rPr>
        <w:t>échelle internationale afin de permettre la mise en œuvre complète de l</w:t>
      </w:r>
      <w:r w:rsidR="003D6D77">
        <w:rPr>
          <w:rFonts w:eastAsia="SimSun" w:cs="Segoe UI"/>
          <w:lang w:val="fr-FR"/>
        </w:rPr>
        <w:t>’</w:t>
      </w:r>
      <w:r w:rsidRPr="00332C60">
        <w:rPr>
          <w:rFonts w:eastAsia="SimSun" w:cs="Segoe UI"/>
          <w:lang w:val="fr-FR"/>
        </w:rPr>
        <w:t xml:space="preserve">infrastructure envisagée. </w:t>
      </w:r>
    </w:p>
    <w:p w14:paraId="260B0F86" w14:textId="6B0E72A1" w:rsidR="00945ED7" w:rsidRPr="00332C60" w:rsidRDefault="00945ED7" w:rsidP="00E1236E">
      <w:pPr>
        <w:pStyle w:val="WMOBodyText"/>
        <w:spacing w:after="240"/>
        <w:rPr>
          <w:rFonts w:eastAsia="SimSun" w:cs="Segoe UI"/>
          <w:lang w:val="fr-FR"/>
        </w:rPr>
      </w:pPr>
      <w:r w:rsidRPr="00332C60">
        <w:rPr>
          <w:rFonts w:eastAsia="SimSun" w:cs="Segoe UI"/>
          <w:lang w:val="fr-FR"/>
        </w:rPr>
        <w:t xml:space="preserve">Par analogie avec le rôle joué par la </w:t>
      </w:r>
      <w:proofErr w:type="spellStart"/>
      <w:r w:rsidRPr="00332C60">
        <w:rPr>
          <w:rFonts w:eastAsia="SimSun" w:cs="Segoe UI"/>
          <w:lang w:val="fr-FR"/>
        </w:rPr>
        <w:t>VMM</w:t>
      </w:r>
      <w:proofErr w:type="spellEnd"/>
      <w:r w:rsidRPr="00332C60">
        <w:rPr>
          <w:rFonts w:eastAsia="SimSun" w:cs="Segoe UI"/>
          <w:lang w:val="fr-FR"/>
        </w:rPr>
        <w:t xml:space="preserve"> dans la prévision numérique du temps, le rôle d</w:t>
      </w:r>
      <w:r w:rsidR="003D6D77">
        <w:rPr>
          <w:rFonts w:eastAsia="SimSun" w:cs="Segoe UI"/>
          <w:lang w:val="fr-FR"/>
        </w:rPr>
        <w:t>’</w:t>
      </w:r>
      <w:r w:rsidRPr="00332C60">
        <w:rPr>
          <w:rFonts w:eastAsia="SimSun" w:cs="Segoe UI"/>
          <w:lang w:val="fr-FR"/>
        </w:rPr>
        <w:t>une infrastructure commune de surveillance des gaz à effet de serre serait de mettre en place:</w:t>
      </w:r>
    </w:p>
    <w:p w14:paraId="115F486C" w14:textId="6D942DF6" w:rsidR="00945ED7" w:rsidRPr="00332C60" w:rsidRDefault="00945ED7">
      <w:pPr>
        <w:numPr>
          <w:ilvl w:val="0"/>
          <w:numId w:val="2"/>
        </w:numPr>
        <w:tabs>
          <w:tab w:val="clear" w:pos="1134"/>
        </w:tabs>
        <w:spacing w:after="120"/>
        <w:ind w:left="777" w:hanging="357"/>
        <w:jc w:val="left"/>
        <w:rPr>
          <w:rFonts w:eastAsia="Calibri" w:cs="Segoe UI"/>
          <w:lang w:val="fr-FR"/>
        </w:rPr>
      </w:pPr>
      <w:r w:rsidRPr="00332C60">
        <w:rPr>
          <w:rFonts w:eastAsia="Calibri" w:cs="Segoe UI"/>
          <w:lang w:val="fr-FR"/>
        </w:rPr>
        <w:t>Exigences relatives à un système intégré d</w:t>
      </w:r>
      <w:r w:rsidR="003D6D77">
        <w:rPr>
          <w:rFonts w:eastAsia="Calibri" w:cs="Segoe UI"/>
          <w:lang w:val="fr-FR"/>
        </w:rPr>
        <w:t>’</w:t>
      </w:r>
      <w:r w:rsidRPr="00332C60">
        <w:rPr>
          <w:rFonts w:eastAsia="Calibri" w:cs="Segoe UI"/>
          <w:lang w:val="fr-FR"/>
        </w:rPr>
        <w:t>observation en surface, à bord d</w:t>
      </w:r>
      <w:r w:rsidR="003D6D77">
        <w:rPr>
          <w:rFonts w:eastAsia="Calibri" w:cs="Segoe UI"/>
          <w:lang w:val="fr-FR"/>
        </w:rPr>
        <w:t>’</w:t>
      </w:r>
      <w:r w:rsidRPr="00332C60">
        <w:rPr>
          <w:rFonts w:eastAsia="Calibri" w:cs="Segoe UI"/>
          <w:lang w:val="fr-FR"/>
        </w:rPr>
        <w:t>aéronefs et de satellites.</w:t>
      </w:r>
    </w:p>
    <w:p w14:paraId="0F6A0851" w14:textId="21122A12" w:rsidR="00945ED7" w:rsidRPr="00332C60" w:rsidRDefault="00945ED7">
      <w:pPr>
        <w:numPr>
          <w:ilvl w:val="0"/>
          <w:numId w:val="2"/>
        </w:numPr>
        <w:tabs>
          <w:tab w:val="clear" w:pos="1134"/>
        </w:tabs>
        <w:spacing w:after="120"/>
        <w:ind w:left="777" w:hanging="357"/>
        <w:jc w:val="left"/>
        <w:rPr>
          <w:rFonts w:eastAsia="Calibri" w:cs="Segoe UI"/>
          <w:lang w:val="fr-FR"/>
        </w:rPr>
      </w:pPr>
      <w:r w:rsidRPr="00332C60">
        <w:rPr>
          <w:rFonts w:eastAsia="Calibri" w:cs="Segoe UI"/>
          <w:lang w:val="fr-FR"/>
        </w:rPr>
        <w:t>Conception d</w:t>
      </w:r>
      <w:r w:rsidR="003D6D77">
        <w:rPr>
          <w:rFonts w:eastAsia="Calibri" w:cs="Segoe UI"/>
          <w:lang w:val="fr-FR"/>
        </w:rPr>
        <w:t>’</w:t>
      </w:r>
      <w:r w:rsidRPr="00332C60">
        <w:rPr>
          <w:rFonts w:eastAsia="Calibri" w:cs="Segoe UI"/>
          <w:lang w:val="fr-FR"/>
        </w:rPr>
        <w:t>un vaste système d</w:t>
      </w:r>
      <w:r w:rsidR="003D6D77">
        <w:rPr>
          <w:rFonts w:eastAsia="Calibri" w:cs="Segoe UI"/>
          <w:lang w:val="fr-FR"/>
        </w:rPr>
        <w:t>’</w:t>
      </w:r>
      <w:r w:rsidRPr="00332C60">
        <w:rPr>
          <w:rFonts w:eastAsia="Calibri" w:cs="Segoe UI"/>
          <w:lang w:val="fr-FR"/>
        </w:rPr>
        <w:t>observation en surface et des besoins nationaux en matière d</w:t>
      </w:r>
      <w:r w:rsidR="003D6D77">
        <w:rPr>
          <w:rFonts w:eastAsia="Calibri" w:cs="Segoe UI"/>
          <w:lang w:val="fr-FR"/>
        </w:rPr>
        <w:t>’</w:t>
      </w:r>
      <w:r w:rsidRPr="00332C60">
        <w:rPr>
          <w:rFonts w:eastAsia="Calibri" w:cs="Segoe UI"/>
          <w:lang w:val="fr-FR"/>
        </w:rPr>
        <w:t>observation, conformément au Réseau d</w:t>
      </w:r>
      <w:r w:rsidR="003D6D77">
        <w:rPr>
          <w:rFonts w:eastAsia="Calibri" w:cs="Segoe UI"/>
          <w:lang w:val="fr-FR"/>
        </w:rPr>
        <w:t>’</w:t>
      </w:r>
      <w:r w:rsidRPr="00332C60">
        <w:rPr>
          <w:rFonts w:eastAsia="Calibri" w:cs="Segoe UI"/>
          <w:lang w:val="fr-FR"/>
        </w:rPr>
        <w:t>observation de base mondial de l</w:t>
      </w:r>
      <w:r w:rsidR="003D6D77">
        <w:rPr>
          <w:rFonts w:eastAsia="Calibri" w:cs="Segoe UI"/>
          <w:lang w:val="fr-FR"/>
        </w:rPr>
        <w:t>’</w:t>
      </w:r>
      <w:r w:rsidRPr="00332C60">
        <w:rPr>
          <w:rFonts w:eastAsia="Calibri" w:cs="Segoe UI"/>
          <w:lang w:val="fr-FR"/>
        </w:rPr>
        <w:t>OMM (</w:t>
      </w:r>
      <w:proofErr w:type="spellStart"/>
      <w:r w:rsidRPr="00332C60">
        <w:rPr>
          <w:rFonts w:eastAsia="Calibri" w:cs="Segoe UI"/>
          <w:lang w:val="fr-FR"/>
        </w:rPr>
        <w:t>ROBM</w:t>
      </w:r>
      <w:proofErr w:type="spellEnd"/>
      <w:r w:rsidRPr="00332C60">
        <w:rPr>
          <w:rFonts w:eastAsia="Calibri" w:cs="Segoe UI"/>
          <w:lang w:val="fr-FR"/>
        </w:rPr>
        <w:t>), accompagné d</w:t>
      </w:r>
      <w:r w:rsidR="003D6D77">
        <w:rPr>
          <w:rFonts w:eastAsia="Calibri" w:cs="Segoe UI"/>
          <w:lang w:val="fr-FR"/>
        </w:rPr>
        <w:t>’</w:t>
      </w:r>
      <w:r w:rsidRPr="00332C60">
        <w:rPr>
          <w:rFonts w:eastAsia="Calibri" w:cs="Segoe UI"/>
          <w:lang w:val="fr-FR"/>
        </w:rPr>
        <w:t>un mécanisme de financement de la mise en œuvre et de l</w:t>
      </w:r>
      <w:r w:rsidR="003D6D77">
        <w:rPr>
          <w:rFonts w:eastAsia="Calibri" w:cs="Segoe UI"/>
          <w:lang w:val="fr-FR"/>
        </w:rPr>
        <w:t>’</w:t>
      </w:r>
      <w:r w:rsidRPr="00332C60">
        <w:rPr>
          <w:rFonts w:eastAsia="Calibri" w:cs="Segoe UI"/>
          <w:lang w:val="fr-FR"/>
        </w:rPr>
        <w:t>exploitation dans les pays en développement, conformément au Mécanisme de financement des observations systématiques (</w:t>
      </w:r>
      <w:proofErr w:type="spellStart"/>
      <w:r w:rsidRPr="00332C60">
        <w:rPr>
          <w:rFonts w:eastAsia="Calibri" w:cs="Segoe UI"/>
          <w:lang w:val="fr-FR"/>
        </w:rPr>
        <w:t>SOFF</w:t>
      </w:r>
      <w:proofErr w:type="spellEnd"/>
      <w:r w:rsidRPr="00332C60">
        <w:rPr>
          <w:rFonts w:eastAsia="Calibri" w:cs="Segoe UI"/>
          <w:lang w:val="fr-FR"/>
        </w:rPr>
        <w:t>);</w:t>
      </w:r>
    </w:p>
    <w:p w14:paraId="71CDBDED" w14:textId="27CB7D5C" w:rsidR="00945ED7" w:rsidRPr="00332C60" w:rsidRDefault="00945ED7">
      <w:pPr>
        <w:numPr>
          <w:ilvl w:val="0"/>
          <w:numId w:val="2"/>
        </w:numPr>
        <w:tabs>
          <w:tab w:val="clear" w:pos="1134"/>
        </w:tabs>
        <w:spacing w:after="120"/>
        <w:ind w:left="777" w:hanging="357"/>
        <w:jc w:val="left"/>
        <w:rPr>
          <w:rFonts w:eastAsia="Calibri" w:cs="Segoe UI"/>
          <w:i/>
          <w:iCs/>
          <w:lang w:val="fr-FR"/>
        </w:rPr>
      </w:pPr>
      <w:r w:rsidRPr="00332C60">
        <w:rPr>
          <w:rFonts w:eastAsia="Calibri" w:cs="Segoe UI"/>
          <w:lang w:val="fr-FR"/>
        </w:rPr>
        <w:t>Amélioration et rapidité de l</w:t>
      </w:r>
      <w:r w:rsidR="003D6D77">
        <w:rPr>
          <w:rFonts w:eastAsia="Calibri" w:cs="Segoe UI"/>
          <w:lang w:val="fr-FR"/>
        </w:rPr>
        <w:t>’</w:t>
      </w:r>
      <w:r w:rsidRPr="00332C60">
        <w:rPr>
          <w:rFonts w:eastAsia="Calibri" w:cs="Segoe UI"/>
          <w:lang w:val="fr-FR"/>
        </w:rPr>
        <w:t>échange de toutes les observations satellitaires, d</w:t>
      </w:r>
      <w:r w:rsidR="003D6D77">
        <w:rPr>
          <w:rFonts w:eastAsia="Calibri" w:cs="Segoe UI"/>
          <w:lang w:val="fr-FR"/>
        </w:rPr>
        <w:t>’</w:t>
      </w:r>
      <w:r w:rsidRPr="00332C60">
        <w:rPr>
          <w:rFonts w:eastAsia="Calibri" w:cs="Segoe UI"/>
          <w:lang w:val="fr-FR"/>
        </w:rPr>
        <w:t>aéronefs et de gaz à effet de serre en surface, y compris la planification coordonnée des futurs systèmes d</w:t>
      </w:r>
      <w:r w:rsidR="003D6D77">
        <w:rPr>
          <w:rFonts w:eastAsia="Calibri" w:cs="Segoe UI"/>
          <w:lang w:val="fr-FR"/>
        </w:rPr>
        <w:t>’</w:t>
      </w:r>
      <w:r w:rsidRPr="00332C60">
        <w:rPr>
          <w:rFonts w:eastAsia="Calibri" w:cs="Segoe UI"/>
          <w:lang w:val="fr-FR"/>
        </w:rPr>
        <w:t>observation par satellite;</w:t>
      </w:r>
    </w:p>
    <w:p w14:paraId="7CFC1745" w14:textId="2499EB2F" w:rsidR="00945ED7" w:rsidRPr="00332C60" w:rsidRDefault="00945ED7">
      <w:pPr>
        <w:numPr>
          <w:ilvl w:val="0"/>
          <w:numId w:val="2"/>
        </w:numPr>
        <w:tabs>
          <w:tab w:val="clear" w:pos="1134"/>
        </w:tabs>
        <w:spacing w:after="120"/>
        <w:ind w:left="777" w:hanging="357"/>
        <w:jc w:val="left"/>
        <w:rPr>
          <w:rFonts w:eastAsia="Calibri" w:cs="Segoe UI"/>
          <w:lang w:val="fr-FR"/>
        </w:rPr>
      </w:pPr>
      <w:r w:rsidRPr="00332C60">
        <w:rPr>
          <w:rFonts w:eastAsia="Calibri" w:cs="Segoe UI"/>
          <w:lang w:val="fr-FR"/>
        </w:rPr>
        <w:t>Collaboration sur les méthodes et pratiques communes de modélisation et d</w:t>
      </w:r>
      <w:r w:rsidR="003D6D77">
        <w:rPr>
          <w:rFonts w:eastAsia="Calibri" w:cs="Segoe UI"/>
          <w:lang w:val="fr-FR"/>
        </w:rPr>
        <w:t>’</w:t>
      </w:r>
      <w:r w:rsidRPr="00332C60">
        <w:rPr>
          <w:rFonts w:eastAsia="Calibri" w:cs="Segoe UI"/>
          <w:lang w:val="fr-FR"/>
        </w:rPr>
        <w:t>assimilation des données relatives aux GES;</w:t>
      </w:r>
    </w:p>
    <w:p w14:paraId="6E159ABD" w14:textId="18ABA46B" w:rsidR="00945ED7" w:rsidRPr="00332C60" w:rsidRDefault="00945ED7">
      <w:pPr>
        <w:numPr>
          <w:ilvl w:val="0"/>
          <w:numId w:val="2"/>
        </w:numPr>
        <w:tabs>
          <w:tab w:val="clear" w:pos="1134"/>
        </w:tabs>
        <w:spacing w:after="120"/>
        <w:ind w:left="777" w:hanging="357"/>
        <w:jc w:val="left"/>
        <w:rPr>
          <w:rFonts w:eastAsia="Calibri" w:cs="Segoe UI"/>
          <w:lang w:val="fr-FR"/>
        </w:rPr>
      </w:pPr>
      <w:r w:rsidRPr="00332C60">
        <w:rPr>
          <w:rFonts w:eastAsia="Calibri" w:cs="Segoe UI"/>
          <w:lang w:val="fr-FR"/>
        </w:rPr>
        <w:t>Formats de fichiers communs et pratiques d</w:t>
      </w:r>
      <w:r w:rsidR="003D6D77">
        <w:rPr>
          <w:rFonts w:eastAsia="Calibri" w:cs="Segoe UI"/>
          <w:lang w:val="fr-FR"/>
        </w:rPr>
        <w:t>’</w:t>
      </w:r>
      <w:r w:rsidRPr="00332C60">
        <w:rPr>
          <w:rFonts w:eastAsia="Calibri" w:cs="Segoe UI"/>
          <w:lang w:val="fr-FR"/>
        </w:rPr>
        <w:t>échange de champs de modèles;</w:t>
      </w:r>
    </w:p>
    <w:p w14:paraId="4DDE3B6C" w14:textId="77777777" w:rsidR="00945ED7" w:rsidRPr="00332C60" w:rsidRDefault="00945ED7">
      <w:pPr>
        <w:numPr>
          <w:ilvl w:val="0"/>
          <w:numId w:val="2"/>
        </w:numPr>
        <w:tabs>
          <w:tab w:val="clear" w:pos="1134"/>
        </w:tabs>
        <w:spacing w:after="120"/>
        <w:ind w:left="777" w:hanging="357"/>
        <w:jc w:val="left"/>
        <w:rPr>
          <w:rFonts w:eastAsia="Calibri" w:cs="Segoe UI"/>
          <w:lang w:val="fr-FR"/>
        </w:rPr>
      </w:pPr>
      <w:r w:rsidRPr="00332C60">
        <w:rPr>
          <w:rFonts w:eastAsia="Calibri" w:cs="Segoe UI"/>
          <w:lang w:val="fr-FR"/>
        </w:rPr>
        <w:t>Méthodes communes de vérification et de validation;</w:t>
      </w:r>
    </w:p>
    <w:p w14:paraId="619A7453" w14:textId="77777777" w:rsidR="00945ED7" w:rsidRPr="00332C60" w:rsidRDefault="00945ED7">
      <w:pPr>
        <w:numPr>
          <w:ilvl w:val="0"/>
          <w:numId w:val="2"/>
        </w:numPr>
        <w:tabs>
          <w:tab w:val="clear" w:pos="1134"/>
        </w:tabs>
        <w:spacing w:after="120"/>
        <w:ind w:left="777" w:hanging="357"/>
        <w:jc w:val="left"/>
        <w:rPr>
          <w:rFonts w:eastAsia="Calibri" w:cs="Segoe UI"/>
          <w:lang w:val="fr-FR"/>
        </w:rPr>
      </w:pPr>
      <w:r w:rsidRPr="00332C60">
        <w:rPr>
          <w:rFonts w:eastAsia="Calibri" w:cs="Segoe UI"/>
          <w:lang w:val="fr-FR"/>
        </w:rPr>
        <w:t>Orientations communes sur les méthodes de post-traitement et de diffusion descendante.</w:t>
      </w:r>
    </w:p>
    <w:p w14:paraId="6E2F2C42" w14:textId="37DA950B" w:rsidR="00945ED7" w:rsidRPr="00332C60" w:rsidRDefault="00945ED7" w:rsidP="00333510">
      <w:pPr>
        <w:pStyle w:val="WMOBodyText"/>
        <w:rPr>
          <w:rFonts w:eastAsia="SimSun" w:cs="Segoe UI"/>
          <w:lang w:val="fr-FR"/>
        </w:rPr>
      </w:pPr>
      <w:r w:rsidRPr="00332C60">
        <w:rPr>
          <w:rFonts w:eastAsia="SimSun" w:cs="Segoe UI"/>
          <w:lang w:val="fr-FR"/>
        </w:rPr>
        <w:t xml:space="preserve">La </w:t>
      </w:r>
      <w:proofErr w:type="spellStart"/>
      <w:r w:rsidRPr="00332C60">
        <w:rPr>
          <w:rFonts w:eastAsia="SimSun" w:cs="Segoe UI"/>
          <w:lang w:val="fr-FR"/>
        </w:rPr>
        <w:t>VMM</w:t>
      </w:r>
      <w:proofErr w:type="spellEnd"/>
      <w:r w:rsidRPr="00332C60">
        <w:rPr>
          <w:rFonts w:eastAsia="SimSun" w:cs="Segoe UI"/>
          <w:lang w:val="fr-FR"/>
        </w:rPr>
        <w:t xml:space="preserve"> ne produit ni ne diffuse des prévisions météorologiques, et de même il ne sera pas le rôle de l</w:t>
      </w:r>
      <w:r w:rsidR="003D6D77">
        <w:rPr>
          <w:rFonts w:eastAsia="SimSun" w:cs="Segoe UI"/>
          <w:lang w:val="fr-FR"/>
        </w:rPr>
        <w:t>’</w:t>
      </w:r>
      <w:r w:rsidRPr="00332C60">
        <w:rPr>
          <w:rFonts w:eastAsia="SimSun" w:cs="Segoe UI"/>
          <w:lang w:val="fr-FR"/>
        </w:rPr>
        <w:t>infrastructure de surveillance des GAZ À EFFET DE SERRE de l</w:t>
      </w:r>
      <w:r w:rsidR="003D6D77">
        <w:rPr>
          <w:rFonts w:eastAsia="SimSun" w:cs="Segoe UI"/>
          <w:lang w:val="fr-FR"/>
        </w:rPr>
        <w:t>’</w:t>
      </w:r>
      <w:r w:rsidRPr="00332C60">
        <w:rPr>
          <w:rFonts w:eastAsia="SimSun" w:cs="Segoe UI"/>
          <w:lang w:val="fr-FR"/>
        </w:rPr>
        <w:t>OMM pour fournir directement des estimations ou des vérifications des émissions anthropiques. Il s</w:t>
      </w:r>
      <w:r w:rsidR="003D6D77">
        <w:rPr>
          <w:rFonts w:eastAsia="SimSun" w:cs="Segoe UI"/>
          <w:lang w:val="fr-FR"/>
        </w:rPr>
        <w:t>’</w:t>
      </w:r>
      <w:r w:rsidRPr="00332C60">
        <w:rPr>
          <w:rFonts w:eastAsia="SimSun" w:cs="Segoe UI"/>
          <w:lang w:val="fr-FR"/>
        </w:rPr>
        <w:t>agit de la compétence de chaque Partie à l</w:t>
      </w:r>
      <w:r w:rsidR="003D6D77">
        <w:rPr>
          <w:rFonts w:eastAsia="SimSun" w:cs="Segoe UI"/>
          <w:lang w:val="fr-FR"/>
        </w:rPr>
        <w:t>’</w:t>
      </w:r>
      <w:r w:rsidRPr="00332C60">
        <w:rPr>
          <w:rFonts w:eastAsia="SimSun" w:cs="Segoe UI"/>
          <w:lang w:val="fr-FR"/>
        </w:rPr>
        <w:t>Accord de Paris, aidée au besoin par des systèmes ciblés tels qu</w:t>
      </w:r>
      <w:r w:rsidR="003D6D77">
        <w:rPr>
          <w:rFonts w:eastAsia="SimSun" w:cs="Segoe UI"/>
          <w:lang w:val="fr-FR"/>
        </w:rPr>
        <w:t>’</w:t>
      </w:r>
      <w:proofErr w:type="spellStart"/>
      <w:r w:rsidRPr="00332C60">
        <w:rPr>
          <w:rFonts w:eastAsia="SimSun" w:cs="Segoe UI"/>
          <w:lang w:val="fr-FR"/>
        </w:rPr>
        <w:t>IG3IS</w:t>
      </w:r>
      <w:proofErr w:type="spellEnd"/>
      <w:r w:rsidRPr="00332C60">
        <w:rPr>
          <w:rFonts w:eastAsia="SimSun" w:cs="Segoe UI"/>
          <w:lang w:val="fr-FR"/>
        </w:rPr>
        <w:t xml:space="preserve"> ou élaborés dans le cadre du programme </w:t>
      </w:r>
      <w:proofErr w:type="spellStart"/>
      <w:r w:rsidRPr="00332C60">
        <w:rPr>
          <w:rFonts w:eastAsia="SimSun" w:cs="Segoe UI"/>
          <w:lang w:val="fr-FR"/>
        </w:rPr>
        <w:t>Copernicus</w:t>
      </w:r>
      <w:proofErr w:type="spellEnd"/>
      <w:r w:rsidRPr="00332C60">
        <w:rPr>
          <w:rFonts w:eastAsia="SimSun" w:cs="Segoe UI"/>
          <w:lang w:val="fr-FR"/>
        </w:rPr>
        <w:t>.</w:t>
      </w:r>
    </w:p>
    <w:p w14:paraId="22C1C1E9" w14:textId="77777777" w:rsidR="00945ED7" w:rsidRPr="00945ED7" w:rsidRDefault="00945ED7" w:rsidP="007803F7">
      <w:pPr>
        <w:pStyle w:val="Heading3"/>
        <w:numPr>
          <w:ilvl w:val="0"/>
          <w:numId w:val="1"/>
        </w:numPr>
        <w:ind w:left="0" w:firstLine="0"/>
        <w:rPr>
          <w:b w:val="0"/>
          <w:bCs w:val="0"/>
        </w:rPr>
      </w:pPr>
      <w:proofErr w:type="spellStart"/>
      <w:r w:rsidRPr="00945ED7">
        <w:t>Prochaines</w:t>
      </w:r>
      <w:proofErr w:type="spellEnd"/>
      <w:r w:rsidRPr="00945ED7">
        <w:t xml:space="preserve"> étapes</w:t>
      </w:r>
    </w:p>
    <w:p w14:paraId="7E38CAB4" w14:textId="086E0B67" w:rsidR="00945ED7" w:rsidRPr="00332C60" w:rsidRDefault="00945ED7" w:rsidP="00333510">
      <w:pPr>
        <w:pStyle w:val="WMOBodyText"/>
        <w:rPr>
          <w:rFonts w:eastAsia="SimSun" w:cs="Segoe UI"/>
          <w:lang w:val="fr-FR"/>
        </w:rPr>
      </w:pPr>
      <w:r w:rsidRPr="00332C60">
        <w:rPr>
          <w:rFonts w:eastAsia="SimSun" w:cs="Segoe UI"/>
          <w:lang w:val="fr-FR"/>
        </w:rPr>
        <w:t>À ce stade (septembre 2022), le Conseil exécutif de l</w:t>
      </w:r>
      <w:r w:rsidR="003D6D77">
        <w:rPr>
          <w:rFonts w:eastAsia="SimSun" w:cs="Segoe UI"/>
          <w:lang w:val="fr-FR"/>
        </w:rPr>
        <w:t>’</w:t>
      </w:r>
      <w:r w:rsidRPr="00332C60">
        <w:rPr>
          <w:rFonts w:eastAsia="SimSun" w:cs="Segoe UI"/>
          <w:lang w:val="fr-FR"/>
        </w:rPr>
        <w:t>OMM a lancé une étude approfondie pour faire progresser cette infrastructure mondiale coordonnée par l</w:t>
      </w:r>
      <w:r w:rsidR="003D6D77">
        <w:rPr>
          <w:rFonts w:eastAsia="SimSun" w:cs="Segoe UI"/>
          <w:lang w:val="fr-FR"/>
        </w:rPr>
        <w:t>’</w:t>
      </w:r>
      <w:r w:rsidRPr="00332C60">
        <w:rPr>
          <w:rFonts w:eastAsia="SimSun" w:cs="Segoe UI"/>
          <w:lang w:val="fr-FR"/>
        </w:rPr>
        <w:t>OMM pour la surveillance des gaz à effet de serre. Un vaste Groupe d</w:t>
      </w:r>
      <w:r w:rsidR="003D6D77">
        <w:rPr>
          <w:rFonts w:eastAsia="SimSun" w:cs="Segoe UI"/>
          <w:lang w:val="fr-FR"/>
        </w:rPr>
        <w:t>’</w:t>
      </w:r>
      <w:r w:rsidRPr="00332C60">
        <w:rPr>
          <w:rFonts w:eastAsia="SimSun" w:cs="Segoe UI"/>
          <w:lang w:val="fr-FR"/>
        </w:rPr>
        <w:t>étude mixte a été chargé d</w:t>
      </w:r>
      <w:r w:rsidR="003D6D77">
        <w:rPr>
          <w:rFonts w:eastAsia="SimSun" w:cs="Segoe UI"/>
          <w:lang w:val="fr-FR"/>
        </w:rPr>
        <w:t>’</w:t>
      </w:r>
      <w:r w:rsidRPr="00332C60">
        <w:rPr>
          <w:rFonts w:eastAsia="SimSun" w:cs="Segoe UI"/>
          <w:lang w:val="fr-FR"/>
        </w:rPr>
        <w:t xml:space="preserve">élaborer son concept et de soumettre une architecture proposée au Dix-neuvième Congrès météorologique mondial en mai 2023. </w:t>
      </w:r>
    </w:p>
    <w:p w14:paraId="63C54B08" w14:textId="54DA7826" w:rsidR="00945ED7" w:rsidRPr="00332C60" w:rsidRDefault="00945ED7" w:rsidP="00333510">
      <w:pPr>
        <w:pStyle w:val="WMOBodyText"/>
        <w:rPr>
          <w:rFonts w:eastAsia="SimSun" w:cs="Segoe UI"/>
          <w:lang w:val="fr-FR"/>
        </w:rPr>
      </w:pPr>
      <w:r w:rsidRPr="00332C60">
        <w:rPr>
          <w:rFonts w:eastAsia="SimSun" w:cs="Segoe UI"/>
          <w:lang w:val="fr-FR"/>
        </w:rPr>
        <w:t>Parallèlement, l</w:t>
      </w:r>
      <w:r w:rsidR="003D6D77">
        <w:rPr>
          <w:rFonts w:eastAsia="SimSun" w:cs="Segoe UI"/>
          <w:lang w:val="fr-FR"/>
        </w:rPr>
        <w:t>’</w:t>
      </w:r>
      <w:r w:rsidRPr="00332C60">
        <w:rPr>
          <w:rFonts w:eastAsia="SimSun" w:cs="Segoe UI"/>
          <w:lang w:val="fr-FR"/>
        </w:rPr>
        <w:t>OMM collabore avec l</w:t>
      </w:r>
      <w:r w:rsidR="003D6D77">
        <w:rPr>
          <w:rFonts w:eastAsia="SimSun" w:cs="Segoe UI"/>
          <w:lang w:val="fr-FR"/>
        </w:rPr>
        <w:t>’</w:t>
      </w:r>
      <w:r w:rsidRPr="00332C60">
        <w:rPr>
          <w:rFonts w:eastAsia="SimSun" w:cs="Segoe UI"/>
          <w:lang w:val="fr-FR"/>
        </w:rPr>
        <w:t>ensemble des acteurs de la surveillance des gaz à effet de serre pour veiller à ce que ce développement soit pris en compte par les diverses entités qui développent déjà activement ses principales composantes (voir la section 4).</w:t>
      </w:r>
    </w:p>
    <w:p w14:paraId="22DC64A0" w14:textId="7F7F5D9D" w:rsidR="00945ED7" w:rsidRPr="00F81073" w:rsidRDefault="00945ED7" w:rsidP="00333510">
      <w:pPr>
        <w:pStyle w:val="WMOBodyText"/>
        <w:rPr>
          <w:rFonts w:eastAsia="SimSun" w:cs="Segoe UI"/>
          <w:u w:val="single"/>
          <w:lang w:val="en-CH"/>
        </w:rPr>
      </w:pPr>
      <w:r w:rsidRPr="00332C60">
        <w:rPr>
          <w:rFonts w:eastAsia="SimSun" w:cs="Segoe UI"/>
          <w:u w:val="single"/>
          <w:lang w:val="fr-FR"/>
        </w:rPr>
        <w:lastRenderedPageBreak/>
        <w:t xml:space="preserve">On trouvera de plus amples informations sur le développement de cette infrastructure mondiale de surveillance des gaz à effet de serre sur le </w:t>
      </w:r>
      <w:hyperlink r:id="rId12" w:history="1">
        <w:r w:rsidR="00C63357" w:rsidRPr="00332C60">
          <w:rPr>
            <w:rStyle w:val="Hyperlink"/>
            <w:rFonts w:eastAsia="SimSun" w:cs="Segoe UI"/>
            <w:lang w:val="fr-FR"/>
          </w:rPr>
          <w:t>site Web</w:t>
        </w:r>
      </w:hyperlink>
      <w:r w:rsidR="00C63357" w:rsidRPr="00332C60">
        <w:rPr>
          <w:rFonts w:eastAsia="SimSun" w:cs="Segoe UI"/>
          <w:color w:val="0563C1"/>
          <w:lang w:val="fr-FR"/>
        </w:rPr>
        <w:t>.</w:t>
      </w:r>
    </w:p>
    <w:p w14:paraId="31DCB856" w14:textId="77777777" w:rsidR="00403446" w:rsidRPr="00332C60" w:rsidRDefault="00403446" w:rsidP="00403446">
      <w:pPr>
        <w:pStyle w:val="WMOBodyText"/>
        <w:spacing w:before="0"/>
        <w:rPr>
          <w:rFonts w:eastAsia="SimSun" w:cs="Segoe UI"/>
          <w:u w:val="single"/>
          <w:lang w:val="fr-FR"/>
        </w:rPr>
      </w:pPr>
    </w:p>
    <w:p w14:paraId="71814761" w14:textId="6FD11C7C" w:rsidR="00217243" w:rsidRPr="00217243" w:rsidRDefault="00217243" w:rsidP="00217243">
      <w:pPr>
        <w:pStyle w:val="WMOBodyText"/>
        <w:jc w:val="center"/>
        <w:rPr>
          <w:lang w:val="en-CH" w:eastAsia="en-US"/>
        </w:rPr>
      </w:pPr>
      <w:r>
        <w:t>_______________</w:t>
      </w:r>
    </w:p>
    <w:sectPr w:rsidR="00217243" w:rsidRPr="00217243" w:rsidSect="0020095E">
      <w:headerReference w:type="even" r:id="rId13"/>
      <w:headerReference w:type="default" r:id="rId14"/>
      <w:headerReference w:type="first" r:id="rId1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18429" w14:textId="77777777" w:rsidR="00502005" w:rsidRDefault="00502005">
      <w:r>
        <w:separator/>
      </w:r>
    </w:p>
    <w:p w14:paraId="5997D4FC" w14:textId="77777777" w:rsidR="00502005" w:rsidRDefault="00502005"/>
    <w:p w14:paraId="30D2BB50" w14:textId="77777777" w:rsidR="00502005" w:rsidRDefault="00502005"/>
  </w:endnote>
  <w:endnote w:type="continuationSeparator" w:id="0">
    <w:p w14:paraId="0F6378C7" w14:textId="77777777" w:rsidR="00502005" w:rsidRDefault="00502005">
      <w:r>
        <w:continuationSeparator/>
      </w:r>
    </w:p>
    <w:p w14:paraId="761D20B0" w14:textId="77777777" w:rsidR="00502005" w:rsidRDefault="00502005"/>
    <w:p w14:paraId="567BFB32" w14:textId="77777777" w:rsidR="00502005" w:rsidRDefault="00502005"/>
  </w:endnote>
  <w:endnote w:type="continuationNotice" w:id="1">
    <w:p w14:paraId="2A02D03A" w14:textId="77777777" w:rsidR="00502005" w:rsidRDefault="005020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1DDCB" w14:textId="77777777" w:rsidR="00502005" w:rsidRDefault="00502005">
      <w:r>
        <w:separator/>
      </w:r>
    </w:p>
  </w:footnote>
  <w:footnote w:type="continuationSeparator" w:id="0">
    <w:p w14:paraId="5840CB3B" w14:textId="77777777" w:rsidR="00502005" w:rsidRDefault="00502005">
      <w:r>
        <w:continuationSeparator/>
      </w:r>
    </w:p>
    <w:p w14:paraId="48C18A6C" w14:textId="77777777" w:rsidR="00502005" w:rsidRDefault="00502005"/>
    <w:p w14:paraId="43E831F8" w14:textId="77777777" w:rsidR="00502005" w:rsidRDefault="00502005"/>
  </w:footnote>
  <w:footnote w:type="continuationNotice" w:id="1">
    <w:p w14:paraId="326673BC" w14:textId="77777777" w:rsidR="00502005" w:rsidRDefault="005020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D684" w14:textId="77777777" w:rsidR="008C60D7" w:rsidRDefault="00C763C0">
    <w:pPr>
      <w:pStyle w:val="Header"/>
    </w:pPr>
    <w:r>
      <w:rPr>
        <w:noProof/>
      </w:rPr>
      <w:pict w14:anchorId="392E0D4A">
        <v:shapetype id="_x0000_m10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6C0A587">
        <v:shape id="_x0000_s1025" type="#_x0000_m1044"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646621D" w14:textId="77777777" w:rsidR="009E7131" w:rsidRDefault="009E7131"/>
  <w:p w14:paraId="152EDC69" w14:textId="77777777" w:rsidR="008C60D7" w:rsidRDefault="00C763C0">
    <w:pPr>
      <w:pStyle w:val="Header"/>
    </w:pPr>
    <w:r>
      <w:rPr>
        <w:noProof/>
      </w:rPr>
      <w:pict w14:anchorId="179AF720">
        <v:shapetype id="_x0000_m10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F073A41">
        <v:shape id="_x0000_s1027" type="#_x0000_m1043"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1CA74DF" w14:textId="77777777" w:rsidR="009E7131" w:rsidRDefault="009E7131"/>
  <w:p w14:paraId="0EF268DB" w14:textId="77777777" w:rsidR="008C60D7" w:rsidRDefault="00C763C0">
    <w:pPr>
      <w:pStyle w:val="Header"/>
    </w:pPr>
    <w:r>
      <w:rPr>
        <w:noProof/>
      </w:rPr>
      <w:pict w14:anchorId="435288DC">
        <v:shapetype id="_x0000_m10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0593112">
        <v:shape id="_x0000_s1029" type="#_x0000_m1042"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7D20B" w14:textId="45C4873C" w:rsidR="00A432CD" w:rsidRDefault="00A432CD" w:rsidP="00B72444">
    <w:pPr>
      <w:pStyle w:val="Header"/>
    </w:pPr>
    <w:proofErr w:type="spellStart"/>
    <w:r w:rsidRPr="00C2459D">
      <w:t>INFCOM</w:t>
    </w:r>
    <w:proofErr w:type="spellEnd"/>
    <w:r w:rsidRPr="00C2459D">
      <w:t xml:space="preserve">-2/INF. 4.2,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C763C0">
      <w:pict w14:anchorId="08BC4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6192;visibility:hidden;mso-position-horizontal-relative:text;mso-position-vertical-relative:text">
          <v:path gradientshapeok="f"/>
          <o:lock v:ext="edit" selection="t"/>
        </v:shape>
      </w:pict>
    </w:r>
    <w:r w:rsidR="00C763C0">
      <w:pict w14:anchorId="5E305CE3">
        <v:shape id="_x0000_s1040"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9EAC" w14:textId="03BC4502" w:rsidR="008C60D7" w:rsidRDefault="00C763C0" w:rsidP="00501705">
    <w:pPr>
      <w:pStyle w:val="Header"/>
      <w:spacing w:after="0"/>
      <w:jc w:val="left"/>
    </w:pPr>
    <w:r>
      <w:pict w14:anchorId="3D955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0;margin-top:0;width:50pt;height:50pt;z-index:251658240;visibility:hidden">
          <v:path gradientshapeok="f"/>
          <o:lock v:ext="edit" selection="t"/>
        </v:shape>
      </w:pict>
    </w:r>
    <w:r>
      <w:pict w14:anchorId="137ACAB6">
        <v:shape id="_x0000_s1038" type="#_x0000_t75" style="position:absolute;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E0468"/>
    <w:multiLevelType w:val="hybridMultilevel"/>
    <w:tmpl w:val="8E0E375C"/>
    <w:lvl w:ilvl="0" w:tplc="27A41786">
      <w:start w:val="1"/>
      <w:numFmt w:val="decimal"/>
      <w:lvlText w:val="%1."/>
      <w:lvlJc w:val="left"/>
      <w:pPr>
        <w:ind w:left="360" w:hanging="360"/>
      </w:pPr>
      <w:rPr>
        <w:b/>
        <w:bCs/>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1309FC0">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D2476B6"/>
    <w:multiLevelType w:val="hybridMultilevel"/>
    <w:tmpl w:val="AF24759C"/>
    <w:lvl w:ilvl="0" w:tplc="70200FB6">
      <w:start w:val="1"/>
      <w:numFmt w:val="bullet"/>
      <w:lvlText w:val=""/>
      <w:lvlJc w:val="left"/>
      <w:pPr>
        <w:ind w:left="720" w:hanging="360"/>
      </w:pPr>
      <w:rPr>
        <w:rFonts w:ascii="Symbol" w:hAnsi="Symbol" w:hint="default"/>
      </w:rPr>
    </w:lvl>
    <w:lvl w:ilvl="1" w:tplc="26447052">
      <w:start w:val="1"/>
      <w:numFmt w:val="bullet"/>
      <w:lvlText w:val="o"/>
      <w:lvlJc w:val="left"/>
      <w:pPr>
        <w:ind w:left="1440" w:hanging="360"/>
      </w:pPr>
      <w:rPr>
        <w:rFonts w:ascii="Courier New" w:hAnsi="Courier New" w:hint="default"/>
      </w:rPr>
    </w:lvl>
    <w:lvl w:ilvl="2" w:tplc="88F4701A">
      <w:start w:val="1"/>
      <w:numFmt w:val="bullet"/>
      <w:lvlText w:val=""/>
      <w:lvlJc w:val="left"/>
      <w:pPr>
        <w:ind w:left="2160" w:hanging="360"/>
      </w:pPr>
      <w:rPr>
        <w:rFonts w:ascii="Wingdings" w:hAnsi="Wingdings" w:hint="default"/>
      </w:rPr>
    </w:lvl>
    <w:lvl w:ilvl="3" w:tplc="089C8D26">
      <w:start w:val="1"/>
      <w:numFmt w:val="bullet"/>
      <w:lvlText w:val=""/>
      <w:lvlJc w:val="left"/>
      <w:pPr>
        <w:ind w:left="2880" w:hanging="360"/>
      </w:pPr>
      <w:rPr>
        <w:rFonts w:ascii="Symbol" w:hAnsi="Symbol" w:hint="default"/>
      </w:rPr>
    </w:lvl>
    <w:lvl w:ilvl="4" w:tplc="538A5948">
      <w:start w:val="1"/>
      <w:numFmt w:val="bullet"/>
      <w:lvlText w:val="o"/>
      <w:lvlJc w:val="left"/>
      <w:pPr>
        <w:ind w:left="3600" w:hanging="360"/>
      </w:pPr>
      <w:rPr>
        <w:rFonts w:ascii="Courier New" w:hAnsi="Courier New" w:hint="default"/>
      </w:rPr>
    </w:lvl>
    <w:lvl w:ilvl="5" w:tplc="AFE44116">
      <w:start w:val="1"/>
      <w:numFmt w:val="bullet"/>
      <w:lvlText w:val=""/>
      <w:lvlJc w:val="left"/>
      <w:pPr>
        <w:ind w:left="4320" w:hanging="360"/>
      </w:pPr>
      <w:rPr>
        <w:rFonts w:ascii="Wingdings" w:hAnsi="Wingdings" w:hint="default"/>
      </w:rPr>
    </w:lvl>
    <w:lvl w:ilvl="6" w:tplc="60B8FBEE">
      <w:start w:val="1"/>
      <w:numFmt w:val="bullet"/>
      <w:lvlText w:val=""/>
      <w:lvlJc w:val="left"/>
      <w:pPr>
        <w:ind w:left="5040" w:hanging="360"/>
      </w:pPr>
      <w:rPr>
        <w:rFonts w:ascii="Symbol" w:hAnsi="Symbol" w:hint="default"/>
      </w:rPr>
    </w:lvl>
    <w:lvl w:ilvl="7" w:tplc="79D6A27A">
      <w:start w:val="1"/>
      <w:numFmt w:val="bullet"/>
      <w:lvlText w:val="o"/>
      <w:lvlJc w:val="left"/>
      <w:pPr>
        <w:ind w:left="5760" w:hanging="360"/>
      </w:pPr>
      <w:rPr>
        <w:rFonts w:ascii="Courier New" w:hAnsi="Courier New" w:hint="default"/>
      </w:rPr>
    </w:lvl>
    <w:lvl w:ilvl="8" w:tplc="C0F289AE">
      <w:start w:val="1"/>
      <w:numFmt w:val="bullet"/>
      <w:lvlText w:val=""/>
      <w:lvlJc w:val="left"/>
      <w:pPr>
        <w:ind w:left="6480" w:hanging="360"/>
      </w:pPr>
      <w:rPr>
        <w:rFonts w:ascii="Wingdings" w:hAnsi="Wingdings" w:hint="default"/>
      </w:rPr>
    </w:lvl>
  </w:abstractNum>
  <w:abstractNum w:abstractNumId="2" w15:restartNumberingAfterBreak="0">
    <w:nsid w:val="224E43C6"/>
    <w:multiLevelType w:val="hybridMultilevel"/>
    <w:tmpl w:val="0D6E7AD8"/>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3" w15:restartNumberingAfterBreak="0">
    <w:nsid w:val="302C4DD7"/>
    <w:multiLevelType w:val="hybridMultilevel"/>
    <w:tmpl w:val="F6B4FA64"/>
    <w:lvl w:ilvl="0" w:tplc="FFFFFFFF">
      <w:start w:val="1"/>
      <w:numFmt w:val="decimal"/>
      <w:lvlText w:val="(%1)"/>
      <w:lvlJc w:val="left"/>
      <w:pPr>
        <w:ind w:left="720" w:hanging="360"/>
      </w:pPr>
      <w:rPr>
        <w:rFonts w:hint="default"/>
      </w:rPr>
    </w:lvl>
    <w:lvl w:ilvl="1" w:tplc="BFBC20FC">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9700487"/>
    <w:multiLevelType w:val="hybridMultilevel"/>
    <w:tmpl w:val="BD562488"/>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num w:numId="1" w16cid:durableId="682391858">
    <w:abstractNumId w:val="0"/>
  </w:num>
  <w:num w:numId="2" w16cid:durableId="867374191">
    <w:abstractNumId w:val="2"/>
  </w:num>
  <w:num w:numId="3" w16cid:durableId="458498649">
    <w:abstractNumId w:val="4"/>
  </w:num>
  <w:num w:numId="4" w16cid:durableId="2040163314">
    <w:abstractNumId w:val="1"/>
  </w:num>
  <w:num w:numId="5" w16cid:durableId="7945204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99"/>
    <w:rsid w:val="00005301"/>
    <w:rsid w:val="000133EE"/>
    <w:rsid w:val="00020299"/>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4F1C"/>
    <w:rsid w:val="000A69BF"/>
    <w:rsid w:val="000C225A"/>
    <w:rsid w:val="000C6781"/>
    <w:rsid w:val="000D0753"/>
    <w:rsid w:val="000E090C"/>
    <w:rsid w:val="000F5E49"/>
    <w:rsid w:val="000F7A87"/>
    <w:rsid w:val="00102EAE"/>
    <w:rsid w:val="001047DC"/>
    <w:rsid w:val="00105D2E"/>
    <w:rsid w:val="00111BFD"/>
    <w:rsid w:val="0011498B"/>
    <w:rsid w:val="00120147"/>
    <w:rsid w:val="00123140"/>
    <w:rsid w:val="00123D94"/>
    <w:rsid w:val="00130BBC"/>
    <w:rsid w:val="00133D13"/>
    <w:rsid w:val="00150DBD"/>
    <w:rsid w:val="00156F9B"/>
    <w:rsid w:val="00163BA3"/>
    <w:rsid w:val="00166B31"/>
    <w:rsid w:val="00167D54"/>
    <w:rsid w:val="0017050B"/>
    <w:rsid w:val="00170827"/>
    <w:rsid w:val="00176AB5"/>
    <w:rsid w:val="00180771"/>
    <w:rsid w:val="00190854"/>
    <w:rsid w:val="00192C98"/>
    <w:rsid w:val="001930A3"/>
    <w:rsid w:val="00196EB8"/>
    <w:rsid w:val="001A25F0"/>
    <w:rsid w:val="001A328F"/>
    <w:rsid w:val="001A341E"/>
    <w:rsid w:val="001B0EA6"/>
    <w:rsid w:val="001B1CDF"/>
    <w:rsid w:val="001B2EC4"/>
    <w:rsid w:val="001B56F4"/>
    <w:rsid w:val="001C5462"/>
    <w:rsid w:val="001D265C"/>
    <w:rsid w:val="001D3062"/>
    <w:rsid w:val="001D319C"/>
    <w:rsid w:val="001D3CFB"/>
    <w:rsid w:val="001D559B"/>
    <w:rsid w:val="001D6302"/>
    <w:rsid w:val="001E2C22"/>
    <w:rsid w:val="001E740C"/>
    <w:rsid w:val="001E7DD0"/>
    <w:rsid w:val="001F1BDA"/>
    <w:rsid w:val="0020095E"/>
    <w:rsid w:val="00200B7D"/>
    <w:rsid w:val="00210BFE"/>
    <w:rsid w:val="00210D30"/>
    <w:rsid w:val="00217243"/>
    <w:rsid w:val="002204FD"/>
    <w:rsid w:val="00221020"/>
    <w:rsid w:val="0022509D"/>
    <w:rsid w:val="00227029"/>
    <w:rsid w:val="002308B5"/>
    <w:rsid w:val="00233C0B"/>
    <w:rsid w:val="00234A34"/>
    <w:rsid w:val="0025255D"/>
    <w:rsid w:val="00255EE3"/>
    <w:rsid w:val="00256B3D"/>
    <w:rsid w:val="00260860"/>
    <w:rsid w:val="0026743C"/>
    <w:rsid w:val="00270480"/>
    <w:rsid w:val="002779AF"/>
    <w:rsid w:val="002823D8"/>
    <w:rsid w:val="002824C2"/>
    <w:rsid w:val="0028531A"/>
    <w:rsid w:val="00285379"/>
    <w:rsid w:val="00285446"/>
    <w:rsid w:val="00290082"/>
    <w:rsid w:val="00290294"/>
    <w:rsid w:val="00295593"/>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4892"/>
    <w:rsid w:val="00307DDD"/>
    <w:rsid w:val="003143C9"/>
    <w:rsid w:val="003146E9"/>
    <w:rsid w:val="00314D5D"/>
    <w:rsid w:val="00320009"/>
    <w:rsid w:val="0032424A"/>
    <w:rsid w:val="003245D3"/>
    <w:rsid w:val="00325F8B"/>
    <w:rsid w:val="00330AA3"/>
    <w:rsid w:val="00331584"/>
    <w:rsid w:val="00331964"/>
    <w:rsid w:val="00332C60"/>
    <w:rsid w:val="00333510"/>
    <w:rsid w:val="00334503"/>
    <w:rsid w:val="00334987"/>
    <w:rsid w:val="00340C69"/>
    <w:rsid w:val="00342E34"/>
    <w:rsid w:val="00352B13"/>
    <w:rsid w:val="00371CF1"/>
    <w:rsid w:val="0037222D"/>
    <w:rsid w:val="00373128"/>
    <w:rsid w:val="003750C1"/>
    <w:rsid w:val="0038051E"/>
    <w:rsid w:val="00380AF7"/>
    <w:rsid w:val="00394A05"/>
    <w:rsid w:val="00397770"/>
    <w:rsid w:val="00397880"/>
    <w:rsid w:val="003A7016"/>
    <w:rsid w:val="003B0C08"/>
    <w:rsid w:val="003B253A"/>
    <w:rsid w:val="003C17A5"/>
    <w:rsid w:val="003C1843"/>
    <w:rsid w:val="003D1552"/>
    <w:rsid w:val="003D6D77"/>
    <w:rsid w:val="003E381F"/>
    <w:rsid w:val="003E4046"/>
    <w:rsid w:val="003F003A"/>
    <w:rsid w:val="003F125B"/>
    <w:rsid w:val="003F7B3F"/>
    <w:rsid w:val="00403446"/>
    <w:rsid w:val="004058AD"/>
    <w:rsid w:val="0041078D"/>
    <w:rsid w:val="00416F97"/>
    <w:rsid w:val="00424463"/>
    <w:rsid w:val="00425173"/>
    <w:rsid w:val="0043039B"/>
    <w:rsid w:val="00436197"/>
    <w:rsid w:val="004423FE"/>
    <w:rsid w:val="00445321"/>
    <w:rsid w:val="00445C35"/>
    <w:rsid w:val="00454B41"/>
    <w:rsid w:val="0045663A"/>
    <w:rsid w:val="0046344E"/>
    <w:rsid w:val="00466001"/>
    <w:rsid w:val="004667E7"/>
    <w:rsid w:val="004672CF"/>
    <w:rsid w:val="004702F6"/>
    <w:rsid w:val="00470DEF"/>
    <w:rsid w:val="00472259"/>
    <w:rsid w:val="00475797"/>
    <w:rsid w:val="00476D0A"/>
    <w:rsid w:val="00491024"/>
    <w:rsid w:val="0049253B"/>
    <w:rsid w:val="004A140B"/>
    <w:rsid w:val="004A4B47"/>
    <w:rsid w:val="004A4C52"/>
    <w:rsid w:val="004B0EC9"/>
    <w:rsid w:val="004B7BAA"/>
    <w:rsid w:val="004C0C3F"/>
    <w:rsid w:val="004C15FE"/>
    <w:rsid w:val="004C2DF7"/>
    <w:rsid w:val="004C4E0B"/>
    <w:rsid w:val="004D0EF0"/>
    <w:rsid w:val="004D497E"/>
    <w:rsid w:val="004E4809"/>
    <w:rsid w:val="004E4CC3"/>
    <w:rsid w:val="004E5985"/>
    <w:rsid w:val="004E6352"/>
    <w:rsid w:val="004E6460"/>
    <w:rsid w:val="004F6B46"/>
    <w:rsid w:val="005004D4"/>
    <w:rsid w:val="00501705"/>
    <w:rsid w:val="00502005"/>
    <w:rsid w:val="0050425E"/>
    <w:rsid w:val="00511999"/>
    <w:rsid w:val="0051310F"/>
    <w:rsid w:val="005145D6"/>
    <w:rsid w:val="00521052"/>
    <w:rsid w:val="00521EA5"/>
    <w:rsid w:val="00525B80"/>
    <w:rsid w:val="005279BC"/>
    <w:rsid w:val="0053098F"/>
    <w:rsid w:val="00536B2E"/>
    <w:rsid w:val="00546D8E"/>
    <w:rsid w:val="00553738"/>
    <w:rsid w:val="00553F7E"/>
    <w:rsid w:val="0056646F"/>
    <w:rsid w:val="00571AE1"/>
    <w:rsid w:val="00576782"/>
    <w:rsid w:val="00581B28"/>
    <w:rsid w:val="005859C2"/>
    <w:rsid w:val="00592267"/>
    <w:rsid w:val="0059421F"/>
    <w:rsid w:val="005A136D"/>
    <w:rsid w:val="005B0AE2"/>
    <w:rsid w:val="005B1F2C"/>
    <w:rsid w:val="005B5F3C"/>
    <w:rsid w:val="005C41F2"/>
    <w:rsid w:val="005D03D9"/>
    <w:rsid w:val="005D1EE8"/>
    <w:rsid w:val="005D56AE"/>
    <w:rsid w:val="005D666D"/>
    <w:rsid w:val="005D737F"/>
    <w:rsid w:val="005E3A59"/>
    <w:rsid w:val="00602FA2"/>
    <w:rsid w:val="00604802"/>
    <w:rsid w:val="00615AB0"/>
    <w:rsid w:val="00616247"/>
    <w:rsid w:val="0061778C"/>
    <w:rsid w:val="006225A0"/>
    <w:rsid w:val="00622AE8"/>
    <w:rsid w:val="00636B90"/>
    <w:rsid w:val="0064738B"/>
    <w:rsid w:val="006508EA"/>
    <w:rsid w:val="006513CE"/>
    <w:rsid w:val="00667E86"/>
    <w:rsid w:val="0068392D"/>
    <w:rsid w:val="00697DB5"/>
    <w:rsid w:val="006A1B33"/>
    <w:rsid w:val="006A2D45"/>
    <w:rsid w:val="006A492A"/>
    <w:rsid w:val="006B5C72"/>
    <w:rsid w:val="006B7C5A"/>
    <w:rsid w:val="006C289D"/>
    <w:rsid w:val="006C3435"/>
    <w:rsid w:val="006D0310"/>
    <w:rsid w:val="006D15FA"/>
    <w:rsid w:val="006D2009"/>
    <w:rsid w:val="006D5576"/>
    <w:rsid w:val="006D77A6"/>
    <w:rsid w:val="006E766D"/>
    <w:rsid w:val="006F4B29"/>
    <w:rsid w:val="006F6CE9"/>
    <w:rsid w:val="00701212"/>
    <w:rsid w:val="0070517C"/>
    <w:rsid w:val="00705C9F"/>
    <w:rsid w:val="00716951"/>
    <w:rsid w:val="00720F6B"/>
    <w:rsid w:val="00727D9A"/>
    <w:rsid w:val="00730ADA"/>
    <w:rsid w:val="00732C37"/>
    <w:rsid w:val="00735D9E"/>
    <w:rsid w:val="00745A09"/>
    <w:rsid w:val="00751EAF"/>
    <w:rsid w:val="00754CF7"/>
    <w:rsid w:val="00757B0D"/>
    <w:rsid w:val="00761320"/>
    <w:rsid w:val="007651B1"/>
    <w:rsid w:val="00767CE1"/>
    <w:rsid w:val="00771A68"/>
    <w:rsid w:val="007744D2"/>
    <w:rsid w:val="007803F7"/>
    <w:rsid w:val="0078330D"/>
    <w:rsid w:val="00786136"/>
    <w:rsid w:val="007B05CF"/>
    <w:rsid w:val="007C212A"/>
    <w:rsid w:val="007C70BC"/>
    <w:rsid w:val="007D5B3C"/>
    <w:rsid w:val="007E2DC2"/>
    <w:rsid w:val="007E43BE"/>
    <w:rsid w:val="007E7D21"/>
    <w:rsid w:val="007E7DBD"/>
    <w:rsid w:val="007F482F"/>
    <w:rsid w:val="007F7C94"/>
    <w:rsid w:val="0080398D"/>
    <w:rsid w:val="00805174"/>
    <w:rsid w:val="008052B9"/>
    <w:rsid w:val="00806385"/>
    <w:rsid w:val="00807CC5"/>
    <w:rsid w:val="00807ED7"/>
    <w:rsid w:val="00814CC6"/>
    <w:rsid w:val="0081664C"/>
    <w:rsid w:val="0082229E"/>
    <w:rsid w:val="00826D53"/>
    <w:rsid w:val="008273AA"/>
    <w:rsid w:val="00827E83"/>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97111"/>
    <w:rsid w:val="008A7313"/>
    <w:rsid w:val="008A7D91"/>
    <w:rsid w:val="008B7FC7"/>
    <w:rsid w:val="008C4337"/>
    <w:rsid w:val="008C4F06"/>
    <w:rsid w:val="008C60D7"/>
    <w:rsid w:val="008D030E"/>
    <w:rsid w:val="008D0C90"/>
    <w:rsid w:val="008D3DA3"/>
    <w:rsid w:val="008D5FD8"/>
    <w:rsid w:val="008E1E4A"/>
    <w:rsid w:val="008E578D"/>
    <w:rsid w:val="008E645B"/>
    <w:rsid w:val="008F0615"/>
    <w:rsid w:val="008F103E"/>
    <w:rsid w:val="008F1FDB"/>
    <w:rsid w:val="008F36FB"/>
    <w:rsid w:val="00902EA9"/>
    <w:rsid w:val="00902F3C"/>
    <w:rsid w:val="0090427F"/>
    <w:rsid w:val="0091744E"/>
    <w:rsid w:val="00920506"/>
    <w:rsid w:val="00931DEB"/>
    <w:rsid w:val="00933957"/>
    <w:rsid w:val="009356FA"/>
    <w:rsid w:val="0093767B"/>
    <w:rsid w:val="00940598"/>
    <w:rsid w:val="00945ED7"/>
    <w:rsid w:val="0094603B"/>
    <w:rsid w:val="009504A1"/>
    <w:rsid w:val="00950605"/>
    <w:rsid w:val="00952233"/>
    <w:rsid w:val="009540D1"/>
    <w:rsid w:val="00954D66"/>
    <w:rsid w:val="00963F8F"/>
    <w:rsid w:val="00973C62"/>
    <w:rsid w:val="00975D76"/>
    <w:rsid w:val="00982E51"/>
    <w:rsid w:val="009874B9"/>
    <w:rsid w:val="00993581"/>
    <w:rsid w:val="00997BA9"/>
    <w:rsid w:val="009A288C"/>
    <w:rsid w:val="009A64C1"/>
    <w:rsid w:val="009B29E2"/>
    <w:rsid w:val="009B6697"/>
    <w:rsid w:val="009C2B43"/>
    <w:rsid w:val="009C2EA4"/>
    <w:rsid w:val="009C4C04"/>
    <w:rsid w:val="009D429C"/>
    <w:rsid w:val="009D5213"/>
    <w:rsid w:val="009E1C95"/>
    <w:rsid w:val="009E7131"/>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2721"/>
    <w:rsid w:val="00A530E4"/>
    <w:rsid w:val="00A604CD"/>
    <w:rsid w:val="00A60FE6"/>
    <w:rsid w:val="00A622F5"/>
    <w:rsid w:val="00A654BE"/>
    <w:rsid w:val="00A66DD6"/>
    <w:rsid w:val="00A7473B"/>
    <w:rsid w:val="00A75018"/>
    <w:rsid w:val="00A771FD"/>
    <w:rsid w:val="00A80767"/>
    <w:rsid w:val="00A81C90"/>
    <w:rsid w:val="00A874EF"/>
    <w:rsid w:val="00A95415"/>
    <w:rsid w:val="00AA3C89"/>
    <w:rsid w:val="00AB32BD"/>
    <w:rsid w:val="00AB4723"/>
    <w:rsid w:val="00AC4CDB"/>
    <w:rsid w:val="00AC70FE"/>
    <w:rsid w:val="00AD3AA3"/>
    <w:rsid w:val="00AD4358"/>
    <w:rsid w:val="00AE1A72"/>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58D0"/>
    <w:rsid w:val="00B56934"/>
    <w:rsid w:val="00B62F03"/>
    <w:rsid w:val="00B6306E"/>
    <w:rsid w:val="00B66337"/>
    <w:rsid w:val="00B70553"/>
    <w:rsid w:val="00B72444"/>
    <w:rsid w:val="00B93B62"/>
    <w:rsid w:val="00B953D1"/>
    <w:rsid w:val="00B9654C"/>
    <w:rsid w:val="00B96D93"/>
    <w:rsid w:val="00BA30D0"/>
    <w:rsid w:val="00BB0D32"/>
    <w:rsid w:val="00BC76B5"/>
    <w:rsid w:val="00BD5420"/>
    <w:rsid w:val="00BE74C1"/>
    <w:rsid w:val="00BF3591"/>
    <w:rsid w:val="00BF5191"/>
    <w:rsid w:val="00C04BD2"/>
    <w:rsid w:val="00C13EEC"/>
    <w:rsid w:val="00C14689"/>
    <w:rsid w:val="00C156A4"/>
    <w:rsid w:val="00C20FAA"/>
    <w:rsid w:val="00C23509"/>
    <w:rsid w:val="00C2459D"/>
    <w:rsid w:val="00C2755A"/>
    <w:rsid w:val="00C316F1"/>
    <w:rsid w:val="00C42C95"/>
    <w:rsid w:val="00C4470F"/>
    <w:rsid w:val="00C50727"/>
    <w:rsid w:val="00C55E5B"/>
    <w:rsid w:val="00C62739"/>
    <w:rsid w:val="00C63357"/>
    <w:rsid w:val="00C720A4"/>
    <w:rsid w:val="00C73259"/>
    <w:rsid w:val="00C74F59"/>
    <w:rsid w:val="00C7611C"/>
    <w:rsid w:val="00C763C0"/>
    <w:rsid w:val="00C87A49"/>
    <w:rsid w:val="00C94097"/>
    <w:rsid w:val="00CA4269"/>
    <w:rsid w:val="00CA48CA"/>
    <w:rsid w:val="00CA7330"/>
    <w:rsid w:val="00CB1C84"/>
    <w:rsid w:val="00CB5363"/>
    <w:rsid w:val="00CB64F0"/>
    <w:rsid w:val="00CC0DDB"/>
    <w:rsid w:val="00CC2909"/>
    <w:rsid w:val="00CD0549"/>
    <w:rsid w:val="00CE6B3C"/>
    <w:rsid w:val="00D0127F"/>
    <w:rsid w:val="00D05E6F"/>
    <w:rsid w:val="00D17D5B"/>
    <w:rsid w:val="00D20296"/>
    <w:rsid w:val="00D2231A"/>
    <w:rsid w:val="00D276BD"/>
    <w:rsid w:val="00D27929"/>
    <w:rsid w:val="00D33442"/>
    <w:rsid w:val="00D419C6"/>
    <w:rsid w:val="00D44BAD"/>
    <w:rsid w:val="00D45B55"/>
    <w:rsid w:val="00D4785A"/>
    <w:rsid w:val="00D52E43"/>
    <w:rsid w:val="00D664D7"/>
    <w:rsid w:val="00D67E1E"/>
    <w:rsid w:val="00D7097B"/>
    <w:rsid w:val="00D7197D"/>
    <w:rsid w:val="00D72BC4"/>
    <w:rsid w:val="00D815FC"/>
    <w:rsid w:val="00D8517B"/>
    <w:rsid w:val="00D91DFA"/>
    <w:rsid w:val="00DA159A"/>
    <w:rsid w:val="00DB1AB2"/>
    <w:rsid w:val="00DC17C2"/>
    <w:rsid w:val="00DC4FDF"/>
    <w:rsid w:val="00DC66F0"/>
    <w:rsid w:val="00DD3105"/>
    <w:rsid w:val="00DD3A65"/>
    <w:rsid w:val="00DD62C6"/>
    <w:rsid w:val="00DE3B92"/>
    <w:rsid w:val="00DE48B4"/>
    <w:rsid w:val="00DE5ACA"/>
    <w:rsid w:val="00DE7137"/>
    <w:rsid w:val="00DF18E4"/>
    <w:rsid w:val="00DF4604"/>
    <w:rsid w:val="00E00498"/>
    <w:rsid w:val="00E1236E"/>
    <w:rsid w:val="00E1464C"/>
    <w:rsid w:val="00E14ADB"/>
    <w:rsid w:val="00E17E4E"/>
    <w:rsid w:val="00E22F78"/>
    <w:rsid w:val="00E2425D"/>
    <w:rsid w:val="00E24F87"/>
    <w:rsid w:val="00E2617A"/>
    <w:rsid w:val="00E273FB"/>
    <w:rsid w:val="00E31CD4"/>
    <w:rsid w:val="00E51496"/>
    <w:rsid w:val="00E538E6"/>
    <w:rsid w:val="00E56696"/>
    <w:rsid w:val="00E74332"/>
    <w:rsid w:val="00E768A9"/>
    <w:rsid w:val="00E802A2"/>
    <w:rsid w:val="00E8410F"/>
    <w:rsid w:val="00E85C0B"/>
    <w:rsid w:val="00EA7089"/>
    <w:rsid w:val="00EB13D7"/>
    <w:rsid w:val="00EB1E83"/>
    <w:rsid w:val="00EC06AB"/>
    <w:rsid w:val="00ED22CB"/>
    <w:rsid w:val="00ED4BB1"/>
    <w:rsid w:val="00ED67AF"/>
    <w:rsid w:val="00EE11F0"/>
    <w:rsid w:val="00EE128C"/>
    <w:rsid w:val="00EE3AD2"/>
    <w:rsid w:val="00EE4C48"/>
    <w:rsid w:val="00EE5D2E"/>
    <w:rsid w:val="00EE7E6F"/>
    <w:rsid w:val="00EF66D9"/>
    <w:rsid w:val="00EF68E3"/>
    <w:rsid w:val="00EF6BA5"/>
    <w:rsid w:val="00EF780D"/>
    <w:rsid w:val="00EF7A98"/>
    <w:rsid w:val="00F02548"/>
    <w:rsid w:val="00F0267E"/>
    <w:rsid w:val="00F071B2"/>
    <w:rsid w:val="00F11B47"/>
    <w:rsid w:val="00F15556"/>
    <w:rsid w:val="00F2412D"/>
    <w:rsid w:val="00F25D8D"/>
    <w:rsid w:val="00F3069C"/>
    <w:rsid w:val="00F3603E"/>
    <w:rsid w:val="00F44CCB"/>
    <w:rsid w:val="00F474C9"/>
    <w:rsid w:val="00F5126B"/>
    <w:rsid w:val="00F54EA3"/>
    <w:rsid w:val="00F57F76"/>
    <w:rsid w:val="00F61675"/>
    <w:rsid w:val="00F6686B"/>
    <w:rsid w:val="00F67F74"/>
    <w:rsid w:val="00F712B3"/>
    <w:rsid w:val="00F71E9F"/>
    <w:rsid w:val="00F73DE3"/>
    <w:rsid w:val="00F744BF"/>
    <w:rsid w:val="00F7632C"/>
    <w:rsid w:val="00F77219"/>
    <w:rsid w:val="00F81073"/>
    <w:rsid w:val="00F83344"/>
    <w:rsid w:val="00F84DD2"/>
    <w:rsid w:val="00F95439"/>
    <w:rsid w:val="00FB0872"/>
    <w:rsid w:val="00FB224D"/>
    <w:rsid w:val="00FB54CC"/>
    <w:rsid w:val="00FD1A37"/>
    <w:rsid w:val="00FD4E5B"/>
    <w:rsid w:val="00FD577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CFE709"/>
  <w15:docId w15:val="{6F8641B2-84EF-4A65-ACDD-E554F00F1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ublic.wmo.int/en/our-mandate/focus-areas/environment/greenhouse-gases/global-greenhouse-gas-monitoring-infrastructur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CE4C997-AFE9-4FD5-8B67-4DD00902483D}">
  <ds:schemaRefs>
    <ds:schemaRef ds:uri="3679bf0f-1d7e-438f-afa5-6ebf1e20f9b8"/>
    <ds:schemaRef ds:uri="http://purl.org/dc/dcmitype/"/>
    <ds:schemaRef ds:uri="http://purl.org/dc/elements/1.1/"/>
    <ds:schemaRef ds:uri="http://purl.org/dc/terms/"/>
    <ds:schemaRef ds:uri="http://schemas.microsoft.com/office/2006/metadata/properties"/>
    <ds:schemaRef ds:uri="http://schemas.openxmlformats.org/package/2006/metadata/core-properties"/>
    <ds:schemaRef ds:uri="ce21bc6c-711a-4065-a01c-a8f0e29e3ad8"/>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C0AEBCB6-4DA7-4594-AB53-DF50A959F252}"/>
</file>

<file path=docProps/app.xml><?xml version="1.0" encoding="utf-8"?>
<Properties xmlns="http://schemas.openxmlformats.org/officeDocument/2006/extended-properties" xmlns:vt="http://schemas.openxmlformats.org/officeDocument/2006/docPropsVTypes">
  <Template>Normal.dotm</Template>
  <TotalTime>138</TotalTime>
  <Pages>8</Pages>
  <Words>4057</Words>
  <Characters>22318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26323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document de l'OMM</dc:title>
  <dc:creator>Jitsuko Hasegawa</dc:creator>
  <cp:lastModifiedBy>Geneviève Delajod</cp:lastModifiedBy>
  <cp:revision>57</cp:revision>
  <cp:lastPrinted>2013-03-12T09:27:00Z</cp:lastPrinted>
  <dcterms:created xsi:type="dcterms:W3CDTF">2022-10-20T08:10:00Z</dcterms:created>
  <dcterms:modified xsi:type="dcterms:W3CDTF">2022-10-21T08:00:00Z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ies>
</file>