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C70B3" w14:paraId="5AF7029B" w14:textId="77777777" w:rsidTr="00826D53">
        <w:trPr>
          <w:trHeight w:val="282"/>
        </w:trPr>
        <w:tc>
          <w:tcPr>
            <w:tcW w:w="500" w:type="dxa"/>
            <w:vMerge w:val="restart"/>
            <w:tcBorders>
              <w:bottom w:val="nil"/>
            </w:tcBorders>
            <w:textDirection w:val="btLr"/>
          </w:tcPr>
          <w:p w14:paraId="71236E7C" w14:textId="77777777" w:rsidR="00A80767" w:rsidRPr="00FC70B3" w:rsidRDefault="00A80767" w:rsidP="00A650A2">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FC70B3">
              <w:rPr>
                <w:color w:val="365F91" w:themeColor="accent1" w:themeShade="BF"/>
                <w:sz w:val="10"/>
                <w:szCs w:val="10"/>
              </w:rPr>
              <w:t>TIEMPO CLIMA AGUA</w:t>
            </w:r>
          </w:p>
        </w:tc>
        <w:tc>
          <w:tcPr>
            <w:tcW w:w="6852" w:type="dxa"/>
            <w:vMerge w:val="restart"/>
          </w:tcPr>
          <w:p w14:paraId="77527BBC" w14:textId="77777777" w:rsidR="00A80767" w:rsidRPr="006E4623" w:rsidRDefault="00A80767"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FC70B3">
              <w:rPr>
                <w:noProof/>
                <w:color w:val="365F91" w:themeColor="accent1" w:themeShade="BF"/>
                <w:szCs w:val="22"/>
              </w:rPr>
              <w:drawing>
                <wp:anchor distT="0" distB="0" distL="114300" distR="114300" simplePos="0" relativeHeight="251659264" behindDoc="1" locked="1" layoutInCell="1" allowOverlap="1" wp14:anchorId="1D9FBD32" wp14:editId="1429E9D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7A2" w:rsidRPr="006E4623">
              <w:rPr>
                <w:rFonts w:cs="Tahoma"/>
                <w:b/>
                <w:color w:val="365F91" w:themeColor="accent1" w:themeShade="BF"/>
                <w:szCs w:val="22"/>
                <w:lang w:val="es-ES"/>
              </w:rPr>
              <w:t>Organización Meteorológica Mundial</w:t>
            </w:r>
          </w:p>
          <w:p w14:paraId="3261E2B2" w14:textId="77777777" w:rsidR="00A80767" w:rsidRPr="006E4623" w:rsidRDefault="00DF37A2" w:rsidP="00826D53">
            <w:pPr>
              <w:tabs>
                <w:tab w:val="left" w:pos="6946"/>
              </w:tabs>
              <w:suppressAutoHyphens/>
              <w:spacing w:after="120" w:line="252" w:lineRule="auto"/>
              <w:ind w:left="1134"/>
              <w:jc w:val="left"/>
              <w:rPr>
                <w:rFonts w:cs="Tahoma"/>
                <w:b/>
                <w:color w:val="365F91" w:themeColor="accent1" w:themeShade="BF"/>
                <w:spacing w:val="-2"/>
                <w:szCs w:val="22"/>
                <w:lang w:val="es-ES"/>
              </w:rPr>
            </w:pPr>
            <w:r w:rsidRPr="006E4623">
              <w:rPr>
                <w:rFonts w:cs="Tahoma"/>
                <w:b/>
                <w:color w:val="365F91" w:themeColor="accent1" w:themeShade="BF"/>
                <w:spacing w:val="-2"/>
                <w:szCs w:val="22"/>
                <w:lang w:val="es-ES"/>
              </w:rPr>
              <w:t>COMISIÓN DE OBSERVACIONES, INFRAESTRUCTURA Y SISTEMAS DE INFORMACIÓN</w:t>
            </w:r>
          </w:p>
          <w:p w14:paraId="704282D4" w14:textId="77777777" w:rsidR="00A80767" w:rsidRPr="006E4623" w:rsidRDefault="00DF37A2"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6E4623">
              <w:rPr>
                <w:rFonts w:cstheme="minorBidi"/>
                <w:b/>
                <w:snapToGrid w:val="0"/>
                <w:color w:val="365F91" w:themeColor="accent1" w:themeShade="BF"/>
                <w:szCs w:val="22"/>
                <w:lang w:val="es-ES"/>
              </w:rPr>
              <w:t>Segunda reunión</w:t>
            </w:r>
            <w:r w:rsidR="00A80767" w:rsidRPr="006E4623">
              <w:rPr>
                <w:rFonts w:cstheme="minorBidi"/>
                <w:b/>
                <w:snapToGrid w:val="0"/>
                <w:color w:val="365F91" w:themeColor="accent1" w:themeShade="BF"/>
                <w:szCs w:val="22"/>
                <w:lang w:val="es-ES"/>
              </w:rPr>
              <w:br/>
            </w:r>
            <w:r w:rsidRPr="006E4623">
              <w:rPr>
                <w:snapToGrid w:val="0"/>
                <w:color w:val="365F91" w:themeColor="accent1" w:themeShade="BF"/>
                <w:szCs w:val="22"/>
                <w:lang w:val="es-ES"/>
              </w:rPr>
              <w:t>24 a 28 de octubre de 2022, Ginebra</w:t>
            </w:r>
          </w:p>
        </w:tc>
        <w:tc>
          <w:tcPr>
            <w:tcW w:w="2962" w:type="dxa"/>
          </w:tcPr>
          <w:p w14:paraId="42A1F9C0" w14:textId="6F01C86B" w:rsidR="00A80767" w:rsidRPr="00FC70B3" w:rsidRDefault="00DF37A2" w:rsidP="00826D53">
            <w:pPr>
              <w:tabs>
                <w:tab w:val="clear" w:pos="1134"/>
              </w:tabs>
              <w:spacing w:after="60"/>
              <w:ind w:right="-108"/>
              <w:jc w:val="right"/>
              <w:rPr>
                <w:rFonts w:cs="Tahoma"/>
                <w:b/>
                <w:bCs/>
                <w:color w:val="365F91" w:themeColor="accent1" w:themeShade="BF"/>
                <w:szCs w:val="22"/>
              </w:rPr>
            </w:pPr>
            <w:r w:rsidRPr="00FC70B3">
              <w:rPr>
                <w:rFonts w:cs="Tahoma"/>
                <w:b/>
                <w:color w:val="365F91" w:themeColor="accent1" w:themeShade="BF"/>
                <w:szCs w:val="22"/>
              </w:rPr>
              <w:t>INFCOM-2/INF. 2(2)</w:t>
            </w:r>
          </w:p>
        </w:tc>
      </w:tr>
      <w:tr w:rsidR="00A80767" w:rsidRPr="00FC70B3" w14:paraId="71AD95EB" w14:textId="77777777" w:rsidTr="00826D53">
        <w:trPr>
          <w:trHeight w:val="730"/>
        </w:trPr>
        <w:tc>
          <w:tcPr>
            <w:tcW w:w="500" w:type="dxa"/>
            <w:vMerge/>
            <w:tcBorders>
              <w:bottom w:val="nil"/>
            </w:tcBorders>
          </w:tcPr>
          <w:p w14:paraId="512BD591" w14:textId="77777777" w:rsidR="00A80767" w:rsidRPr="00FC70B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9ACECAD" w14:textId="77777777" w:rsidR="00A80767" w:rsidRPr="00FC70B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A0069E3" w14:textId="2B938A09" w:rsidR="00A80767" w:rsidRPr="006E4623" w:rsidRDefault="00A80767" w:rsidP="006F48E5">
            <w:pPr>
              <w:tabs>
                <w:tab w:val="clear" w:pos="1134"/>
              </w:tabs>
              <w:spacing w:before="120" w:after="60"/>
              <w:jc w:val="right"/>
              <w:rPr>
                <w:rFonts w:cs="Tahoma"/>
                <w:color w:val="365F91" w:themeColor="accent1" w:themeShade="BF"/>
                <w:szCs w:val="22"/>
                <w:lang w:val="es-ES"/>
              </w:rPr>
            </w:pPr>
            <w:r w:rsidRPr="006E4623">
              <w:rPr>
                <w:rFonts w:cs="Tahoma"/>
                <w:color w:val="365F91" w:themeColor="accent1" w:themeShade="BF"/>
                <w:szCs w:val="22"/>
                <w:lang w:val="es-ES"/>
              </w:rPr>
              <w:t xml:space="preserve">Presentado por: </w:t>
            </w:r>
            <w:r w:rsidRPr="006E4623">
              <w:rPr>
                <w:rFonts w:cs="Tahoma"/>
                <w:color w:val="365F91" w:themeColor="accent1" w:themeShade="BF"/>
                <w:szCs w:val="22"/>
                <w:lang w:val="es-ES"/>
              </w:rPr>
              <w:br/>
            </w:r>
            <w:proofErr w:type="gramStart"/>
            <w:r w:rsidR="00274185" w:rsidRPr="006E4623">
              <w:rPr>
                <w:rFonts w:cs="Tahoma"/>
                <w:color w:val="365F91" w:themeColor="accent1" w:themeShade="BF"/>
                <w:szCs w:val="22"/>
                <w:lang w:val="es-ES"/>
              </w:rPr>
              <w:t>Presidente</w:t>
            </w:r>
            <w:proofErr w:type="gramEnd"/>
            <w:r w:rsidR="00274185" w:rsidRPr="006E4623">
              <w:rPr>
                <w:rFonts w:cs="Tahoma"/>
                <w:color w:val="365F91" w:themeColor="accent1" w:themeShade="BF"/>
                <w:szCs w:val="22"/>
                <w:lang w:val="es-ES"/>
              </w:rPr>
              <w:t xml:space="preserve"> del Grupo Consultivo de la VCG</w:t>
            </w:r>
          </w:p>
          <w:p w14:paraId="6D4890A9" w14:textId="194D4AC8" w:rsidR="00A80767" w:rsidRDefault="00A142D5" w:rsidP="006F48E5">
            <w:pPr>
              <w:tabs>
                <w:tab w:val="clear" w:pos="1134"/>
              </w:tabs>
              <w:spacing w:before="120" w:after="60"/>
              <w:jc w:val="right"/>
              <w:rPr>
                <w:rFonts w:cs="Tahoma"/>
                <w:color w:val="365F91" w:themeColor="accent1" w:themeShade="BF"/>
                <w:szCs w:val="22"/>
              </w:rPr>
            </w:pPr>
            <w:r w:rsidRPr="00FC70B3">
              <w:rPr>
                <w:rFonts w:cs="Tahoma"/>
                <w:color w:val="365F91" w:themeColor="accent1" w:themeShade="BF"/>
                <w:szCs w:val="22"/>
              </w:rPr>
              <w:t>12.X.2022</w:t>
            </w:r>
          </w:p>
          <w:p w14:paraId="7CFC2F40" w14:textId="2B977AA3" w:rsidR="00A650A2" w:rsidRPr="00A650A2" w:rsidRDefault="00A650A2" w:rsidP="00A650A2">
            <w:pPr>
              <w:pStyle w:val="WMOBodyText"/>
              <w:rPr>
                <w:lang w:eastAsia="en-US"/>
              </w:rPr>
            </w:pPr>
          </w:p>
        </w:tc>
      </w:tr>
    </w:tbl>
    <w:p w14:paraId="353412AD" w14:textId="77777777" w:rsidR="006E4623" w:rsidRPr="006E4623" w:rsidRDefault="006E4623" w:rsidP="006E4623">
      <w:pPr>
        <w:tabs>
          <w:tab w:val="clear" w:pos="1134"/>
        </w:tabs>
        <w:spacing w:before="240" w:after="160" w:line="259" w:lineRule="auto"/>
        <w:jc w:val="left"/>
        <w:rPr>
          <w:rFonts w:eastAsia="Calibri" w:cs="Calibri"/>
          <w:i/>
          <w:iCs/>
          <w:color w:val="FF0000"/>
          <w:lang w:val="en-CH"/>
        </w:rPr>
      </w:pPr>
      <w:bookmarkStart w:id="0" w:name="_GoBack"/>
      <w:bookmarkEnd w:id="0"/>
      <w:r w:rsidRPr="006E4623">
        <w:rPr>
          <w:rFonts w:eastAsia="Calibri" w:cs="Calibri"/>
          <w:i/>
          <w:iCs/>
          <w:color w:val="FF0000"/>
          <w:lang w:val="es-ES"/>
        </w:rPr>
        <w:t xml:space="preserve">[El presente documento ha sido traducido para su comodidad empleando tecnologías de traducción automática sin </w:t>
      </w:r>
      <w:proofErr w:type="spellStart"/>
      <w:r w:rsidRPr="006E4623">
        <w:rPr>
          <w:rFonts w:eastAsia="Calibri" w:cs="Calibri"/>
          <w:i/>
          <w:iCs/>
          <w:color w:val="FF0000"/>
          <w:lang w:val="es-ES"/>
        </w:rPr>
        <w:t>posedición</w:t>
      </w:r>
      <w:proofErr w:type="spellEnd"/>
      <w:r w:rsidRPr="006E4623">
        <w:rPr>
          <w:rFonts w:eastAsia="Calibri" w:cs="Calibri"/>
          <w:i/>
          <w:iCs/>
          <w:color w:val="FF0000"/>
          <w:lang w:val="es-ES"/>
        </w:rPr>
        <w:t xml:space="preserve">. </w:t>
      </w:r>
      <w:r w:rsidRPr="006E4623">
        <w:rPr>
          <w:rFonts w:eastAsia="Calibri" w:cs="Times New Roman"/>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2B5D5953" w14:textId="6084E7EE" w:rsidR="005E7B46" w:rsidRPr="006E4623" w:rsidRDefault="00274185" w:rsidP="005E7B46">
      <w:pPr>
        <w:pStyle w:val="Heading2"/>
        <w:rPr>
          <w:sz w:val="20"/>
          <w:szCs w:val="20"/>
          <w:lang w:val="es-ES"/>
        </w:rPr>
      </w:pPr>
      <w:r w:rsidRPr="006E4623">
        <w:rPr>
          <w:lang w:val="es-ES"/>
        </w:rPr>
        <w:t xml:space="preserve">INFORME DE SITUACIÓN SOBRE LA PUESTA EN MARCHA </w:t>
      </w:r>
      <w:r w:rsidR="000B29F1" w:rsidRPr="006E4623">
        <w:rPr>
          <w:lang w:val="es-ES"/>
        </w:rPr>
        <w:br/>
      </w:r>
      <w:r w:rsidRPr="006E4623">
        <w:rPr>
          <w:lang w:val="es-ES"/>
        </w:rPr>
        <w:t>DE LA VIGILANCIA DE LA CRIOSFERA GLOBAL (VCG):</w:t>
      </w:r>
    </w:p>
    <w:p w14:paraId="37388FDB" w14:textId="77777777" w:rsidR="00DF37A2" w:rsidRPr="006E4623" w:rsidRDefault="005E7B46" w:rsidP="005E7B46">
      <w:pPr>
        <w:pStyle w:val="Heading2"/>
        <w:rPr>
          <w:sz w:val="20"/>
          <w:szCs w:val="20"/>
          <w:lang w:val="es-ES"/>
        </w:rPr>
      </w:pPr>
      <w:r w:rsidRPr="006E4623">
        <w:rPr>
          <w:sz w:val="20"/>
          <w:szCs w:val="20"/>
          <w:lang w:val="es-ES"/>
        </w:rPr>
        <w:t>Transición y plan para la fase</w:t>
      </w:r>
      <w:r w:rsidR="00A94A8E" w:rsidRPr="006E4623">
        <w:rPr>
          <w:lang w:val="es-ES"/>
        </w:rPr>
        <w:t xml:space="preserve"> preoperativa</w:t>
      </w:r>
      <w:r w:rsidR="00CB5BCF" w:rsidRPr="006E4623">
        <w:rPr>
          <w:sz w:val="20"/>
          <w:szCs w:val="20"/>
          <w:lang w:val="es-ES"/>
        </w:rPr>
        <w:t xml:space="preserve"> </w:t>
      </w:r>
      <w:r w:rsidR="00973A21" w:rsidRPr="006E4623">
        <w:rPr>
          <w:kern w:val="28"/>
          <w:sz w:val="20"/>
          <w:szCs w:val="20"/>
          <w:lang w:val="es-ES"/>
        </w:rPr>
        <w:t>para 2020-2023,</w:t>
      </w:r>
      <w:r w:rsidR="0061310A" w:rsidRPr="006E4623">
        <w:rPr>
          <w:sz w:val="20"/>
          <w:szCs w:val="20"/>
          <w:lang w:val="es-ES"/>
        </w:rPr>
        <w:t xml:space="preserve"> Resolución 18 (EC-73)</w:t>
      </w:r>
    </w:p>
    <w:p w14:paraId="0FF3A213" w14:textId="77777777" w:rsidR="00274185" w:rsidRPr="006E4623" w:rsidRDefault="00A142D2" w:rsidP="00274185">
      <w:pPr>
        <w:pStyle w:val="Heading2"/>
        <w:jc w:val="left"/>
        <w:rPr>
          <w:i/>
          <w:iCs w:val="0"/>
          <w:lang w:val="es-ES"/>
        </w:rPr>
      </w:pPr>
      <w:bookmarkStart w:id="1" w:name="_APPENDIX_A:_"/>
      <w:bookmarkEnd w:id="1"/>
      <w:r w:rsidRPr="006E4623">
        <w:rPr>
          <w:i/>
          <w:sz w:val="20"/>
          <w:szCs w:val="20"/>
          <w:lang w:val="es-ES"/>
        </w:rPr>
        <w:t>Introducción</w:t>
      </w:r>
    </w:p>
    <w:p w14:paraId="109D5A65" w14:textId="053E3F22" w:rsidR="00274185" w:rsidRPr="006E4623" w:rsidRDefault="00973A21" w:rsidP="00D9701D">
      <w:pPr>
        <w:spacing w:before="240" w:after="240"/>
        <w:ind w:right="-170"/>
        <w:jc w:val="left"/>
        <w:rPr>
          <w:rFonts w:eastAsia="Verdana" w:cs="Verdana"/>
          <w:color w:val="000000"/>
          <w:lang w:val="es-ES"/>
        </w:rPr>
      </w:pPr>
      <w:r w:rsidRPr="006E4623">
        <w:rPr>
          <w:rFonts w:eastAsia="Verdana" w:cs="Verdana"/>
          <w:color w:val="000000"/>
          <w:lang w:val="es-ES"/>
        </w:rPr>
        <w:t xml:space="preserve">La Vigilancia de la Criosfera Global (VCG) es la esfera de actividad transectorial de la OMM que aborda las necesidades de sus Miembros y sus asociados en </w:t>
      </w:r>
      <w:r w:rsidR="00274185" w:rsidRPr="006E4623">
        <w:rPr>
          <w:rFonts w:eastAsia="Verdana" w:cs="Verdana"/>
          <w:b/>
          <w:color w:val="000000"/>
          <w:lang w:val="es-ES"/>
        </w:rPr>
        <w:t xml:space="preserve">fundamentada científicamente </w:t>
      </w:r>
      <w:proofErr w:type="gramStart"/>
      <w:r w:rsidR="00274185" w:rsidRPr="006E4623">
        <w:rPr>
          <w:rFonts w:eastAsia="Verdana" w:cs="Verdana"/>
          <w:b/>
          <w:color w:val="000000"/>
          <w:lang w:val="es-ES"/>
        </w:rPr>
        <w:t>fidedigna</w:t>
      </w:r>
      <w:r w:rsidR="00274185" w:rsidRPr="006E4623">
        <w:rPr>
          <w:rFonts w:eastAsia="Verdana" w:cs="Verdana"/>
          <w:color w:val="000000"/>
          <w:lang w:val="es-ES"/>
        </w:rPr>
        <w:t xml:space="preserve">, </w:t>
      </w:r>
      <w:r w:rsidR="00274185" w:rsidRPr="006E4623">
        <w:rPr>
          <w:rFonts w:eastAsia="Verdana" w:cs="Verdana"/>
          <w:b/>
          <w:color w:val="000000"/>
          <w:lang w:val="es-ES"/>
        </w:rPr>
        <w:t xml:space="preserve"> viable</w:t>
      </w:r>
      <w:proofErr w:type="gramEnd"/>
      <w:r w:rsidR="00274185" w:rsidRPr="006E4623">
        <w:rPr>
          <w:rFonts w:eastAsia="Verdana" w:cs="Verdana"/>
          <w:b/>
          <w:color w:val="000000"/>
          <w:lang w:val="es-ES"/>
        </w:rPr>
        <w:t xml:space="preserve"> </w:t>
      </w:r>
      <w:r w:rsidR="00274185" w:rsidRPr="006E4623">
        <w:rPr>
          <w:rFonts w:eastAsia="Verdana" w:cs="Verdana"/>
          <w:color w:val="000000"/>
          <w:lang w:val="es-ES"/>
        </w:rPr>
        <w:t xml:space="preserve"> y </w:t>
      </w:r>
      <w:r w:rsidR="00274185" w:rsidRPr="006E4623">
        <w:rPr>
          <w:rFonts w:eastAsia="Verdana" w:cs="Verdana"/>
          <w:b/>
          <w:color w:val="000000"/>
          <w:lang w:val="es-ES"/>
        </w:rPr>
        <w:t xml:space="preserve">accesible  materia de información </w:t>
      </w:r>
      <w:r w:rsidR="00274185" w:rsidRPr="006E4623">
        <w:rPr>
          <w:rFonts w:eastAsia="Verdana" w:cs="Verdana"/>
          <w:color w:val="000000"/>
          <w:lang w:val="es-ES"/>
        </w:rPr>
        <w:t xml:space="preserve"> sobre el </w:t>
      </w:r>
      <w:r w:rsidR="00274185" w:rsidRPr="006E4623">
        <w:rPr>
          <w:rFonts w:eastAsia="Verdana" w:cs="Verdana"/>
          <w:b/>
          <w:color w:val="000000"/>
          <w:lang w:val="es-ES"/>
        </w:rPr>
        <w:t xml:space="preserve">estado de la criosfera </w:t>
      </w:r>
      <w:r w:rsidR="00274185" w:rsidRPr="006E4623">
        <w:rPr>
          <w:rFonts w:eastAsia="Verdana" w:cs="Verdana"/>
          <w:color w:val="000000"/>
          <w:lang w:val="es-ES"/>
        </w:rPr>
        <w:t>como componente clave</w:t>
      </w:r>
      <w:r w:rsidR="00274185" w:rsidRPr="006E4623">
        <w:rPr>
          <w:rFonts w:eastAsia="Verdana" w:cs="Verdana"/>
          <w:b/>
          <w:color w:val="000000"/>
          <w:lang w:val="es-ES"/>
        </w:rPr>
        <w:t xml:space="preserve"> de las observaciones </w:t>
      </w:r>
      <w:r w:rsidR="00274185" w:rsidRPr="006E4623">
        <w:rPr>
          <w:rFonts w:eastAsia="Verdana" w:cs="Verdana"/>
          <w:color w:val="000000"/>
          <w:lang w:val="es-ES"/>
        </w:rPr>
        <w:t xml:space="preserve">del sistema Tierra . La VCG tiene el mandato de apoyar a los Miembros en la mejora sostenible de sus capacidades de observación de todos los componentes de la criosfera, para acceder a los datos de la criosfera y utilizar  los datos de la criosfera  y para elaborar  de valor añadido análisis  e indicadores </w:t>
      </w:r>
      <w:r w:rsidR="00274185" w:rsidRPr="006E4623">
        <w:rPr>
          <w:rFonts w:eastAsia="Verdana" w:cs="Verdana"/>
          <w:b/>
          <w:color w:val="000000"/>
          <w:lang w:val="es-ES"/>
        </w:rPr>
        <w:t xml:space="preserve"> basados en observaciones in situ, espaciales y aéreas</w:t>
      </w:r>
      <w:r w:rsidR="00274185" w:rsidRPr="006E4623">
        <w:rPr>
          <w:rFonts w:eastAsia="Verdana" w:cs="Verdana"/>
          <w:color w:val="000000"/>
          <w:lang w:val="es-ES"/>
        </w:rPr>
        <w:t xml:space="preserve"> de la criosfera, </w:t>
      </w:r>
      <w:r w:rsidR="00274185" w:rsidRPr="006E4623">
        <w:rPr>
          <w:rFonts w:eastAsia="Verdana" w:cs="Verdana"/>
          <w:b/>
          <w:color w:val="000000"/>
          <w:lang w:val="es-ES"/>
        </w:rPr>
        <w:t>así como modelos</w:t>
      </w:r>
      <w:r w:rsidR="00274185" w:rsidRPr="006E4623">
        <w:rPr>
          <w:rFonts w:eastAsia="Verdana" w:cs="Verdana"/>
          <w:color w:val="000000"/>
          <w:lang w:val="es-ES"/>
        </w:rPr>
        <w:t>, para satisfacer las necesidades de información definidas en</w:t>
      </w:r>
      <w:r w:rsidR="00274185" w:rsidRPr="006E4623">
        <w:rPr>
          <w:rFonts w:eastAsia="Verdana" w:cs="Verdana"/>
          <w:lang w:val="es-ES"/>
        </w:rPr>
        <w:t xml:space="preserve"> el núcleo central de la </w:t>
      </w:r>
      <w:hyperlink r:id="rId12">
        <w:r w:rsidR="00274185" w:rsidRPr="006E4623">
          <w:rPr>
            <w:rFonts w:eastAsia="Verdana" w:cs="Verdana"/>
            <w:color w:val="0000FF"/>
            <w:lang w:val="es-ES"/>
          </w:rPr>
          <w:t>criosfera Plan Estratégico</w:t>
        </w:r>
      </w:hyperlink>
      <w:r w:rsidR="00274185" w:rsidRPr="00FC70B3">
        <w:rPr>
          <w:rFonts w:eastAsia="Verdana" w:cs="Verdana"/>
          <w:vertAlign w:val="superscript"/>
        </w:rPr>
        <w:footnoteReference w:id="2"/>
      </w:r>
      <w:r w:rsidR="00274185" w:rsidRPr="006E4623">
        <w:rPr>
          <w:rFonts w:eastAsia="Verdana" w:cs="Verdana"/>
          <w:lang w:val="es-ES"/>
        </w:rPr>
        <w:t xml:space="preserve"> de la OMM para 2020-2023 y </w:t>
      </w:r>
      <w:hyperlink r:id="rId13">
        <w:r w:rsidR="00274185" w:rsidRPr="006E4623">
          <w:rPr>
            <w:rFonts w:eastAsia="Verdana" w:cs="Verdana"/>
            <w:color w:val="0000FF"/>
            <w:lang w:val="es-ES"/>
          </w:rPr>
          <w:t>ambiciones de la OMM en materia de agua</w:t>
        </w:r>
      </w:hyperlink>
      <w:r w:rsidR="00274185" w:rsidRPr="006E4623">
        <w:rPr>
          <w:rFonts w:eastAsia="Verdana" w:cs="Verdana"/>
          <w:lang w:val="es-ES"/>
        </w:rPr>
        <w:t>.</w:t>
      </w:r>
    </w:p>
    <w:p w14:paraId="7FA17D99" w14:textId="77777777" w:rsidR="00274185" w:rsidRPr="006E4623" w:rsidRDefault="00274185" w:rsidP="00D9701D">
      <w:pPr>
        <w:spacing w:before="240" w:after="240"/>
        <w:ind w:right="-170"/>
        <w:jc w:val="left"/>
        <w:rPr>
          <w:rFonts w:eastAsia="Verdana" w:cs="Verdana"/>
          <w:lang w:val="es-ES"/>
        </w:rPr>
      </w:pPr>
      <w:r w:rsidRPr="006E4623">
        <w:rPr>
          <w:rFonts w:eastAsia="Verdana" w:cs="Verdana"/>
          <w:lang w:val="es-ES"/>
        </w:rPr>
        <w:t>Los Miembros necesitan información sobre la criosfera para representar los procesos dinámicos del sistema Tierra y para aplicar el acoplamiento de los sistemas océano-criosfera-atmósfera-tierra en todas las latitudes y altitudes para la vigilancia, la predicción y la predicción meteorológicas, del hielo marino, el clima y la hidrología, con especial atención a la vigilancia operativa en apoyo de la seguridad en la tierra y el hielo marino.</w:t>
      </w:r>
    </w:p>
    <w:p w14:paraId="715C5D86" w14:textId="77777777" w:rsidR="00274185" w:rsidRPr="006E4623" w:rsidRDefault="00274185" w:rsidP="003F6EEC">
      <w:pPr>
        <w:pStyle w:val="Heading2"/>
        <w:spacing w:after="240"/>
        <w:jc w:val="left"/>
        <w:rPr>
          <w:lang w:val="es-ES"/>
        </w:rPr>
      </w:pPr>
      <w:bookmarkStart w:id="2" w:name="_Toc65766289"/>
      <w:r w:rsidRPr="006E4623">
        <w:rPr>
          <w:i/>
          <w:sz w:val="20"/>
          <w:szCs w:val="20"/>
          <w:lang w:val="es-ES"/>
        </w:rPr>
        <w:t>Ejecución de la VCG</w:t>
      </w:r>
      <w:bookmarkEnd w:id="2"/>
    </w:p>
    <w:p w14:paraId="7F7CE320" w14:textId="3E58ED22" w:rsidR="00274185" w:rsidRPr="006E4623" w:rsidRDefault="00274185" w:rsidP="00CA5CAF">
      <w:pPr>
        <w:tabs>
          <w:tab w:val="clear" w:pos="1134"/>
        </w:tabs>
        <w:spacing w:before="120" w:after="120"/>
        <w:ind w:left="567" w:right="-170" w:hanging="561"/>
        <w:jc w:val="left"/>
        <w:rPr>
          <w:lang w:val="es-ES"/>
        </w:rPr>
      </w:pPr>
      <w:r w:rsidRPr="006E4623">
        <w:rPr>
          <w:lang w:val="es-ES"/>
        </w:rPr>
        <w:t>a)</w:t>
      </w:r>
      <w:r w:rsidRPr="006E4623">
        <w:rPr>
          <w:lang w:val="es-ES"/>
        </w:rPr>
        <w:tab/>
      </w:r>
      <w:r w:rsidRPr="006E4623">
        <w:rPr>
          <w:rFonts w:eastAsia="Verdana" w:cs="Verdana"/>
          <w:lang w:val="es-ES"/>
        </w:rPr>
        <w:t>La Red de Observación en Superficie de la VCG (</w:t>
      </w:r>
      <w:proofErr w:type="spellStart"/>
      <w:r w:rsidRPr="006E4623">
        <w:rPr>
          <w:rFonts w:eastAsia="Verdana" w:cs="Verdana"/>
          <w:lang w:val="es-ES"/>
        </w:rPr>
        <w:t>CryoNet</w:t>
      </w:r>
      <w:proofErr w:type="spellEnd"/>
      <w:r w:rsidRPr="006E4623">
        <w:rPr>
          <w:rFonts w:eastAsia="Verdana" w:cs="Verdana"/>
          <w:lang w:val="es-ES"/>
        </w:rPr>
        <w:t xml:space="preserve"> y las estaciones colaboradoras) se incorporó al Sistema Mundial Integrado de Sistemas de Observación de la OMM (WIGOS) (EC-70);</w:t>
      </w:r>
    </w:p>
    <w:p w14:paraId="75222FCB" w14:textId="748E142E" w:rsidR="00274185" w:rsidRPr="006E4623" w:rsidRDefault="00274185" w:rsidP="00A22C47">
      <w:pPr>
        <w:tabs>
          <w:tab w:val="clear" w:pos="1134"/>
        </w:tabs>
        <w:spacing w:before="120" w:after="120"/>
        <w:ind w:left="567" w:right="14" w:hanging="562"/>
        <w:jc w:val="left"/>
        <w:rPr>
          <w:lang w:val="es-ES"/>
        </w:rPr>
      </w:pPr>
      <w:r w:rsidRPr="006E4623">
        <w:rPr>
          <w:lang w:val="es-ES"/>
        </w:rPr>
        <w:lastRenderedPageBreak/>
        <w:t>b)</w:t>
      </w:r>
      <w:r w:rsidRPr="006E4623">
        <w:rPr>
          <w:lang w:val="es-ES"/>
        </w:rPr>
        <w:tab/>
      </w:r>
      <w:r w:rsidRPr="006E4623">
        <w:rPr>
          <w:rFonts w:eastAsia="Verdana" w:cs="Verdana"/>
          <w:lang w:val="es-ES"/>
        </w:rPr>
        <w:t xml:space="preserve">La OMM publicó textos reglamentarios y de orientación específicos sobre la criosfera, en particular como contribuciones al Plan de ejecución del Sistema Mundial de Observación del Clima (SMOC) (2016): </w:t>
      </w:r>
    </w:p>
    <w:p w14:paraId="3B90719D" w14:textId="77777777" w:rsidR="00274185" w:rsidRPr="006E4623" w:rsidRDefault="00274185" w:rsidP="00A22C47">
      <w:pPr>
        <w:tabs>
          <w:tab w:val="clear" w:pos="1134"/>
        </w:tabs>
        <w:spacing w:before="120" w:after="120"/>
        <w:ind w:left="1134" w:right="14" w:hanging="562"/>
        <w:jc w:val="left"/>
        <w:rPr>
          <w:lang w:val="es-ES"/>
        </w:rPr>
      </w:pPr>
      <w:r w:rsidRPr="00FC70B3">
        <w:rPr>
          <w:rFonts w:ascii="Symbol" w:hAnsi="Symbol"/>
        </w:rPr>
        <w:t></w:t>
      </w:r>
      <w:r w:rsidRPr="006E4623">
        <w:rPr>
          <w:rFonts w:ascii="Symbol" w:hAnsi="Symbol"/>
          <w:lang w:val="es-ES"/>
        </w:rPr>
        <w:tab/>
      </w:r>
      <w:hyperlink r:id="rId14" w:anchor=".YE80d0BFyUl" w:history="1">
        <w:r w:rsidRPr="006E4623">
          <w:rPr>
            <w:rFonts w:eastAsia="Verdana" w:cs="Verdana"/>
            <w:i/>
            <w:color w:val="0000FF"/>
            <w:lang w:val="es-ES"/>
          </w:rPr>
          <w:t>Reglamento Técnico, Volumen I – Normas meteorológicas de carácter general y prácticas recomendadas</w:t>
        </w:r>
      </w:hyperlink>
      <w:r w:rsidRPr="006E4623">
        <w:rPr>
          <w:rFonts w:eastAsia="Verdana" w:cs="Verdana"/>
          <w:lang w:val="es-ES"/>
        </w:rPr>
        <w:t xml:space="preserve"> (OMM-Nº 49), parte I, capítulo 8, Características específicas del componente de observación de la VCG;</w:t>
      </w:r>
    </w:p>
    <w:p w14:paraId="2F63590C" w14:textId="0A98EB99" w:rsidR="00274185" w:rsidRPr="006E4623" w:rsidRDefault="00274185" w:rsidP="00A22C47">
      <w:pPr>
        <w:tabs>
          <w:tab w:val="clear" w:pos="1134"/>
        </w:tabs>
        <w:spacing w:before="120" w:after="120"/>
        <w:ind w:left="1134" w:right="14" w:hanging="562"/>
        <w:jc w:val="left"/>
        <w:rPr>
          <w:lang w:val="es-ES"/>
        </w:rPr>
      </w:pPr>
      <w:r w:rsidRPr="00FC70B3">
        <w:rPr>
          <w:rFonts w:ascii="Symbol" w:hAnsi="Symbol"/>
        </w:rPr>
        <w:t></w:t>
      </w:r>
      <w:r w:rsidRPr="006E4623">
        <w:rPr>
          <w:rFonts w:ascii="Symbol" w:hAnsi="Symbol"/>
          <w:lang w:val="es-ES"/>
        </w:rPr>
        <w:tab/>
      </w:r>
      <w:hyperlink r:id="rId15" w:anchor=".YE808p1KiUk" w:history="1">
        <w:r w:rsidR="003F0954" w:rsidRPr="006E4623">
          <w:rPr>
            <w:rFonts w:eastAsia="Verdana" w:cs="Verdana"/>
            <w:i/>
            <w:color w:val="0000FF"/>
            <w:lang w:val="es-ES"/>
          </w:rPr>
          <w:t>Manual del Sistema Mundial Integrado de Sistemas de Observación de la OMM, anexo VIII al Reglamento Técnico de la OMM</w:t>
        </w:r>
      </w:hyperlink>
      <w:r w:rsidRPr="006E4623">
        <w:rPr>
          <w:rFonts w:eastAsia="Verdana" w:cs="Verdana"/>
          <w:i/>
          <w:lang w:val="es-ES"/>
        </w:rPr>
        <w:t xml:space="preserve"> </w:t>
      </w:r>
      <w:r w:rsidRPr="006E4623">
        <w:rPr>
          <w:rFonts w:eastAsia="Verdana" w:cs="Verdana"/>
          <w:lang w:val="es-ES"/>
        </w:rPr>
        <w:t>(OMM-Nº 1160), capítulo 8, Características específicas del componente de observación de la VCG;</w:t>
      </w:r>
    </w:p>
    <w:p w14:paraId="115BE001" w14:textId="77777777" w:rsidR="00274185" w:rsidRPr="006E4623" w:rsidRDefault="00274185" w:rsidP="00A22C47">
      <w:pPr>
        <w:tabs>
          <w:tab w:val="clear" w:pos="1134"/>
        </w:tabs>
        <w:spacing w:before="120" w:after="120"/>
        <w:ind w:left="1134" w:right="14" w:hanging="562"/>
        <w:jc w:val="left"/>
        <w:rPr>
          <w:lang w:val="es-ES"/>
        </w:rPr>
      </w:pPr>
      <w:r w:rsidRPr="00FC70B3">
        <w:rPr>
          <w:rFonts w:ascii="Symbol" w:hAnsi="Symbol"/>
        </w:rPr>
        <w:t></w:t>
      </w:r>
      <w:r w:rsidRPr="006E4623">
        <w:rPr>
          <w:rFonts w:ascii="Symbol" w:hAnsi="Symbol"/>
          <w:lang w:val="es-ES"/>
        </w:rPr>
        <w:tab/>
      </w:r>
      <w:hyperlink r:id="rId16" w:anchor=".YE81QkBFyUl" w:history="1">
        <w:r w:rsidRPr="006E4623">
          <w:rPr>
            <w:rFonts w:eastAsia="Verdana" w:cs="Verdana"/>
            <w:i/>
            <w:color w:val="0000FF"/>
            <w:lang w:val="es-ES"/>
          </w:rPr>
          <w:t>Guía de Instrumentos y Métodos de Observación</w:t>
        </w:r>
      </w:hyperlink>
      <w:r w:rsidRPr="006E4623">
        <w:rPr>
          <w:rFonts w:eastAsia="Verdana" w:cs="Verdana"/>
          <w:lang w:val="es-ES"/>
        </w:rPr>
        <w:t xml:space="preserve"> (OMM-Nº 8), Volumen II – Medición de variables de la criosfera;</w:t>
      </w:r>
    </w:p>
    <w:p w14:paraId="0CAD3426" w14:textId="77777777" w:rsidR="00274185" w:rsidRPr="006E4623" w:rsidRDefault="00274185" w:rsidP="00A22C47">
      <w:pPr>
        <w:tabs>
          <w:tab w:val="clear" w:pos="1134"/>
        </w:tabs>
        <w:spacing w:before="120" w:after="120"/>
        <w:ind w:left="1134" w:right="14" w:hanging="562"/>
        <w:jc w:val="left"/>
        <w:rPr>
          <w:lang w:val="es-ES"/>
        </w:rPr>
      </w:pPr>
      <w:r w:rsidRPr="00FC70B3">
        <w:rPr>
          <w:rFonts w:ascii="Symbol" w:hAnsi="Symbol"/>
        </w:rPr>
        <w:t></w:t>
      </w:r>
      <w:r w:rsidRPr="006E4623">
        <w:rPr>
          <w:rFonts w:ascii="Symbol" w:hAnsi="Symbol"/>
          <w:lang w:val="es-ES"/>
        </w:rPr>
        <w:tab/>
      </w:r>
      <w:r w:rsidRPr="006E4623">
        <w:rPr>
          <w:rFonts w:eastAsia="Verdana" w:cs="Verdana"/>
          <w:lang w:val="es-ES"/>
        </w:rPr>
        <w:t xml:space="preserve">Los metadatos específicos de la criosfera se incluyeron en los siguientes </w:t>
      </w:r>
      <w:hyperlink r:id="rId17" w:anchor=".YE81a0BFyUk" w:history="1">
        <w:r w:rsidRPr="006E4623">
          <w:rPr>
            <w:rFonts w:eastAsia="Verdana" w:cs="Verdana"/>
            <w:i/>
            <w:color w:val="0000FF"/>
            <w:lang w:val="es-ES"/>
          </w:rPr>
          <w:t xml:space="preserve">Norma sobre metadatos del WIGOS </w:t>
        </w:r>
      </w:hyperlink>
      <w:r w:rsidRPr="006E4623">
        <w:rPr>
          <w:rFonts w:eastAsia="Verdana" w:cs="Verdana"/>
          <w:lang w:val="es-ES"/>
        </w:rPr>
        <w:t xml:space="preserve">(OMM-Nº 1192); </w:t>
      </w:r>
    </w:p>
    <w:p w14:paraId="6BB6489B" w14:textId="77777777" w:rsidR="00274185" w:rsidRPr="006E4623" w:rsidRDefault="00274185" w:rsidP="00A22C47">
      <w:pPr>
        <w:tabs>
          <w:tab w:val="clear" w:pos="1134"/>
        </w:tabs>
        <w:spacing w:before="120" w:after="120"/>
        <w:ind w:left="567" w:right="14" w:hanging="567"/>
        <w:jc w:val="left"/>
        <w:rPr>
          <w:lang w:val="es-ES"/>
        </w:rPr>
      </w:pPr>
      <w:r w:rsidRPr="006E4623">
        <w:rPr>
          <w:lang w:val="es-ES"/>
        </w:rPr>
        <w:t>c)</w:t>
      </w:r>
      <w:r w:rsidRPr="006E4623">
        <w:rPr>
          <w:lang w:val="es-ES"/>
        </w:rPr>
        <w:tab/>
      </w:r>
      <w:r w:rsidRPr="006E4623">
        <w:rPr>
          <w:rFonts w:eastAsia="Verdana" w:cs="Verdana"/>
          <w:lang w:val="es-ES"/>
        </w:rPr>
        <w:t xml:space="preserve">El </w:t>
      </w:r>
      <w:hyperlink r:id="rId18">
        <w:r w:rsidRPr="006E4623">
          <w:rPr>
            <w:rFonts w:eastAsia="Verdana" w:cs="Verdana"/>
            <w:color w:val="0000FF"/>
            <w:lang w:val="es-ES"/>
          </w:rPr>
          <w:t xml:space="preserve">Portal de datos de la VCG </w:t>
        </w:r>
      </w:hyperlink>
      <w:r w:rsidR="00F53DF1" w:rsidRPr="006E4623">
        <w:rPr>
          <w:rFonts w:eastAsia="Verdana" w:cs="Verdana"/>
          <w:lang w:val="es-ES"/>
        </w:rPr>
        <w:t>fue establecido por el Instituto Meteorológico de Noruega;</w:t>
      </w:r>
    </w:p>
    <w:p w14:paraId="4B0C41FE" w14:textId="316B6AE8" w:rsidR="00274185" w:rsidRPr="006E4623" w:rsidRDefault="00274185" w:rsidP="00CA5CAF">
      <w:pPr>
        <w:tabs>
          <w:tab w:val="clear" w:pos="1134"/>
        </w:tabs>
        <w:spacing w:before="120" w:after="120"/>
        <w:ind w:left="567" w:right="-170" w:hanging="561"/>
        <w:jc w:val="left"/>
        <w:rPr>
          <w:lang w:val="es-ES"/>
        </w:rPr>
      </w:pPr>
      <w:r w:rsidRPr="006E4623">
        <w:rPr>
          <w:lang w:val="es-ES"/>
        </w:rPr>
        <w:t>d)</w:t>
      </w:r>
      <w:r w:rsidRPr="006E4623">
        <w:rPr>
          <w:lang w:val="es-ES"/>
        </w:rPr>
        <w:tab/>
      </w:r>
      <w:r w:rsidRPr="006E4623">
        <w:rPr>
          <w:rFonts w:eastAsia="Verdana" w:cs="Verdana"/>
          <w:lang w:val="es-ES"/>
        </w:rPr>
        <w:t xml:space="preserve">Tabla BUFR para el intercambio internacional del espesor de la nieve y el equivalente en agua de los datos de la capa de nieve— publicados en el cuadro BUFR </w:t>
      </w:r>
      <w:hyperlink r:id="rId19" w:anchor=".YE81lEBFyUk" w:history="1">
        <w:r w:rsidRPr="006E4623">
          <w:rPr>
            <w:rFonts w:eastAsia="Verdana" w:cs="Verdana"/>
            <w:i/>
            <w:color w:val="0000FF"/>
            <w:lang w:val="es-ES"/>
          </w:rPr>
          <w:t xml:space="preserve">Manual de claves </w:t>
        </w:r>
      </w:hyperlink>
      <w:r w:rsidRPr="006E4623">
        <w:rPr>
          <w:rFonts w:eastAsia="Verdana" w:cs="Verdana"/>
          <w:lang w:val="es-ES"/>
        </w:rPr>
        <w:t>(OMM-Nº 306); Ello facilitó un aumento del 60 % en el intercambio de datos sobre nieve entre 2017 y 2020;</w:t>
      </w:r>
    </w:p>
    <w:p w14:paraId="304C8577" w14:textId="77777777" w:rsidR="00274185" w:rsidRPr="006E4623" w:rsidRDefault="00274185" w:rsidP="00A22C47">
      <w:pPr>
        <w:tabs>
          <w:tab w:val="clear" w:pos="1134"/>
        </w:tabs>
        <w:spacing w:before="120" w:after="120"/>
        <w:ind w:left="567" w:right="14" w:hanging="562"/>
        <w:jc w:val="left"/>
        <w:rPr>
          <w:lang w:val="es-ES"/>
        </w:rPr>
      </w:pPr>
      <w:r w:rsidRPr="006E4623">
        <w:rPr>
          <w:lang w:val="es-ES"/>
        </w:rPr>
        <w:t>e)</w:t>
      </w:r>
      <w:r w:rsidRPr="006E4623">
        <w:rPr>
          <w:lang w:val="es-ES"/>
        </w:rPr>
        <w:tab/>
      </w:r>
      <w:hyperlink r:id="rId20">
        <w:r w:rsidRPr="006E4623">
          <w:rPr>
            <w:rFonts w:eastAsia="Verdana" w:cs="Verdana"/>
            <w:color w:val="0000FF"/>
            <w:lang w:val="es-ES"/>
          </w:rPr>
          <w:t>Evaluaciones</w:t>
        </w:r>
      </w:hyperlink>
      <w:r w:rsidRPr="006E4623">
        <w:rPr>
          <w:rFonts w:eastAsia="Verdana" w:cs="Verdana"/>
          <w:color w:val="000000"/>
          <w:lang w:val="es-ES"/>
        </w:rPr>
        <w:t xml:space="preserve"> Y </w:t>
      </w:r>
      <w:hyperlink r:id="rId21">
        <w:r w:rsidRPr="006E4623">
          <w:rPr>
            <w:rFonts w:eastAsia="Verdana" w:cs="Verdana"/>
            <w:color w:val="0000FF"/>
            <w:lang w:val="es-ES"/>
          </w:rPr>
          <w:t>Seguidores</w:t>
        </w:r>
      </w:hyperlink>
      <w:r w:rsidRPr="006E4623">
        <w:rPr>
          <w:rFonts w:eastAsia="Verdana" w:cs="Verdana"/>
          <w:color w:val="000000"/>
          <w:lang w:val="es-ES"/>
        </w:rPr>
        <w:t xml:space="preserve"> En el sitio web de la VCG se publican periódicamente en el sitio web de la VCG, por ejemplo, los rastreadores de nieve y las evaluaciones estacionales de la capa de nieve;</w:t>
      </w:r>
    </w:p>
    <w:p w14:paraId="02A8F80E" w14:textId="77777777" w:rsidR="00A630C9" w:rsidRPr="006E4623" w:rsidRDefault="00274185" w:rsidP="00A22C47">
      <w:pPr>
        <w:tabs>
          <w:tab w:val="clear" w:pos="1134"/>
        </w:tabs>
        <w:spacing w:before="120" w:after="120"/>
        <w:ind w:left="567" w:right="14" w:hanging="562"/>
        <w:jc w:val="left"/>
        <w:rPr>
          <w:lang w:val="es-ES"/>
        </w:rPr>
      </w:pPr>
      <w:r w:rsidRPr="006E4623">
        <w:rPr>
          <w:lang w:val="es-ES"/>
        </w:rPr>
        <w:t>f)</w:t>
      </w:r>
      <w:r w:rsidRPr="006E4623">
        <w:rPr>
          <w:lang w:val="es-ES"/>
        </w:rPr>
        <w:tab/>
      </w:r>
      <w:hyperlink r:id="rId22">
        <w:r w:rsidRPr="006E4623">
          <w:rPr>
            <w:rFonts w:eastAsia="Verdana" w:cs="Verdana"/>
            <w:color w:val="0000FF"/>
            <w:lang w:val="es-ES"/>
          </w:rPr>
          <w:t>Marco de vigilancia de la nieve</w:t>
        </w:r>
      </w:hyperlink>
      <w:r w:rsidRPr="006E4623">
        <w:rPr>
          <w:rFonts w:eastAsia="Verdana" w:cs="Verdana"/>
          <w:color w:val="000000"/>
          <w:lang w:val="es-ES"/>
        </w:rPr>
        <w:t xml:space="preserve"> de las actividades, que incluyen las siguientes </w:t>
      </w:r>
      <w:hyperlink r:id="rId23">
        <w:r w:rsidRPr="006E4623">
          <w:rPr>
            <w:rFonts w:eastAsia="Verdana" w:cs="Verdana"/>
            <w:color w:val="0000FF"/>
            <w:lang w:val="es-ES"/>
          </w:rPr>
          <w:t>Inventarios de productos de nieve</w:t>
        </w:r>
      </w:hyperlink>
      <w:r w:rsidRPr="006E4623">
        <w:rPr>
          <w:rFonts w:eastAsia="Verdana" w:cs="Verdana"/>
          <w:color w:val="000000"/>
          <w:lang w:val="es-ES"/>
        </w:rPr>
        <w:t>;</w:t>
      </w:r>
      <w:bookmarkStart w:id="3" w:name="_30j0zll" w:colFirst="0" w:colLast="0"/>
      <w:bookmarkEnd w:id="3"/>
    </w:p>
    <w:p w14:paraId="2740F20D" w14:textId="77777777" w:rsidR="00274185" w:rsidRPr="006E4623" w:rsidRDefault="00274185" w:rsidP="00705BC3">
      <w:pPr>
        <w:pStyle w:val="Heading2"/>
        <w:spacing w:after="240"/>
        <w:jc w:val="left"/>
        <w:rPr>
          <w:i/>
          <w:iCs w:val="0"/>
          <w:lang w:val="es-ES"/>
        </w:rPr>
      </w:pPr>
      <w:r w:rsidRPr="006E4623">
        <w:rPr>
          <w:i/>
          <w:sz w:val="20"/>
          <w:szCs w:val="20"/>
          <w:lang w:val="es-ES"/>
        </w:rPr>
        <w:t>Informe de situación de la VCG para 2020-2022</w:t>
      </w:r>
    </w:p>
    <w:p w14:paraId="0192A2B6" w14:textId="77777777" w:rsidR="00274185" w:rsidRPr="006E4623" w:rsidRDefault="00274185" w:rsidP="00D9701D">
      <w:pPr>
        <w:pStyle w:val="Heading3"/>
        <w:spacing w:before="240" w:after="240"/>
        <w:rPr>
          <w:b w:val="0"/>
          <w:bCs w:val="0"/>
          <w:i/>
          <w:iCs/>
          <w:lang w:val="es-ES"/>
        </w:rPr>
      </w:pPr>
      <w:bookmarkStart w:id="4" w:name="_tyjcwt" w:colFirst="0" w:colLast="0"/>
      <w:bookmarkStart w:id="5" w:name="_Toc65766294"/>
      <w:bookmarkEnd w:id="4"/>
      <w:r w:rsidRPr="006E4623">
        <w:rPr>
          <w:b w:val="0"/>
          <w:i/>
          <w:lang w:val="es-ES"/>
        </w:rPr>
        <w:t>Mantenimiento de las observaciones de la criosfera</w:t>
      </w:r>
      <w:bookmarkEnd w:id="5"/>
    </w:p>
    <w:p w14:paraId="7178DD42" w14:textId="371AB03F" w:rsidR="00274185" w:rsidRPr="006E4623" w:rsidRDefault="00274185" w:rsidP="00A22C47">
      <w:pPr>
        <w:keepNext/>
        <w:keepLines/>
        <w:tabs>
          <w:tab w:val="clear" w:pos="1134"/>
        </w:tabs>
        <w:spacing w:before="120" w:after="120"/>
        <w:ind w:left="567" w:right="11" w:hanging="567"/>
        <w:jc w:val="left"/>
        <w:rPr>
          <w:rFonts w:eastAsia="Verdana" w:cs="Verdana"/>
          <w:lang w:val="es-ES"/>
        </w:rPr>
      </w:pPr>
      <w:r w:rsidRPr="006E4623">
        <w:rPr>
          <w:rFonts w:eastAsia="Verdana" w:cs="Verdana"/>
          <w:color w:val="000000"/>
          <w:lang w:val="es-ES"/>
        </w:rPr>
        <w:t>a)</w:t>
      </w:r>
      <w:r w:rsidRPr="006E4623">
        <w:rPr>
          <w:rFonts w:eastAsia="Verdana" w:cs="Verdana"/>
          <w:color w:val="000000"/>
          <w:lang w:val="es-ES"/>
        </w:rPr>
        <w:tab/>
      </w:r>
      <w:r w:rsidRPr="006E4623">
        <w:rPr>
          <w:rFonts w:eastAsia="Verdana" w:cs="Verdana"/>
          <w:lang w:val="es-ES"/>
        </w:rPr>
        <w:t xml:space="preserve">Actualizaciones pertinentes de la VCG al </w:t>
      </w:r>
      <w:hyperlink r:id="rId24" w:history="1">
        <w:r w:rsidRPr="006E4623">
          <w:rPr>
            <w:rStyle w:val="Hyperlink"/>
            <w:rFonts w:eastAsia="Verdana" w:cs="Verdana"/>
            <w:i/>
            <w:lang w:val="es-ES"/>
          </w:rPr>
          <w:t>Guía del Sistema Mundial Integrado de Sistemas de Observación de la OMM</w:t>
        </w:r>
      </w:hyperlink>
      <w:r w:rsidRPr="006E4623">
        <w:rPr>
          <w:rFonts w:eastAsia="Verdana" w:cs="Verdana"/>
          <w:lang w:val="es-ES"/>
        </w:rPr>
        <w:t>, (OMM-Nº 1165):</w:t>
      </w:r>
    </w:p>
    <w:p w14:paraId="44CD0F35" w14:textId="30740822" w:rsidR="00274185" w:rsidRPr="006E4623" w:rsidRDefault="00274185" w:rsidP="00A22C47">
      <w:pPr>
        <w:pStyle w:val="ListParagraph"/>
        <w:numPr>
          <w:ilvl w:val="0"/>
          <w:numId w:val="2"/>
        </w:numPr>
        <w:tabs>
          <w:tab w:val="clear" w:pos="1134"/>
        </w:tabs>
        <w:spacing w:before="120" w:after="120"/>
        <w:ind w:left="1134" w:right="11" w:hanging="567"/>
        <w:contextualSpacing w:val="0"/>
        <w:jc w:val="left"/>
        <w:rPr>
          <w:rFonts w:eastAsia="Verdana" w:cs="Verdana"/>
          <w:lang w:val="es-ES"/>
        </w:rPr>
      </w:pPr>
      <w:r w:rsidRPr="006E4623">
        <w:rPr>
          <w:rFonts w:eastAsia="Verdana" w:cs="Verdana"/>
          <w:lang w:val="es-ES"/>
        </w:rPr>
        <w:t>Sección 10.2 — Guía para la inscripción de estaciones de la VCG — publicada en 2021;</w:t>
      </w:r>
    </w:p>
    <w:p w14:paraId="09CD4EBB" w14:textId="2C1A0BEC" w:rsidR="00274185" w:rsidRPr="006E4623" w:rsidRDefault="00274185" w:rsidP="00A22C47">
      <w:pPr>
        <w:pStyle w:val="WMOBodyText"/>
        <w:numPr>
          <w:ilvl w:val="0"/>
          <w:numId w:val="2"/>
        </w:numPr>
        <w:spacing w:before="120" w:after="120"/>
        <w:ind w:left="1134" w:hanging="567"/>
        <w:rPr>
          <w:lang w:val="es-ES" w:eastAsia="en-US"/>
        </w:rPr>
      </w:pPr>
      <w:r w:rsidRPr="006E4623">
        <w:rPr>
          <w:lang w:val="es-ES"/>
        </w:rPr>
        <w:t xml:space="preserve">Conjuntos de estaciones — aplicación de las agrupaciones de </w:t>
      </w:r>
      <w:proofErr w:type="spellStart"/>
      <w:r w:rsidRPr="006E4623">
        <w:rPr>
          <w:lang w:val="es-ES"/>
        </w:rPr>
        <w:t>CryoNet</w:t>
      </w:r>
      <w:proofErr w:type="spellEnd"/>
      <w:r w:rsidRPr="006E4623">
        <w:rPr>
          <w:lang w:val="es-ES"/>
        </w:rPr>
        <w:t xml:space="preserve"> (OMM-Nº 1160, apéndice 8) — INFCOM-2;</w:t>
      </w:r>
    </w:p>
    <w:p w14:paraId="245213AF" w14:textId="77777777" w:rsidR="00274185" w:rsidRPr="006E4623" w:rsidRDefault="00274185" w:rsidP="00A22C47">
      <w:pPr>
        <w:tabs>
          <w:tab w:val="clear" w:pos="1134"/>
          <w:tab w:val="left" w:pos="567"/>
        </w:tabs>
        <w:spacing w:before="240" w:after="240"/>
        <w:ind w:left="567" w:right="11" w:hanging="567"/>
        <w:jc w:val="left"/>
        <w:rPr>
          <w:rFonts w:eastAsia="Verdana" w:cs="Verdana"/>
          <w:lang w:val="es-ES"/>
        </w:rPr>
      </w:pPr>
      <w:r w:rsidRPr="006E4623">
        <w:rPr>
          <w:rFonts w:eastAsia="Verdana" w:cs="Verdana"/>
          <w:color w:val="000000"/>
          <w:lang w:val="es-ES"/>
        </w:rPr>
        <w:t>b)</w:t>
      </w:r>
      <w:r w:rsidRPr="006E4623">
        <w:rPr>
          <w:rFonts w:eastAsia="Verdana" w:cs="Verdana"/>
          <w:color w:val="000000"/>
          <w:lang w:val="es-ES"/>
        </w:rPr>
        <w:tab/>
      </w:r>
      <w:r w:rsidRPr="006E4623">
        <w:rPr>
          <w:rFonts w:eastAsia="Verdana" w:cs="Verdana"/>
          <w:lang w:val="es-ES"/>
        </w:rPr>
        <w:t xml:space="preserve">Red de observación de la VCG: </w:t>
      </w:r>
    </w:p>
    <w:p w14:paraId="7BC9D971" w14:textId="04748217" w:rsidR="00274185" w:rsidRPr="006E4623" w:rsidRDefault="00274185" w:rsidP="00A22C47">
      <w:pPr>
        <w:pStyle w:val="ListParagraph"/>
        <w:numPr>
          <w:ilvl w:val="0"/>
          <w:numId w:val="1"/>
        </w:numPr>
        <w:tabs>
          <w:tab w:val="clear" w:pos="1134"/>
        </w:tabs>
        <w:spacing w:before="120" w:after="120"/>
        <w:ind w:left="1134" w:right="14" w:hanging="567"/>
        <w:contextualSpacing w:val="0"/>
        <w:jc w:val="left"/>
        <w:rPr>
          <w:rFonts w:eastAsia="Verdana" w:cs="Verdana"/>
          <w:lang w:val="es-ES"/>
        </w:rPr>
      </w:pPr>
      <w:r w:rsidRPr="006E4623">
        <w:rPr>
          <w:rFonts w:eastAsia="Verdana" w:cs="Verdana"/>
          <w:lang w:val="es-ES"/>
        </w:rPr>
        <w:t xml:space="preserve">La VCG es una autoridad designada para la asignación de la clave de red de identificadores de estación del WIGOS (WSI) 21000, para las estaciones de la VCG cuando los Miembros no estén en condiciones de emitir un WSI — </w:t>
      </w:r>
      <w:hyperlink r:id="rId25" w:history="1">
        <w:r w:rsidR="00D215E0" w:rsidRPr="006E4623">
          <w:rPr>
            <w:rStyle w:val="Hyperlink"/>
            <w:rFonts w:eastAsia="Verdana" w:cs="Verdana"/>
            <w:i/>
            <w:lang w:val="es-ES"/>
          </w:rPr>
          <w:t xml:space="preserve">Guía del Sistema Mundial Integrado de Sistemas de Observación de la </w:t>
        </w:r>
      </w:hyperlink>
      <w:r w:rsidR="00D215E0" w:rsidRPr="006E4623">
        <w:rPr>
          <w:rFonts w:eastAsia="Verdana" w:cs="Verdana"/>
          <w:lang w:val="es-ES"/>
        </w:rPr>
        <w:t>OMM (OMM-Nº 1165);</w:t>
      </w:r>
    </w:p>
    <w:p w14:paraId="09A7BF16" w14:textId="77777777" w:rsidR="00274185" w:rsidRPr="006E4623" w:rsidRDefault="009F1E9F" w:rsidP="00CA5CAF">
      <w:pPr>
        <w:pStyle w:val="ListParagraph"/>
        <w:numPr>
          <w:ilvl w:val="0"/>
          <w:numId w:val="1"/>
        </w:numPr>
        <w:tabs>
          <w:tab w:val="clear" w:pos="1134"/>
        </w:tabs>
        <w:spacing w:before="120" w:after="120"/>
        <w:ind w:left="1134" w:right="-170" w:hanging="567"/>
        <w:contextualSpacing w:val="0"/>
        <w:jc w:val="left"/>
        <w:rPr>
          <w:rFonts w:eastAsia="Verdana" w:cs="Verdana"/>
          <w:lang w:val="es-ES"/>
        </w:rPr>
      </w:pPr>
      <w:r w:rsidRPr="006E4623">
        <w:rPr>
          <w:rFonts w:eastAsia="Verdana" w:cs="Verdana"/>
          <w:lang w:val="es-ES"/>
        </w:rPr>
        <w:t xml:space="preserve">La Secretaría de la VCG colaborará con la Herramienta de análisis y examen de la capacidad de los sistemas de observación (OSCAR)/Surface para transferir las estaciones de la VCG ya aprobadas y el registro de observaciones adicionales de la criosfera operadas por los Miembros en OSCAR/Surface; </w:t>
      </w:r>
    </w:p>
    <w:p w14:paraId="035A6C5D" w14:textId="77777777" w:rsidR="00274185" w:rsidRPr="006E4623" w:rsidRDefault="00274185" w:rsidP="00A22C47">
      <w:pPr>
        <w:tabs>
          <w:tab w:val="clear" w:pos="1134"/>
        </w:tabs>
        <w:spacing w:before="240" w:after="240"/>
        <w:ind w:left="567" w:right="14" w:hanging="567"/>
        <w:jc w:val="left"/>
        <w:rPr>
          <w:rFonts w:eastAsia="Verdana" w:cs="Verdana"/>
          <w:lang w:val="es-ES"/>
        </w:rPr>
      </w:pPr>
      <w:r w:rsidRPr="006E4623">
        <w:rPr>
          <w:rFonts w:eastAsia="Verdana" w:cs="Verdana"/>
          <w:color w:val="000000"/>
          <w:lang w:val="es-ES"/>
        </w:rPr>
        <w:t>c)</w:t>
      </w:r>
      <w:r w:rsidRPr="006E4623">
        <w:rPr>
          <w:rFonts w:eastAsia="Verdana" w:cs="Verdana"/>
          <w:color w:val="000000"/>
          <w:lang w:val="es-ES"/>
        </w:rPr>
        <w:tab/>
      </w:r>
      <w:r w:rsidR="00CF70DC" w:rsidRPr="006E4623">
        <w:rPr>
          <w:rFonts w:eastAsia="Verdana" w:cs="Verdana"/>
          <w:color w:val="000000"/>
          <w:lang w:val="es-ES"/>
        </w:rPr>
        <w:t>El</w:t>
      </w:r>
      <w:r w:rsidRPr="006E4623">
        <w:rPr>
          <w:rFonts w:eastAsia="Verdana" w:cs="Verdana"/>
          <w:lang w:val="es-ES"/>
        </w:rPr>
        <w:t xml:space="preserve"> Red Mundial Básica de Observaciones (GBON):</w:t>
      </w:r>
    </w:p>
    <w:p w14:paraId="3EFBD632" w14:textId="77777777" w:rsidR="00274185" w:rsidRPr="006E4623" w:rsidRDefault="00274185" w:rsidP="00A22C47">
      <w:pPr>
        <w:pStyle w:val="ListParagraph"/>
        <w:numPr>
          <w:ilvl w:val="0"/>
          <w:numId w:val="3"/>
        </w:numPr>
        <w:tabs>
          <w:tab w:val="clear" w:pos="1134"/>
        </w:tabs>
        <w:spacing w:before="120" w:after="120"/>
        <w:ind w:left="1134" w:right="14" w:hanging="567"/>
        <w:contextualSpacing w:val="0"/>
        <w:jc w:val="left"/>
        <w:rPr>
          <w:rFonts w:eastAsia="Verdana" w:cs="Verdana"/>
          <w:color w:val="000000"/>
          <w:lang w:val="es-ES"/>
        </w:rPr>
      </w:pPr>
      <w:r w:rsidRPr="006E4623">
        <w:rPr>
          <w:rFonts w:eastAsia="Verdana" w:cs="Verdana"/>
          <w:color w:val="000000"/>
          <w:lang w:val="es-ES"/>
        </w:rPr>
        <w:t>El espesor de la nieve es una de las variables de la GBON;</w:t>
      </w:r>
    </w:p>
    <w:p w14:paraId="5E550EA9" w14:textId="77777777" w:rsidR="005A7857" w:rsidRPr="006E4623" w:rsidRDefault="00CF70DC" w:rsidP="005B1427">
      <w:pPr>
        <w:pStyle w:val="ListParagraph"/>
        <w:numPr>
          <w:ilvl w:val="0"/>
          <w:numId w:val="3"/>
        </w:numPr>
        <w:tabs>
          <w:tab w:val="clear" w:pos="1134"/>
        </w:tabs>
        <w:spacing w:before="120" w:after="120"/>
        <w:ind w:left="1134" w:right="-170" w:hanging="567"/>
        <w:contextualSpacing w:val="0"/>
        <w:jc w:val="left"/>
        <w:rPr>
          <w:rFonts w:eastAsia="Verdana" w:cs="Verdana"/>
          <w:color w:val="000000"/>
          <w:lang w:val="es-ES"/>
        </w:rPr>
      </w:pPr>
      <w:r w:rsidRPr="006E4623">
        <w:rPr>
          <w:rFonts w:eastAsia="Verdana" w:cs="Verdana"/>
          <w:color w:val="000000"/>
          <w:lang w:val="es-ES"/>
        </w:rPr>
        <w:lastRenderedPageBreak/>
        <w:t>Aproximadamente el 8 % de las observaciones del espesor de la nieve intercambiadas a través del Sistema Mundial de Telecomunicación (SMT) están registradas en OSCAR/Surface, en 2022;</w:t>
      </w:r>
    </w:p>
    <w:p w14:paraId="002042B7" w14:textId="77777777" w:rsidR="00274185" w:rsidRPr="006E4623" w:rsidRDefault="00274185" w:rsidP="00DC2EE0">
      <w:pPr>
        <w:pStyle w:val="ListParagraph"/>
        <w:numPr>
          <w:ilvl w:val="0"/>
          <w:numId w:val="3"/>
        </w:numPr>
        <w:tabs>
          <w:tab w:val="clear" w:pos="1134"/>
        </w:tabs>
        <w:spacing w:before="120" w:after="120"/>
        <w:ind w:left="1134" w:right="-170" w:hanging="567"/>
        <w:contextualSpacing w:val="0"/>
        <w:jc w:val="left"/>
        <w:rPr>
          <w:rFonts w:eastAsia="Verdana" w:cs="Verdana"/>
          <w:color w:val="000000"/>
          <w:lang w:val="es-ES"/>
        </w:rPr>
      </w:pPr>
      <w:r w:rsidRPr="006E4623">
        <w:rPr>
          <w:rFonts w:eastAsia="Verdana" w:cs="Verdana"/>
          <w:color w:val="000000"/>
          <w:lang w:val="es-ES"/>
        </w:rPr>
        <w:t xml:space="preserve">La VCG está colaborando con los Miembros y el Centro Europeo de Previsiones Meteorológicas a Plazo Medio (ECMWF) para registrar las observaciones operativas del espesor de la nieve en la estación ya en OSCAR/Surface; </w:t>
      </w:r>
    </w:p>
    <w:p w14:paraId="70AC075F" w14:textId="3B09939D" w:rsidR="00274185" w:rsidRPr="006E4623" w:rsidRDefault="00274185" w:rsidP="005B1427">
      <w:pPr>
        <w:pBdr>
          <w:top w:val="nil"/>
          <w:left w:val="nil"/>
          <w:bottom w:val="nil"/>
          <w:right w:val="nil"/>
          <w:between w:val="nil"/>
        </w:pBdr>
        <w:tabs>
          <w:tab w:val="clear" w:pos="1134"/>
        </w:tabs>
        <w:spacing w:before="240" w:after="240"/>
        <w:ind w:left="567" w:right="-170" w:hanging="567"/>
        <w:jc w:val="left"/>
        <w:rPr>
          <w:rFonts w:eastAsia="Verdana" w:cs="Verdana"/>
          <w:color w:val="000000"/>
          <w:lang w:val="es-ES"/>
        </w:rPr>
      </w:pPr>
      <w:bookmarkStart w:id="6" w:name="_Toc65766295"/>
      <w:r w:rsidRPr="006E4623">
        <w:rPr>
          <w:rFonts w:eastAsia="Verdana" w:cs="Verdana"/>
          <w:color w:val="000000"/>
          <w:lang w:val="es-ES"/>
        </w:rPr>
        <w:t>d)</w:t>
      </w:r>
      <w:r w:rsidR="00A22C47" w:rsidRPr="006E4623">
        <w:rPr>
          <w:rFonts w:eastAsia="Verdana" w:cs="Verdana"/>
          <w:color w:val="000000"/>
          <w:lang w:val="es-ES"/>
        </w:rPr>
        <w:tab/>
      </w:r>
      <w:hyperlink r:id="rId26" w:anchor=".YE823EBFyUk" w:history="1">
        <w:r w:rsidRPr="006E4623">
          <w:rPr>
            <w:rFonts w:eastAsia="Verdana" w:cs="Verdana"/>
            <w:i/>
            <w:color w:val="0000FF"/>
            <w:lang w:val="es-ES"/>
          </w:rPr>
          <w:t>Guía de Instrumentos y Métodos de Observación</w:t>
        </w:r>
      </w:hyperlink>
      <w:r w:rsidRPr="006E4623">
        <w:rPr>
          <w:rFonts w:eastAsia="Verdana" w:cs="Verdana"/>
          <w:lang w:val="es-ES"/>
        </w:rPr>
        <w:t xml:space="preserve"> (OMM-Nº 8), Volumen II, Medición de variables de la criosfera: </w:t>
      </w:r>
    </w:p>
    <w:p w14:paraId="12A3BDC1" w14:textId="17FAA2CC" w:rsidR="00274185" w:rsidRPr="006E4623" w:rsidRDefault="00274185" w:rsidP="00A22C47">
      <w:pPr>
        <w:pStyle w:val="ListParagraph"/>
        <w:numPr>
          <w:ilvl w:val="0"/>
          <w:numId w:val="5"/>
        </w:numPr>
        <w:tabs>
          <w:tab w:val="clear" w:pos="1134"/>
        </w:tabs>
        <w:spacing w:before="120" w:after="120"/>
        <w:ind w:left="1134" w:right="14" w:hanging="567"/>
        <w:contextualSpacing w:val="0"/>
        <w:jc w:val="left"/>
        <w:rPr>
          <w:rFonts w:eastAsia="Verdana" w:cs="Verdana"/>
          <w:color w:val="000000"/>
          <w:lang w:val="es-ES"/>
        </w:rPr>
      </w:pPr>
      <w:r w:rsidRPr="006E4623">
        <w:rPr>
          <w:rFonts w:eastAsia="Verdana" w:cs="Verdana"/>
          <w:lang w:val="es-ES"/>
        </w:rPr>
        <w:t xml:space="preserve">Mejores prácticas en materia de glaciares — para la aprobación </w:t>
      </w:r>
      <w:hyperlink r:id="rId27" w:history="1">
        <w:r w:rsidR="00311016" w:rsidRPr="006E4623">
          <w:rPr>
            <w:rStyle w:val="Hyperlink"/>
            <w:rFonts w:eastAsia="Verdana" w:cs="Verdana"/>
            <w:lang w:val="es-ES"/>
          </w:rPr>
          <w:t xml:space="preserve"> de la primera reunión de la INFCOM: proyecto de Recomendación 6.2(2)/1 (INFCOM-2)</w:t>
        </w:r>
      </w:hyperlink>
      <w:r w:rsidRPr="006E4623">
        <w:rPr>
          <w:rFonts w:eastAsia="Verdana" w:cs="Verdana"/>
          <w:lang w:val="es-ES"/>
        </w:rPr>
        <w:t>,</w:t>
      </w:r>
    </w:p>
    <w:p w14:paraId="2EB348BE" w14:textId="77777777" w:rsidR="00274185" w:rsidRPr="006E4623" w:rsidRDefault="00274185" w:rsidP="00A22C47">
      <w:pPr>
        <w:pStyle w:val="ListParagraph"/>
        <w:numPr>
          <w:ilvl w:val="0"/>
          <w:numId w:val="5"/>
        </w:numPr>
        <w:tabs>
          <w:tab w:val="clear" w:pos="1134"/>
        </w:tabs>
        <w:spacing w:before="120" w:after="120"/>
        <w:ind w:left="1134" w:right="14" w:hanging="567"/>
        <w:contextualSpacing w:val="0"/>
        <w:jc w:val="left"/>
        <w:rPr>
          <w:rFonts w:eastAsia="Verdana" w:cs="Verdana"/>
          <w:color w:val="000000"/>
          <w:lang w:val="es-ES"/>
        </w:rPr>
      </w:pPr>
      <w:r w:rsidRPr="006E4623">
        <w:rPr>
          <w:rFonts w:eastAsia="Verdana" w:cs="Verdana"/>
          <w:color w:val="000000"/>
          <w:lang w:val="es-ES"/>
        </w:rPr>
        <w:t>Permafrost y hielo marino: se están desarrollando; para su aprobación por la INFCOM-3,</w:t>
      </w:r>
    </w:p>
    <w:p w14:paraId="2EFA5A45" w14:textId="77777777" w:rsidR="00274185" w:rsidRPr="006E4623" w:rsidRDefault="00274185" w:rsidP="00A22C47">
      <w:pPr>
        <w:pStyle w:val="ListParagraph"/>
        <w:numPr>
          <w:ilvl w:val="0"/>
          <w:numId w:val="5"/>
        </w:numPr>
        <w:tabs>
          <w:tab w:val="clear" w:pos="1134"/>
        </w:tabs>
        <w:spacing w:before="120" w:after="120"/>
        <w:ind w:left="1134" w:right="14" w:hanging="567"/>
        <w:contextualSpacing w:val="0"/>
        <w:jc w:val="left"/>
        <w:rPr>
          <w:rFonts w:eastAsia="Verdana" w:cs="Verdana"/>
          <w:color w:val="000000"/>
          <w:lang w:val="es-ES"/>
        </w:rPr>
      </w:pPr>
      <w:r w:rsidRPr="006E4623">
        <w:rPr>
          <w:rFonts w:eastAsia="Verdana" w:cs="Verdana"/>
          <w:lang w:val="es-ES"/>
        </w:rPr>
        <w:t>Mantos de hielo, plataformas de hielo y hielo lacustre y fluvial, que se iniciará en 2023;</w:t>
      </w:r>
    </w:p>
    <w:p w14:paraId="5565DA36" w14:textId="2430BC59" w:rsidR="003F4AC4" w:rsidRPr="006E4623" w:rsidRDefault="003F4AC4" w:rsidP="003F4AC4">
      <w:pPr>
        <w:keepNext/>
        <w:keepLines/>
        <w:tabs>
          <w:tab w:val="clear" w:pos="1134"/>
        </w:tabs>
        <w:spacing w:before="360" w:after="240"/>
        <w:jc w:val="left"/>
        <w:outlineLvl w:val="2"/>
        <w:rPr>
          <w:rFonts w:eastAsia="Verdana" w:cs="Verdana"/>
          <w:u w:val="single"/>
          <w:lang w:val="es-ES" w:eastAsia="zh-TW"/>
        </w:rPr>
      </w:pPr>
      <w:proofErr w:type="gramStart"/>
      <w:r w:rsidRPr="006E4623">
        <w:rPr>
          <w:rFonts w:eastAsia="Verdana" w:cs="Verdana"/>
          <w:lang w:val="es-ES"/>
        </w:rPr>
        <w:t>La  VCG</w:t>
      </w:r>
      <w:proofErr w:type="gramEnd"/>
      <w:r w:rsidRPr="006E4623">
        <w:rPr>
          <w:rFonts w:eastAsia="Verdana" w:cs="Verdana"/>
          <w:lang w:val="es-ES"/>
        </w:rPr>
        <w:t xml:space="preserve">  seguirá facilitando el uso de datos y productos relativos a la criosfera desde el espacio y apoyará la redefinición de la función del Grupo Especial de Actividades Espaciales de los Polos, anteriormente bajo el mandato del Grupo de Expertos del Consejo Ejecutivo sobre Observaciones, Investigaciones y Servicios Polares y de Alta Montaña.</w:t>
      </w:r>
    </w:p>
    <w:p w14:paraId="3F713EF5" w14:textId="77777777" w:rsidR="00274185" w:rsidRPr="006E4623" w:rsidRDefault="00DC0E9B" w:rsidP="00CB6C19">
      <w:pPr>
        <w:keepNext/>
        <w:keepLines/>
        <w:tabs>
          <w:tab w:val="clear" w:pos="1134"/>
        </w:tabs>
        <w:spacing w:before="360" w:after="240"/>
        <w:ind w:left="1134" w:hanging="1134"/>
        <w:jc w:val="left"/>
        <w:outlineLvl w:val="2"/>
        <w:rPr>
          <w:rFonts w:eastAsia="Verdana" w:cs="Verdana"/>
          <w:i/>
          <w:iCs/>
          <w:lang w:val="es-ES" w:eastAsia="zh-TW"/>
        </w:rPr>
      </w:pPr>
      <w:r w:rsidRPr="006E4623">
        <w:rPr>
          <w:rFonts w:eastAsia="Verdana" w:cs="Verdana"/>
          <w:i/>
          <w:lang w:val="es-ES"/>
        </w:rPr>
        <w:t>Necesidades de observación de la criosfera y declaración de orientaciones</w:t>
      </w:r>
      <w:bookmarkEnd w:id="6"/>
    </w:p>
    <w:p w14:paraId="768901B6" w14:textId="40C3D3D9" w:rsidR="00C97246" w:rsidRPr="006E4623" w:rsidRDefault="00D51774" w:rsidP="00C97246">
      <w:pPr>
        <w:spacing w:before="240" w:after="240"/>
        <w:ind w:right="11"/>
        <w:jc w:val="left"/>
        <w:rPr>
          <w:rFonts w:eastAsia="Verdana" w:cs="Verdana"/>
          <w:lang w:val="es-ES"/>
        </w:rPr>
      </w:pPr>
      <w:r w:rsidRPr="006E4623">
        <w:rPr>
          <w:rFonts w:eastAsia="Verdana" w:cs="Verdana"/>
          <w:lang w:val="es-ES"/>
        </w:rPr>
        <w:t>La consolidación de las necesidades en materia de observaciones de la criosfera y las capacidades conexas en el marco del examen continuo de las necesidades de la OMM</w:t>
      </w:r>
      <w:r w:rsidR="00AB4BCD" w:rsidRPr="006E4623">
        <w:rPr>
          <w:rFonts w:eastAsia="Verdana" w:cs="Verdana"/>
          <w:color w:val="000000"/>
          <w:lang w:val="es-ES"/>
        </w:rPr>
        <w:t xml:space="preserve">, que evolucionó en la primera reunión de la </w:t>
      </w:r>
      <w:proofErr w:type="gramStart"/>
      <w:r w:rsidR="00AB4BCD" w:rsidRPr="006E4623">
        <w:rPr>
          <w:rFonts w:eastAsia="Verdana" w:cs="Verdana"/>
          <w:color w:val="000000"/>
          <w:lang w:val="es-ES"/>
        </w:rPr>
        <w:t xml:space="preserve">INFCOM, </w:t>
      </w:r>
      <w:r w:rsidR="00274185" w:rsidRPr="006E4623">
        <w:rPr>
          <w:rFonts w:eastAsia="Verdana" w:cs="Verdana"/>
          <w:lang w:val="es-ES"/>
        </w:rPr>
        <w:t xml:space="preserve"> las</w:t>
      </w:r>
      <w:proofErr w:type="gramEnd"/>
      <w:r w:rsidR="00274185" w:rsidRPr="006E4623">
        <w:rPr>
          <w:rFonts w:eastAsia="Verdana" w:cs="Verdana"/>
          <w:lang w:val="es-ES"/>
        </w:rPr>
        <w:t xml:space="preserve"> contribuciones a la base de datos </w:t>
      </w:r>
      <w:proofErr w:type="spellStart"/>
      <w:r w:rsidR="00274185" w:rsidRPr="006E4623">
        <w:rPr>
          <w:rFonts w:eastAsia="Verdana" w:cs="Verdana"/>
          <w:lang w:val="es-ES"/>
        </w:rPr>
        <w:t>oscar</w:t>
      </w:r>
      <w:proofErr w:type="spellEnd"/>
      <w:r w:rsidR="00274185" w:rsidRPr="006E4623">
        <w:rPr>
          <w:rFonts w:eastAsia="Verdana" w:cs="Verdana"/>
          <w:lang w:val="es-ES"/>
        </w:rPr>
        <w:t xml:space="preserve"> </w:t>
      </w:r>
      <w:proofErr w:type="spellStart"/>
      <w:r w:rsidR="00274185" w:rsidRPr="006E4623">
        <w:rPr>
          <w:rFonts w:eastAsia="Verdana" w:cs="Verdana"/>
          <w:lang w:val="es-ES"/>
        </w:rPr>
        <w:t>Requirements</w:t>
      </w:r>
      <w:proofErr w:type="spellEnd"/>
      <w:r w:rsidR="00274185" w:rsidRPr="006E4623">
        <w:rPr>
          <w:rFonts w:eastAsia="Verdana" w:cs="Verdana"/>
          <w:lang w:val="es-ES"/>
        </w:rPr>
        <w:t xml:space="preserve"> y la visión del WIGOS para 2040, y las declaraciones de orientaciones conexas, son prioridades clave de la VCG, que se prevé que concluyan en 2024.</w:t>
      </w:r>
    </w:p>
    <w:p w14:paraId="0113929D" w14:textId="77777777" w:rsidR="00C14BB1" w:rsidRPr="006E4623" w:rsidRDefault="00BA7ED6" w:rsidP="00A22C47">
      <w:pPr>
        <w:pStyle w:val="WMOBodyText"/>
        <w:numPr>
          <w:ilvl w:val="0"/>
          <w:numId w:val="6"/>
        </w:numPr>
        <w:ind w:left="567" w:hanging="567"/>
        <w:rPr>
          <w:lang w:val="es-ES"/>
        </w:rPr>
      </w:pPr>
      <w:r w:rsidRPr="006E4623">
        <w:rPr>
          <w:lang w:val="es-ES"/>
        </w:rPr>
        <w:t xml:space="preserve">En 2021 se estableció un Equipo especial dedicado a las necesidades de observación de la criosfera (CRYORA). </w:t>
      </w:r>
    </w:p>
    <w:p w14:paraId="66EC4F4C" w14:textId="00D4A2AB" w:rsidR="005C3165" w:rsidRPr="006E4623" w:rsidRDefault="000603B1" w:rsidP="00A22C47">
      <w:pPr>
        <w:pStyle w:val="WMOBodyText"/>
        <w:numPr>
          <w:ilvl w:val="0"/>
          <w:numId w:val="6"/>
        </w:numPr>
        <w:ind w:left="567" w:hanging="567"/>
        <w:rPr>
          <w:color w:val="000000" w:themeColor="text1"/>
          <w:lang w:val="es-ES"/>
        </w:rPr>
      </w:pPr>
      <w:r w:rsidRPr="006E4623">
        <w:rPr>
          <w:lang w:val="es-ES"/>
        </w:rPr>
        <w:t>En 2021/2022, un consultor realizó un examen de las necesidades de observación de la criosfera publicadas. El informe presentado se utilizará como base para la labor en curso, basándose</w:t>
      </w:r>
      <w:r w:rsidR="00274185" w:rsidRPr="006E4623">
        <w:rPr>
          <w:lang w:val="es-ES"/>
        </w:rPr>
        <w:t xml:space="preserve"> en el Informe sobre el </w:t>
      </w:r>
      <w:hyperlink r:id="rId28" w:history="1">
        <w:r w:rsidR="00274185" w:rsidRPr="006E4623">
          <w:rPr>
            <w:rStyle w:val="Hyperlink"/>
            <w:i/>
            <w:highlight w:val="white"/>
            <w:lang w:val="es-ES"/>
          </w:rPr>
          <w:t xml:space="preserve"> tema de la criosfera de la Estrategia mundial integrada de observación </w:t>
        </w:r>
      </w:hyperlink>
      <w:r w:rsidR="00274185" w:rsidRPr="006E4623">
        <w:rPr>
          <w:color w:val="000000"/>
          <w:highlight w:val="white"/>
          <w:lang w:val="es-ES"/>
        </w:rPr>
        <w:t xml:space="preserve"> (</w:t>
      </w:r>
      <w:r w:rsidR="005937D0" w:rsidRPr="006E4623">
        <w:rPr>
          <w:color w:val="000000"/>
          <w:lang w:val="es-ES"/>
        </w:rPr>
        <w:t xml:space="preserve">WMO/TD-No. 1405, </w:t>
      </w:r>
      <w:r w:rsidR="00274185" w:rsidRPr="006E4623">
        <w:rPr>
          <w:lang w:val="es-ES"/>
        </w:rPr>
        <w:t>2007</w:t>
      </w:r>
      <w:r w:rsidR="00274185" w:rsidRPr="006E4623">
        <w:rPr>
          <w:color w:val="000000"/>
          <w:highlight w:val="white"/>
          <w:lang w:val="es-ES"/>
        </w:rPr>
        <w:t>)</w:t>
      </w:r>
      <w:r w:rsidR="00274185" w:rsidRPr="006E4623">
        <w:rPr>
          <w:color w:val="000000"/>
          <w:lang w:val="es-ES"/>
        </w:rPr>
        <w:t xml:space="preserve"> y en colaboración con el </w:t>
      </w:r>
      <w:r w:rsidR="00274185" w:rsidRPr="006E4623">
        <w:rPr>
          <w:color w:val="000000" w:themeColor="text1"/>
          <w:lang w:val="es-ES"/>
        </w:rPr>
        <w:t xml:space="preserve">Equipo Mixto de Expertos sobre Diseño y Experimentos de los Sistemas de Observación del Sistema Tierra (JET-EOSDE). </w:t>
      </w:r>
    </w:p>
    <w:p w14:paraId="12AB14A5" w14:textId="77777777" w:rsidR="00274185" w:rsidRPr="006E4623" w:rsidRDefault="005C3165" w:rsidP="00A22C47">
      <w:pPr>
        <w:pStyle w:val="WMOBodyText"/>
        <w:numPr>
          <w:ilvl w:val="0"/>
          <w:numId w:val="6"/>
        </w:numPr>
        <w:ind w:left="567" w:hanging="567"/>
        <w:rPr>
          <w:rFonts w:eastAsia="Arial" w:cs="Arial"/>
          <w:lang w:val="es-ES"/>
        </w:rPr>
      </w:pPr>
      <w:r w:rsidRPr="006E4623">
        <w:rPr>
          <w:color w:val="000000" w:themeColor="text1"/>
          <w:lang w:val="es-ES"/>
        </w:rPr>
        <w:t xml:space="preserve">Se pondrá en marcha dos proyectos piloto, uno </w:t>
      </w:r>
      <w:proofErr w:type="gramStart"/>
      <w:r w:rsidRPr="006E4623">
        <w:rPr>
          <w:color w:val="000000" w:themeColor="text1"/>
          <w:lang w:val="es-ES"/>
        </w:rPr>
        <w:t xml:space="preserve">sobre </w:t>
      </w:r>
      <w:r w:rsidR="00C97246" w:rsidRPr="006E4623">
        <w:rPr>
          <w:lang w:val="es-ES"/>
        </w:rPr>
        <w:t xml:space="preserve"> la</w:t>
      </w:r>
      <w:proofErr w:type="gramEnd"/>
      <w:r w:rsidR="00C97246" w:rsidRPr="006E4623">
        <w:rPr>
          <w:lang w:val="es-ES"/>
        </w:rPr>
        <w:t xml:space="preserve"> vigilancia de la criosfera terrestre y el segundo sobre predicción del hielo marino, como parte de la aplicación del nuevo proceso de examen continuo de las necesidades.</w:t>
      </w:r>
    </w:p>
    <w:p w14:paraId="4843AA73" w14:textId="77777777" w:rsidR="00274185" w:rsidRPr="006E4623" w:rsidRDefault="00274185" w:rsidP="00664B25">
      <w:pPr>
        <w:keepNext/>
        <w:keepLines/>
        <w:tabs>
          <w:tab w:val="clear" w:pos="1134"/>
        </w:tabs>
        <w:spacing w:before="360" w:after="240"/>
        <w:ind w:left="1134" w:hanging="1134"/>
        <w:jc w:val="left"/>
        <w:outlineLvl w:val="2"/>
        <w:rPr>
          <w:rFonts w:eastAsia="Verdana" w:cs="Verdana"/>
          <w:i/>
          <w:iCs/>
          <w:lang w:val="es-ES" w:eastAsia="zh-TW"/>
        </w:rPr>
      </w:pPr>
      <w:bookmarkStart w:id="7" w:name="_3dy6vkm" w:colFirst="0" w:colLast="0"/>
      <w:bookmarkStart w:id="8" w:name="_Toc65766296"/>
      <w:bookmarkEnd w:id="7"/>
      <w:r w:rsidRPr="006E4623">
        <w:rPr>
          <w:rFonts w:eastAsia="Verdana" w:cs="Verdana"/>
          <w:i/>
          <w:lang w:val="es-ES"/>
        </w:rPr>
        <w:t>Mantenimiento de los sistemas de datos de la criosfera y la gestión de datos</w:t>
      </w:r>
      <w:bookmarkEnd w:id="8"/>
    </w:p>
    <w:p w14:paraId="66EED391" w14:textId="77777777" w:rsidR="00274185" w:rsidRPr="006E4623" w:rsidRDefault="00274185" w:rsidP="005625D2">
      <w:pPr>
        <w:spacing w:before="240" w:after="240"/>
        <w:ind w:right="-170"/>
        <w:jc w:val="left"/>
        <w:rPr>
          <w:lang w:val="es-ES"/>
        </w:rPr>
      </w:pPr>
      <w:r w:rsidRPr="006E4623">
        <w:rPr>
          <w:rFonts w:eastAsia="Verdana" w:cs="Verdana"/>
          <w:color w:val="000000"/>
          <w:lang w:val="es-ES"/>
        </w:rPr>
        <w:t xml:space="preserve">El portal de datos de la VCG es el puente entre la OMM y los marcos de gestión de datos </w:t>
      </w:r>
      <w:r w:rsidRPr="006E4623">
        <w:rPr>
          <w:rFonts w:eastAsia="Verdana" w:cs="Verdana"/>
          <w:lang w:val="es-ES"/>
        </w:rPr>
        <w:t xml:space="preserve">y proveedores de datos ajenos a la </w:t>
      </w:r>
      <w:proofErr w:type="gramStart"/>
      <w:r w:rsidRPr="006E4623">
        <w:rPr>
          <w:rFonts w:eastAsia="Verdana" w:cs="Verdana"/>
          <w:lang w:val="es-ES"/>
        </w:rPr>
        <w:t xml:space="preserve">Organización </w:t>
      </w:r>
      <w:r w:rsidRPr="006E4623">
        <w:rPr>
          <w:rFonts w:eastAsia="Verdana" w:cs="Verdana"/>
          <w:color w:val="000000"/>
          <w:lang w:val="es-ES"/>
        </w:rPr>
        <w:t xml:space="preserve"> ,</w:t>
      </w:r>
      <w:proofErr w:type="gramEnd"/>
      <w:r w:rsidRPr="006E4623">
        <w:rPr>
          <w:rFonts w:eastAsia="Verdana" w:cs="Verdana"/>
          <w:color w:val="000000"/>
          <w:lang w:val="es-ES"/>
        </w:rPr>
        <w:t xml:space="preserve"> algunos de los cuales tienen capacidades limitadas de gestión de datos. </w:t>
      </w:r>
    </w:p>
    <w:p w14:paraId="7337610D" w14:textId="3929BEFC" w:rsidR="00274185" w:rsidRPr="006E4623" w:rsidRDefault="00274185" w:rsidP="00162E05">
      <w:pPr>
        <w:tabs>
          <w:tab w:val="clear" w:pos="1134"/>
        </w:tabs>
        <w:spacing w:before="240" w:after="240"/>
        <w:ind w:left="567" w:right="-170" w:hanging="567"/>
        <w:jc w:val="left"/>
        <w:rPr>
          <w:rFonts w:eastAsia="Verdana" w:cs="Verdana"/>
          <w:lang w:val="es-ES"/>
        </w:rPr>
      </w:pPr>
      <w:r w:rsidRPr="006E4623">
        <w:rPr>
          <w:rFonts w:eastAsia="Verdana" w:cs="Verdana"/>
          <w:color w:val="000000"/>
          <w:lang w:val="es-ES"/>
        </w:rPr>
        <w:t>a)</w:t>
      </w:r>
      <w:r w:rsidRPr="006E4623">
        <w:rPr>
          <w:rFonts w:eastAsia="Verdana" w:cs="Verdana"/>
          <w:color w:val="000000"/>
          <w:lang w:val="es-ES"/>
        </w:rPr>
        <w:tab/>
      </w:r>
      <w:r w:rsidR="00DA517E" w:rsidRPr="006E4623">
        <w:rPr>
          <w:rFonts w:eastAsia="Verdana" w:cs="Verdana"/>
          <w:color w:val="000000"/>
          <w:lang w:val="es-ES"/>
        </w:rPr>
        <w:t xml:space="preserve">El </w:t>
      </w:r>
      <w:hyperlink r:id="rId29">
        <w:r w:rsidR="005272DF" w:rsidRPr="006E4623">
          <w:rPr>
            <w:rFonts w:eastAsia="Verdana" w:cs="Verdana"/>
            <w:color w:val="0000FF"/>
            <w:lang w:val="es-ES"/>
          </w:rPr>
          <w:t xml:space="preserve">Portal de datos de la VCG </w:t>
        </w:r>
      </w:hyperlink>
      <w:r w:rsidR="005625D2" w:rsidRPr="006E4623">
        <w:rPr>
          <w:rFonts w:eastAsia="Verdana" w:cs="Verdana"/>
          <w:lang w:val="es-ES"/>
        </w:rPr>
        <w:t xml:space="preserve">— propuesto como proyecto piloto de la versión 2.0 del WIS, </w:t>
      </w:r>
      <w:hyperlink r:id="rId30" w:history="1">
        <w:r w:rsidR="00BD1581" w:rsidRPr="006E4623">
          <w:rPr>
            <w:rStyle w:val="Hyperlink"/>
            <w:rFonts w:eastAsia="Verdana" w:cs="Verdana"/>
            <w:lang w:val="es-ES"/>
          </w:rPr>
          <w:t>Proyecto de Recomendación 6.3(1)/1 (INFCOM-2)</w:t>
        </w:r>
      </w:hyperlink>
      <w:r w:rsidR="00A02E06" w:rsidRPr="006E4623">
        <w:rPr>
          <w:rFonts w:eastAsia="Verdana" w:cs="Verdana"/>
          <w:lang w:val="es-ES"/>
        </w:rPr>
        <w:t xml:space="preserve"> dirigido por Noruega, establecer un Centro de Recopilación y Proceso de Datos. Actividades:</w:t>
      </w:r>
    </w:p>
    <w:p w14:paraId="2E9327D6" w14:textId="77777777" w:rsidR="00274185" w:rsidRPr="006E4623" w:rsidRDefault="00274185" w:rsidP="00A22C47">
      <w:pPr>
        <w:tabs>
          <w:tab w:val="clear" w:pos="1134"/>
        </w:tabs>
        <w:spacing w:before="240" w:after="240"/>
        <w:ind w:left="1134" w:right="11" w:hanging="567"/>
        <w:jc w:val="left"/>
        <w:rPr>
          <w:rFonts w:eastAsia="Verdana" w:cs="Verdana"/>
          <w:lang w:val="es-ES"/>
        </w:rPr>
      </w:pPr>
      <w:r w:rsidRPr="00FC70B3">
        <w:rPr>
          <w:rFonts w:ascii="Symbol" w:eastAsia="Verdana" w:hAnsi="Symbol" w:cs="Verdana"/>
        </w:rPr>
        <w:lastRenderedPageBreak/>
        <w:t></w:t>
      </w:r>
      <w:r w:rsidRPr="006E4623">
        <w:rPr>
          <w:rFonts w:ascii="Symbol" w:eastAsia="Verdana" w:hAnsi="Symbol" w:cs="Verdana"/>
          <w:lang w:val="es-ES"/>
        </w:rPr>
        <w:tab/>
      </w:r>
      <w:r w:rsidRPr="006E4623">
        <w:rPr>
          <w:rFonts w:eastAsia="Verdana" w:cs="Verdana"/>
          <w:lang w:val="es-ES"/>
        </w:rPr>
        <w:t>Procurar el acceso abierto a los datos de las estaciones de la VCG (en tiempo real y archivados) y promover el formato común de datos de red (</w:t>
      </w:r>
      <w:proofErr w:type="spellStart"/>
      <w:r w:rsidRPr="006E4623">
        <w:rPr>
          <w:rFonts w:eastAsia="Verdana" w:cs="Verdana"/>
          <w:lang w:val="es-ES"/>
        </w:rPr>
        <w:t>NetCDF</w:t>
      </w:r>
      <w:proofErr w:type="spellEnd"/>
      <w:r w:rsidRPr="006E4623">
        <w:rPr>
          <w:rFonts w:eastAsia="Verdana" w:cs="Verdana"/>
          <w:lang w:val="es-ES"/>
        </w:rPr>
        <w:t>) de acuerdo con la convención sobre clima y predicción (CF) como formato preferido para los datos criosféricos;</w:t>
      </w:r>
    </w:p>
    <w:p w14:paraId="5E6BF6CF" w14:textId="154AE79F" w:rsidR="00274185" w:rsidRPr="006E4623" w:rsidRDefault="00274185" w:rsidP="00A22C47">
      <w:pPr>
        <w:tabs>
          <w:tab w:val="clear" w:pos="1134"/>
        </w:tabs>
        <w:spacing w:before="240" w:after="240"/>
        <w:ind w:left="1134" w:right="11" w:hanging="567"/>
        <w:jc w:val="left"/>
        <w:rPr>
          <w:rFonts w:eastAsia="Verdana" w:cs="Verdana"/>
          <w:lang w:val="es-ES"/>
        </w:rPr>
      </w:pPr>
      <w:r w:rsidRPr="00FC70B3">
        <w:rPr>
          <w:rFonts w:ascii="Symbol" w:eastAsia="Verdana" w:hAnsi="Symbol" w:cs="Verdana"/>
        </w:rPr>
        <w:t></w:t>
      </w:r>
      <w:r w:rsidRPr="006E4623">
        <w:rPr>
          <w:rFonts w:ascii="Symbol" w:eastAsia="Verdana" w:hAnsi="Symbol" w:cs="Verdana"/>
          <w:lang w:val="es-ES"/>
        </w:rPr>
        <w:tab/>
      </w:r>
      <w:r w:rsidRPr="006E4623">
        <w:rPr>
          <w:rFonts w:eastAsia="Verdana" w:cs="Verdana"/>
          <w:lang w:val="es-ES"/>
        </w:rPr>
        <w:t xml:space="preserve">Apoyar a los operadores de estaciones de la VCG, en particular aquellos con capacidades limitadas de gestión de datos, con acceso a la pila de programas informáticos desarrollados por la VCG que dependen de </w:t>
      </w:r>
      <w:hyperlink r:id="rId31">
        <w:proofErr w:type="spellStart"/>
        <w:r w:rsidRPr="006E4623">
          <w:rPr>
            <w:rFonts w:eastAsia="Verdana" w:cs="Verdana"/>
            <w:color w:val="0000FF"/>
            <w:lang w:val="es-ES"/>
          </w:rPr>
          <w:t>MeteoIO</w:t>
        </w:r>
        <w:proofErr w:type="spellEnd"/>
      </w:hyperlink>
      <w:r w:rsidRPr="006E4623">
        <w:rPr>
          <w:rFonts w:eastAsia="Verdana" w:cs="Verdana"/>
          <w:lang w:val="es-ES"/>
        </w:rPr>
        <w:t xml:space="preserve">, transformando sus datos en formatos estructurados de </w:t>
      </w:r>
      <w:proofErr w:type="spellStart"/>
      <w:r w:rsidRPr="006E4623">
        <w:rPr>
          <w:rFonts w:eastAsia="Verdana" w:cs="Verdana"/>
          <w:lang w:val="es-ES"/>
        </w:rPr>
        <w:t>NetCDF</w:t>
      </w:r>
      <w:proofErr w:type="spellEnd"/>
      <w:r w:rsidRPr="006E4623">
        <w:rPr>
          <w:rFonts w:eastAsia="Verdana" w:cs="Verdana"/>
          <w:lang w:val="es-ES"/>
        </w:rPr>
        <w:t xml:space="preserve">/CF (conformes con FAIR); </w:t>
      </w:r>
    </w:p>
    <w:p w14:paraId="6EE85AA2" w14:textId="77777777" w:rsidR="00274185" w:rsidRPr="006E4623" w:rsidRDefault="00274185" w:rsidP="00A22C47">
      <w:pPr>
        <w:tabs>
          <w:tab w:val="clear" w:pos="1134"/>
        </w:tabs>
        <w:spacing w:before="240" w:after="240"/>
        <w:ind w:left="1134" w:right="11" w:hanging="567"/>
        <w:jc w:val="left"/>
        <w:rPr>
          <w:rFonts w:eastAsia="Verdana" w:cs="Verdana"/>
          <w:lang w:val="es-ES"/>
        </w:rPr>
      </w:pPr>
      <w:r w:rsidRPr="00FC70B3">
        <w:rPr>
          <w:rFonts w:ascii="Symbol" w:eastAsia="Verdana" w:hAnsi="Symbol" w:cs="Verdana"/>
        </w:rPr>
        <w:t></w:t>
      </w:r>
      <w:r w:rsidRPr="006E4623">
        <w:rPr>
          <w:rFonts w:ascii="Symbol" w:eastAsia="Verdana" w:hAnsi="Symbol" w:cs="Verdana"/>
          <w:lang w:val="es-ES"/>
        </w:rPr>
        <w:tab/>
      </w:r>
      <w:r w:rsidRPr="006E4623">
        <w:rPr>
          <w:rFonts w:eastAsia="Verdana" w:cs="Verdana"/>
          <w:lang w:val="es-ES"/>
        </w:rPr>
        <w:t>Publicar datos de estaciones de la VCG y proporcionar datos listos para el análisis, progresivamente a partir de 2023;</w:t>
      </w:r>
    </w:p>
    <w:p w14:paraId="62E9E738" w14:textId="739FF15A" w:rsidR="00274185" w:rsidRPr="006E4623" w:rsidRDefault="00274185" w:rsidP="00A22C47">
      <w:pPr>
        <w:tabs>
          <w:tab w:val="clear" w:pos="1134"/>
        </w:tabs>
        <w:spacing w:before="240" w:after="240"/>
        <w:ind w:left="567" w:right="11" w:hanging="567"/>
        <w:jc w:val="left"/>
        <w:rPr>
          <w:rFonts w:eastAsia="Verdana" w:cs="Verdana"/>
          <w:lang w:val="es-ES"/>
        </w:rPr>
      </w:pPr>
      <w:r w:rsidRPr="006E4623">
        <w:rPr>
          <w:rFonts w:eastAsia="Verdana" w:cs="Verdana"/>
          <w:color w:val="000000"/>
          <w:lang w:val="es-ES"/>
        </w:rPr>
        <w:t>b)</w:t>
      </w:r>
      <w:r w:rsidRPr="006E4623">
        <w:rPr>
          <w:rFonts w:eastAsia="Verdana" w:cs="Verdana"/>
          <w:color w:val="000000"/>
          <w:lang w:val="es-ES"/>
        </w:rPr>
        <w:tab/>
        <w:t xml:space="preserve">VCG activamente </w:t>
      </w:r>
      <w:r w:rsidR="00FC0546" w:rsidRPr="006E4623">
        <w:rPr>
          <w:rFonts w:eastAsia="Verdana" w:cs="Verdana"/>
          <w:color w:val="000000"/>
          <w:lang w:val="es-ES"/>
        </w:rPr>
        <w:t xml:space="preserve">contribución a la elaboración de la Política de Datos Unificada de la OMM </w:t>
      </w:r>
      <w:r w:rsidR="007966B6" w:rsidRPr="006E4623">
        <w:rPr>
          <w:rFonts w:eastAsia="Verdana" w:cs="Verdana"/>
          <w:lang w:val="es-ES"/>
        </w:rPr>
        <w:t>—</w:t>
      </w:r>
      <w:hyperlink r:id="rId32" w:anchor="page=9" w:history="1">
        <w:r w:rsidRPr="006E4623">
          <w:rPr>
            <w:rStyle w:val="Hyperlink"/>
            <w:rFonts w:eastAsia="Verdana" w:cs="Verdana"/>
            <w:lang w:val="es-ES"/>
          </w:rPr>
          <w:t>Resolución 1(Cg-Ext(2021))</w:t>
        </w:r>
      </w:hyperlink>
      <w:r w:rsidRPr="006E4623">
        <w:rPr>
          <w:rFonts w:eastAsia="Verdana" w:cs="Verdana"/>
          <w:color w:val="000000"/>
          <w:lang w:val="es-ES"/>
        </w:rPr>
        <w:t>. Se añadió una sección sobre la criosfera al anexo 1 de la Política</w:t>
      </w:r>
      <w:r w:rsidRPr="006E4623">
        <w:rPr>
          <w:rFonts w:eastAsia="Verdana" w:cs="Verdana"/>
          <w:lang w:val="es-ES"/>
        </w:rPr>
        <w:t>.</w:t>
      </w:r>
    </w:p>
    <w:p w14:paraId="42583E9D" w14:textId="0AC97B92" w:rsidR="00274185" w:rsidRPr="006E4623" w:rsidRDefault="00274185" w:rsidP="00A22C47">
      <w:pPr>
        <w:tabs>
          <w:tab w:val="clear" w:pos="1134"/>
        </w:tabs>
        <w:spacing w:before="240" w:after="240"/>
        <w:ind w:left="567" w:right="11" w:hanging="567"/>
        <w:jc w:val="left"/>
        <w:rPr>
          <w:rFonts w:eastAsia="Verdana" w:cs="Verdana"/>
          <w:lang w:val="es-ES"/>
        </w:rPr>
      </w:pPr>
      <w:r w:rsidRPr="006E4623">
        <w:rPr>
          <w:rFonts w:eastAsia="Verdana" w:cs="Verdana"/>
          <w:color w:val="000000"/>
          <w:lang w:val="es-ES"/>
        </w:rPr>
        <w:t>c)</w:t>
      </w:r>
      <w:r w:rsidRPr="006E4623">
        <w:rPr>
          <w:rFonts w:eastAsia="Verdana" w:cs="Verdana"/>
          <w:color w:val="000000"/>
          <w:lang w:val="es-ES"/>
        </w:rPr>
        <w:tab/>
      </w:r>
      <w:r w:rsidR="00C76705" w:rsidRPr="006E4623">
        <w:rPr>
          <w:rFonts w:eastAsia="Verdana" w:cs="Verdana"/>
          <w:color w:val="000000"/>
          <w:lang w:val="es-ES"/>
        </w:rPr>
        <w:t>Datos y metadatos: contribuciones</w:t>
      </w:r>
      <w:r w:rsidR="00F26ECC" w:rsidRPr="006E4623">
        <w:rPr>
          <w:rFonts w:eastAsia="Verdana" w:cs="Verdana"/>
          <w:lang w:val="es-ES"/>
        </w:rPr>
        <w:t xml:space="preserve"> hechas al </w:t>
      </w:r>
      <w:hyperlink r:id="rId33" w:anchor=".YE82eEBFyUk" w:history="1">
        <w:r w:rsidRPr="006E4623">
          <w:rPr>
            <w:rFonts w:eastAsia="Verdana" w:cs="Verdana"/>
            <w:i/>
            <w:color w:val="0000FF"/>
            <w:lang w:val="es-ES"/>
          </w:rPr>
          <w:t>Norma sobre metadatos del WIGOS</w:t>
        </w:r>
      </w:hyperlink>
      <w:r w:rsidRPr="006E4623">
        <w:rPr>
          <w:rFonts w:eastAsia="Verdana" w:cs="Verdana"/>
          <w:lang w:val="es-ES"/>
        </w:rPr>
        <w:t xml:space="preserve"> (</w:t>
      </w:r>
      <w:hyperlink r:id="rId34" w:history="1">
        <w:r w:rsidRPr="006E4623">
          <w:rPr>
            <w:rFonts w:eastAsia="Verdana" w:cs="Verdana"/>
            <w:lang w:val="es-ES"/>
          </w:rPr>
          <w:t>OMM-Nº 1192</w:t>
        </w:r>
      </w:hyperlink>
      <w:r w:rsidRPr="006E4623">
        <w:rPr>
          <w:rFonts w:eastAsia="Verdana" w:cs="Verdana"/>
          <w:lang w:val="es-ES"/>
        </w:rPr>
        <w:t xml:space="preserve">) y el </w:t>
      </w:r>
      <w:hyperlink r:id="rId35" w:anchor=".YE81lEBFyUk" w:history="1">
        <w:r w:rsidRPr="006E4623">
          <w:rPr>
            <w:rFonts w:eastAsia="Verdana" w:cs="Verdana"/>
            <w:i/>
            <w:color w:val="0000FF"/>
            <w:lang w:val="es-ES"/>
          </w:rPr>
          <w:t>Manual de claves</w:t>
        </w:r>
      </w:hyperlink>
      <w:r w:rsidRPr="006E4623">
        <w:rPr>
          <w:rFonts w:eastAsia="Verdana" w:cs="Verdana"/>
          <w:lang w:val="es-ES"/>
        </w:rPr>
        <w:t xml:space="preserve"> (</w:t>
      </w:r>
      <w:proofErr w:type="spellStart"/>
      <w:r w:rsidR="006E4623">
        <w:fldChar w:fldCharType="begin"/>
      </w:r>
      <w:r w:rsidR="006E4623" w:rsidRPr="006E4623">
        <w:rPr>
          <w:lang w:val="es-ES"/>
        </w:rPr>
        <w:instrText xml:space="preserve"> HYPERLINK "https://library.wmo.int/index.php?lvl=notice_display&amp;id=10684" </w:instrText>
      </w:r>
      <w:r w:rsidR="006E4623">
        <w:fldChar w:fldCharType="separate"/>
      </w:r>
      <w:r w:rsidRPr="006E4623">
        <w:rPr>
          <w:rFonts w:eastAsia="Verdana" w:cs="Verdana"/>
          <w:lang w:val="es-ES"/>
        </w:rPr>
        <w:t>WMONo</w:t>
      </w:r>
      <w:proofErr w:type="spellEnd"/>
      <w:r w:rsidRPr="006E4623">
        <w:rPr>
          <w:rFonts w:eastAsia="Verdana" w:cs="Verdana"/>
          <w:lang w:val="es-ES"/>
        </w:rPr>
        <w:t>. 306</w:t>
      </w:r>
      <w:r w:rsidR="006E4623">
        <w:rPr>
          <w:rFonts w:eastAsia="Verdana" w:cs="Verdana"/>
        </w:rPr>
        <w:fldChar w:fldCharType="end"/>
      </w:r>
      <w:r w:rsidRPr="006E4623">
        <w:rPr>
          <w:rFonts w:eastAsia="Verdana" w:cs="Verdana"/>
          <w:lang w:val="es-ES"/>
        </w:rPr>
        <w:t xml:space="preserve">)) para glaciares, permafrost y nieve. Los metadatos sobre los hielos marinos se ultimarán y se presentarán a mediados de 2023. </w:t>
      </w:r>
    </w:p>
    <w:p w14:paraId="4E66DCC2" w14:textId="4A68CA9A" w:rsidR="00274185" w:rsidRPr="006E4623" w:rsidRDefault="00274185" w:rsidP="00A22C47">
      <w:pPr>
        <w:tabs>
          <w:tab w:val="clear" w:pos="1134"/>
        </w:tabs>
        <w:spacing w:before="240" w:after="240"/>
        <w:ind w:left="567" w:right="11" w:hanging="567"/>
        <w:jc w:val="left"/>
        <w:rPr>
          <w:rFonts w:eastAsia="Verdana" w:cs="Verdana"/>
          <w:lang w:val="es-ES"/>
        </w:rPr>
      </w:pPr>
      <w:r w:rsidRPr="006E4623">
        <w:rPr>
          <w:rFonts w:eastAsia="Verdana" w:cs="Verdana"/>
          <w:color w:val="000000"/>
          <w:lang w:val="es-ES"/>
        </w:rPr>
        <w:t>d)</w:t>
      </w:r>
      <w:r w:rsidRPr="006E4623">
        <w:rPr>
          <w:rFonts w:eastAsia="Verdana" w:cs="Verdana"/>
          <w:color w:val="000000"/>
          <w:lang w:val="es-ES"/>
        </w:rPr>
        <w:tab/>
      </w:r>
      <w:proofErr w:type="spellStart"/>
      <w:r w:rsidRPr="006E4623">
        <w:rPr>
          <w:rFonts w:eastAsia="Verdana" w:cs="Verdana"/>
          <w:color w:val="000000"/>
          <w:lang w:val="es-ES"/>
        </w:rPr>
        <w:t>I</w:t>
      </w:r>
      <w:r w:rsidRPr="006E4623">
        <w:rPr>
          <w:rFonts w:eastAsia="Verdana" w:cs="Verdana"/>
          <w:lang w:val="es-ES"/>
        </w:rPr>
        <w:t>"nteroperability</w:t>
      </w:r>
      <w:proofErr w:type="spellEnd"/>
      <w:r w:rsidRPr="006E4623">
        <w:rPr>
          <w:rFonts w:eastAsia="Verdana" w:cs="Verdana"/>
          <w:lang w:val="es-ES"/>
        </w:rPr>
        <w:t xml:space="preserve"> con centros de datos representativos que están en marcha, por ejemplo, el Centro de Datos sobre el Medio Ambiente del Tercer Polo, el Servicio Geológico de Dinamarca y Groenlandia (GEOS), la Red Terrestre Mundial para el Permafrost (GTN-P), etc.;"</w:t>
      </w:r>
    </w:p>
    <w:p w14:paraId="5B2FE281" w14:textId="77777777" w:rsidR="00274185" w:rsidRPr="006E4623" w:rsidRDefault="00274185" w:rsidP="00274185">
      <w:pPr>
        <w:keepNext/>
        <w:keepLines/>
        <w:tabs>
          <w:tab w:val="clear" w:pos="1134"/>
        </w:tabs>
        <w:spacing w:before="360" w:after="240"/>
        <w:ind w:left="1134" w:hanging="1134"/>
        <w:jc w:val="left"/>
        <w:outlineLvl w:val="2"/>
        <w:rPr>
          <w:rFonts w:eastAsia="Verdana" w:cs="Verdana"/>
          <w:i/>
          <w:iCs/>
          <w:lang w:val="es-ES" w:eastAsia="zh-TW"/>
        </w:rPr>
      </w:pPr>
      <w:bookmarkStart w:id="9" w:name="_Toc65766297"/>
      <w:r w:rsidRPr="006E4623">
        <w:rPr>
          <w:rFonts w:eastAsia="Verdana" w:cs="Verdana"/>
          <w:i/>
          <w:lang w:val="es-ES"/>
        </w:rPr>
        <w:t xml:space="preserve">Funciones de "vigilancia" de la VCG: acceso a datos de la criosfera con valor añadido </w:t>
      </w:r>
      <w:bookmarkEnd w:id="9"/>
    </w:p>
    <w:p w14:paraId="57115B82" w14:textId="77777777" w:rsidR="00274185" w:rsidRPr="00FC70B3" w:rsidRDefault="00274185" w:rsidP="00D74BFE">
      <w:pPr>
        <w:pStyle w:val="ListParagraph"/>
        <w:numPr>
          <w:ilvl w:val="0"/>
          <w:numId w:val="4"/>
        </w:numPr>
        <w:pBdr>
          <w:top w:val="nil"/>
          <w:left w:val="nil"/>
          <w:bottom w:val="nil"/>
          <w:right w:val="nil"/>
          <w:between w:val="nil"/>
        </w:pBdr>
        <w:tabs>
          <w:tab w:val="clear" w:pos="1134"/>
        </w:tabs>
        <w:spacing w:before="240" w:after="120"/>
        <w:ind w:left="567" w:right="11" w:hanging="573"/>
        <w:contextualSpacing w:val="0"/>
        <w:jc w:val="left"/>
        <w:rPr>
          <w:rFonts w:eastAsia="Verdana" w:cs="Verdana"/>
          <w:color w:val="000000"/>
        </w:rPr>
      </w:pPr>
      <w:proofErr w:type="spellStart"/>
      <w:r w:rsidRPr="00FC70B3">
        <w:rPr>
          <w:rFonts w:eastAsia="Verdana" w:cs="Verdana"/>
          <w:color w:val="000000"/>
        </w:rPr>
        <w:t>Vigilancia</w:t>
      </w:r>
      <w:proofErr w:type="spellEnd"/>
      <w:r w:rsidRPr="00FC70B3">
        <w:rPr>
          <w:rFonts w:eastAsia="Verdana" w:cs="Verdana"/>
          <w:color w:val="000000"/>
        </w:rPr>
        <w:t xml:space="preserve"> de la </w:t>
      </w:r>
      <w:proofErr w:type="spellStart"/>
      <w:r w:rsidRPr="00FC70B3">
        <w:rPr>
          <w:rFonts w:eastAsia="Verdana" w:cs="Verdana"/>
          <w:color w:val="000000"/>
        </w:rPr>
        <w:t>nieve</w:t>
      </w:r>
      <w:proofErr w:type="spellEnd"/>
      <w:r w:rsidRPr="00FC70B3">
        <w:rPr>
          <w:rFonts w:eastAsia="Verdana" w:cs="Verdana"/>
          <w:color w:val="000000"/>
        </w:rPr>
        <w:t xml:space="preserve">: </w:t>
      </w:r>
    </w:p>
    <w:p w14:paraId="4FF0729A" w14:textId="77777777" w:rsidR="00274185" w:rsidRPr="006E4623" w:rsidRDefault="002B303B" w:rsidP="00D74BFE">
      <w:pPr>
        <w:pStyle w:val="ListParagraph"/>
        <w:numPr>
          <w:ilvl w:val="0"/>
          <w:numId w:val="7"/>
        </w:numPr>
        <w:pBdr>
          <w:top w:val="nil"/>
          <w:left w:val="nil"/>
          <w:bottom w:val="nil"/>
          <w:right w:val="nil"/>
          <w:between w:val="nil"/>
        </w:pBdr>
        <w:spacing w:before="120" w:after="120"/>
        <w:ind w:left="1134" w:right="11" w:hanging="567"/>
        <w:contextualSpacing w:val="0"/>
        <w:jc w:val="left"/>
        <w:rPr>
          <w:rFonts w:eastAsia="Verdana" w:cs="Verdana"/>
          <w:color w:val="000000"/>
          <w:lang w:val="es-ES"/>
        </w:rPr>
      </w:pPr>
      <w:r w:rsidRPr="006E4623">
        <w:rPr>
          <w:rFonts w:eastAsia="Verdana" w:cs="Verdana"/>
          <w:color w:val="000000"/>
          <w:lang w:val="es-ES"/>
        </w:rPr>
        <w:t xml:space="preserve">Las evaluaciones anuales de la nieve publicadas en https://globalcryospherewatch.org/assessments/snow/ 2021/22 </w:t>
      </w:r>
      <w:hyperlink r:id="rId36" w:history="1"/>
      <w:r w:rsidR="00274185" w:rsidRPr="006E4623">
        <w:rPr>
          <w:rFonts w:eastAsia="Verdana" w:cs="Verdana"/>
          <w:color w:val="000000"/>
          <w:lang w:val="es-ES"/>
        </w:rPr>
        <w:t xml:space="preserve"> </w:t>
      </w:r>
    </w:p>
    <w:p w14:paraId="566958C2" w14:textId="27911D4D" w:rsidR="00274185" w:rsidRPr="006E4623" w:rsidRDefault="00274185" w:rsidP="00CB15E9">
      <w:pPr>
        <w:pStyle w:val="ListParagraph"/>
        <w:numPr>
          <w:ilvl w:val="0"/>
          <w:numId w:val="8"/>
        </w:numPr>
        <w:pBdr>
          <w:top w:val="nil"/>
          <w:left w:val="nil"/>
          <w:bottom w:val="nil"/>
          <w:right w:val="nil"/>
          <w:between w:val="nil"/>
        </w:pBdr>
        <w:spacing w:before="120" w:after="120"/>
        <w:ind w:left="1134" w:right="14" w:hanging="567"/>
        <w:contextualSpacing w:val="0"/>
        <w:jc w:val="left"/>
        <w:rPr>
          <w:rFonts w:eastAsia="Verdana" w:cs="Verdana"/>
          <w:color w:val="000000"/>
          <w:lang w:val="es-ES"/>
        </w:rPr>
      </w:pPr>
      <w:r w:rsidRPr="006E4623">
        <w:rPr>
          <w:rFonts w:eastAsia="Verdana" w:cs="Verdana"/>
          <w:color w:val="000000"/>
          <w:lang w:val="es-ES"/>
        </w:rPr>
        <w:t xml:space="preserve">Designación del Centro Principal de Medición de la OMM para la Vigilancia de la Nieve — Centro de Competencias para el Control de la Nieve, Davos (Suiza) </w:t>
      </w:r>
      <w:r w:rsidR="009150FD" w:rsidRPr="006E4623">
        <w:rPr>
          <w:rFonts w:eastAsia="Verdana" w:cs="Verdana"/>
          <w:lang w:val="es-ES"/>
        </w:rPr>
        <w:t xml:space="preserve">— </w:t>
      </w:r>
      <w:hyperlink r:id="rId37" w:history="1">
        <w:r w:rsidR="00E40CAE" w:rsidRPr="006E4623">
          <w:rPr>
            <w:rStyle w:val="Hyperlink"/>
            <w:rFonts w:eastAsia="Verdana" w:cs="Verdana"/>
            <w:lang w:val="es-ES"/>
          </w:rPr>
          <w:t>Proyecto de Decisión 6.2(7)/1 (INFCOM-2)</w:t>
        </w:r>
      </w:hyperlink>
      <w:r w:rsidRPr="006E4623">
        <w:rPr>
          <w:rFonts w:eastAsia="Verdana" w:cs="Verdana"/>
          <w:color w:val="000000"/>
          <w:lang w:val="es-ES"/>
        </w:rPr>
        <w:t>;</w:t>
      </w:r>
    </w:p>
    <w:p w14:paraId="227EEA03" w14:textId="0F4DC3F8" w:rsidR="00274185" w:rsidRPr="006E4623" w:rsidRDefault="00274185" w:rsidP="00CB15E9">
      <w:pPr>
        <w:pStyle w:val="ListParagraph"/>
        <w:numPr>
          <w:ilvl w:val="0"/>
          <w:numId w:val="8"/>
        </w:numPr>
        <w:pBdr>
          <w:top w:val="nil"/>
          <w:left w:val="nil"/>
          <w:bottom w:val="nil"/>
          <w:right w:val="nil"/>
          <w:between w:val="nil"/>
        </w:pBdr>
        <w:spacing w:before="120" w:after="120"/>
        <w:ind w:left="1134" w:right="14" w:hanging="567"/>
        <w:contextualSpacing w:val="0"/>
        <w:jc w:val="left"/>
        <w:rPr>
          <w:rFonts w:eastAsia="Verdana" w:cs="Verdana"/>
          <w:color w:val="000000"/>
          <w:lang w:val="es-ES"/>
        </w:rPr>
      </w:pPr>
      <w:r w:rsidRPr="006E4623">
        <w:rPr>
          <w:rFonts w:eastAsia="Verdana" w:cs="Verdana"/>
          <w:color w:val="000000"/>
          <w:lang w:val="es-ES"/>
        </w:rPr>
        <w:t xml:space="preserve">Contribuciones de expertos al desarrollo de productos relacionados con la criosfera para su uso por el HydroSOS, a 2021, la </w:t>
      </w:r>
      <w:proofErr w:type="gramStart"/>
      <w:r w:rsidRPr="006E4623">
        <w:rPr>
          <w:rFonts w:eastAsia="Verdana" w:cs="Verdana"/>
          <w:color w:val="000000"/>
          <w:lang w:val="es-ES"/>
        </w:rPr>
        <w:t xml:space="preserve">criosfera </w:t>
      </w:r>
      <w:r w:rsidR="00495E2F" w:rsidRPr="006E4623">
        <w:rPr>
          <w:rFonts w:eastAsia="Verdana" w:cs="Verdana"/>
          <w:lang w:val="es-ES"/>
        </w:rPr>
        <w:t>,</w:t>
      </w:r>
      <w:proofErr w:type="gramEnd"/>
      <w:r w:rsidRPr="006E4623">
        <w:rPr>
          <w:rFonts w:eastAsia="Verdana" w:cs="Verdana"/>
          <w:color w:val="000000"/>
          <w:lang w:val="es-ES"/>
        </w:rPr>
        <w:t xml:space="preserve"> un piloto del HydroSOS;</w:t>
      </w:r>
    </w:p>
    <w:p w14:paraId="79E43F44" w14:textId="77777777" w:rsidR="00274185" w:rsidRPr="006E4623" w:rsidRDefault="002B303B" w:rsidP="002B303B">
      <w:pPr>
        <w:pStyle w:val="ListParagraph"/>
        <w:numPr>
          <w:ilvl w:val="0"/>
          <w:numId w:val="8"/>
        </w:numPr>
        <w:pBdr>
          <w:top w:val="nil"/>
          <w:left w:val="nil"/>
          <w:bottom w:val="nil"/>
          <w:right w:val="nil"/>
          <w:between w:val="nil"/>
        </w:pBdr>
        <w:tabs>
          <w:tab w:val="clear" w:pos="1134"/>
        </w:tabs>
        <w:spacing w:before="120" w:after="120"/>
        <w:ind w:left="1134" w:right="14" w:hanging="567"/>
        <w:contextualSpacing w:val="0"/>
        <w:jc w:val="left"/>
        <w:rPr>
          <w:rFonts w:eastAsia="Verdana" w:cs="Verdana"/>
          <w:color w:val="000000"/>
          <w:lang w:val="es-ES"/>
        </w:rPr>
      </w:pPr>
      <w:r w:rsidRPr="006E4623">
        <w:rPr>
          <w:rFonts w:eastAsia="Verdana" w:cs="Verdana"/>
          <w:color w:val="000000"/>
          <w:lang w:val="es-ES"/>
        </w:rPr>
        <w:t xml:space="preserve">Colaboración activa con la Iniciativa snowPEx2 satelital </w:t>
      </w:r>
      <w:proofErr w:type="gramStart"/>
      <w:r w:rsidRPr="006E4623">
        <w:rPr>
          <w:rFonts w:eastAsia="Verdana" w:cs="Verdana"/>
          <w:color w:val="000000"/>
          <w:lang w:val="es-ES"/>
        </w:rPr>
        <w:t xml:space="preserve">de </w:t>
      </w:r>
      <w:bookmarkStart w:id="10" w:name="_Hlk65151660"/>
      <w:r w:rsidR="00274185" w:rsidRPr="006E4623">
        <w:rPr>
          <w:color w:val="000000"/>
          <w:shd w:val="clear" w:color="auto" w:fill="FFFFFF"/>
          <w:lang w:val="es-ES"/>
        </w:rPr>
        <w:t xml:space="preserve"> </w:t>
      </w:r>
      <w:proofErr w:type="spellStart"/>
      <w:r w:rsidR="00274185" w:rsidRPr="006E4623">
        <w:rPr>
          <w:color w:val="000000"/>
          <w:shd w:val="clear" w:color="auto" w:fill="FFFFFF"/>
          <w:lang w:val="es-ES"/>
        </w:rPr>
        <w:t>intercomparación</w:t>
      </w:r>
      <w:proofErr w:type="spellEnd"/>
      <w:proofErr w:type="gramEnd"/>
      <w:r w:rsidR="00274185" w:rsidRPr="006E4623">
        <w:rPr>
          <w:color w:val="000000"/>
          <w:shd w:val="clear" w:color="auto" w:fill="FFFFFF"/>
          <w:lang w:val="es-ES"/>
        </w:rPr>
        <w:t xml:space="preserve"> y evaluación del producto de nieve por satélite de la Agencia Espacial Europea (AEE), iniciada en 2020;</w:t>
      </w:r>
      <w:bookmarkEnd w:id="10"/>
    </w:p>
    <w:p w14:paraId="445C0D29" w14:textId="37C569A2" w:rsidR="00274185" w:rsidRPr="006E4623" w:rsidRDefault="00F351B7" w:rsidP="002B303B">
      <w:pPr>
        <w:pStyle w:val="ListParagraph"/>
        <w:numPr>
          <w:ilvl w:val="0"/>
          <w:numId w:val="8"/>
        </w:numPr>
        <w:pBdr>
          <w:top w:val="nil"/>
          <w:left w:val="nil"/>
          <w:bottom w:val="nil"/>
          <w:right w:val="nil"/>
          <w:between w:val="nil"/>
        </w:pBdr>
        <w:tabs>
          <w:tab w:val="clear" w:pos="1134"/>
        </w:tabs>
        <w:spacing w:before="120" w:after="120"/>
        <w:ind w:left="1134" w:right="14" w:hanging="567"/>
        <w:contextualSpacing w:val="0"/>
        <w:jc w:val="left"/>
        <w:rPr>
          <w:rFonts w:eastAsia="Verdana" w:cs="Verdana"/>
          <w:color w:val="000000"/>
          <w:lang w:val="es-ES"/>
        </w:rPr>
      </w:pPr>
      <w:r w:rsidRPr="006E4623">
        <w:rPr>
          <w:rFonts w:eastAsia="Verdana" w:cs="Verdana"/>
          <w:color w:val="000000"/>
          <w:lang w:val="es-ES"/>
        </w:rPr>
        <w:t xml:space="preserve">Cursillo para desarrollar el concepto de ejercicio de </w:t>
      </w:r>
      <w:proofErr w:type="spellStart"/>
      <w:r w:rsidRPr="006E4623">
        <w:rPr>
          <w:rFonts w:eastAsia="Verdana" w:cs="Verdana"/>
          <w:color w:val="000000"/>
          <w:lang w:val="es-ES"/>
        </w:rPr>
        <w:t>intercomparación</w:t>
      </w:r>
      <w:proofErr w:type="spellEnd"/>
      <w:r w:rsidRPr="006E4623">
        <w:rPr>
          <w:rFonts w:eastAsia="Verdana" w:cs="Verdana"/>
          <w:color w:val="000000"/>
          <w:lang w:val="es-ES"/>
        </w:rPr>
        <w:t xml:space="preserve"> de nieve en montaña </w:t>
      </w:r>
      <w:r w:rsidR="002051F9" w:rsidRPr="006E4623">
        <w:rPr>
          <w:rFonts w:eastAsia="Verdana" w:cs="Verdana"/>
          <w:lang w:val="es-ES"/>
        </w:rPr>
        <w:t>—</w:t>
      </w:r>
      <w:r w:rsidRPr="006E4623">
        <w:rPr>
          <w:rFonts w:eastAsia="Verdana" w:cs="Verdana"/>
          <w:color w:val="000000"/>
          <w:lang w:val="es-ES"/>
        </w:rPr>
        <w:t xml:space="preserve"> noviembre de 2022;</w:t>
      </w:r>
    </w:p>
    <w:p w14:paraId="1A71C8AC" w14:textId="1A759083" w:rsidR="00274185" w:rsidRPr="006E4623" w:rsidRDefault="002B303B" w:rsidP="002B303B">
      <w:pPr>
        <w:pStyle w:val="ListParagraph"/>
        <w:numPr>
          <w:ilvl w:val="0"/>
          <w:numId w:val="8"/>
        </w:numPr>
        <w:pBdr>
          <w:top w:val="nil"/>
          <w:left w:val="nil"/>
          <w:bottom w:val="nil"/>
          <w:right w:val="nil"/>
          <w:between w:val="nil"/>
        </w:pBdr>
        <w:tabs>
          <w:tab w:val="clear" w:pos="1134"/>
        </w:tabs>
        <w:spacing w:before="120" w:after="120"/>
        <w:ind w:left="1134" w:right="14" w:hanging="567"/>
        <w:contextualSpacing w:val="0"/>
        <w:jc w:val="left"/>
        <w:rPr>
          <w:rFonts w:eastAsia="Verdana" w:cs="Verdana"/>
          <w:color w:val="000000"/>
          <w:lang w:val="es-ES"/>
        </w:rPr>
      </w:pPr>
      <w:proofErr w:type="spellStart"/>
      <w:r w:rsidRPr="006E4623">
        <w:rPr>
          <w:rFonts w:eastAsia="Verdana" w:cs="Verdana"/>
          <w:color w:val="000000"/>
          <w:lang w:val="es-ES"/>
        </w:rPr>
        <w:t>Co-dirección</w:t>
      </w:r>
      <w:proofErr w:type="spellEnd"/>
      <w:r w:rsidRPr="006E4623">
        <w:rPr>
          <w:rFonts w:eastAsia="Verdana" w:cs="Verdana"/>
          <w:color w:val="000000"/>
          <w:lang w:val="es-ES"/>
        </w:rPr>
        <w:t xml:space="preserve"> </w:t>
      </w:r>
      <w:r w:rsidR="002051F9" w:rsidRPr="006E4623">
        <w:rPr>
          <w:rFonts w:eastAsia="Verdana" w:cs="Verdana"/>
          <w:lang w:val="es-ES"/>
        </w:rPr>
        <w:t xml:space="preserve">: </w:t>
      </w:r>
      <w:r w:rsidR="00274185" w:rsidRPr="006E4623">
        <w:rPr>
          <w:rFonts w:eastAsia="Verdana" w:cs="Verdana"/>
          <w:color w:val="000000"/>
          <w:lang w:val="es-ES"/>
        </w:rPr>
        <w:t xml:space="preserve">el </w:t>
      </w:r>
      <w:hyperlink r:id="rId38" w:history="1">
        <w:r w:rsidR="00274185" w:rsidRPr="006E4623">
          <w:rPr>
            <w:rStyle w:val="Hyperlink"/>
            <w:rFonts w:eastAsia="Verdana" w:cs="Verdana"/>
            <w:lang w:val="es-ES"/>
          </w:rPr>
          <w:t>órgano conjunto sobre el estado de la cubierta de nieve en montaña</w:t>
        </w:r>
      </w:hyperlink>
      <w:r w:rsidR="00274185" w:rsidRPr="006E4623">
        <w:rPr>
          <w:rFonts w:eastAsia="Verdana" w:cs="Verdana"/>
          <w:color w:val="000000"/>
          <w:lang w:val="es-ES"/>
        </w:rPr>
        <w:t>, con la Iniciativa de Investigación sobre la Criosfera y las Montañas de la Asociación Internacional de Ciencias de la Criosfera (2022-2025);</w:t>
      </w:r>
    </w:p>
    <w:p w14:paraId="293116C6" w14:textId="77777777" w:rsidR="00274185" w:rsidRPr="006E4623" w:rsidRDefault="0081005D" w:rsidP="000105B6">
      <w:pPr>
        <w:pBdr>
          <w:top w:val="nil"/>
          <w:left w:val="nil"/>
          <w:bottom w:val="nil"/>
          <w:right w:val="nil"/>
          <w:between w:val="nil"/>
        </w:pBdr>
        <w:tabs>
          <w:tab w:val="clear" w:pos="1134"/>
          <w:tab w:val="left" w:pos="567"/>
        </w:tabs>
        <w:spacing w:before="240" w:after="240"/>
        <w:ind w:right="11"/>
        <w:jc w:val="left"/>
        <w:rPr>
          <w:rFonts w:eastAsia="Verdana" w:cs="Verdana"/>
          <w:color w:val="000000"/>
          <w:lang w:val="es-ES"/>
        </w:rPr>
      </w:pPr>
      <w:r w:rsidRPr="006E4623">
        <w:rPr>
          <w:rFonts w:eastAsia="Verdana" w:cs="Verdana"/>
          <w:color w:val="000000"/>
          <w:lang w:val="es-ES"/>
        </w:rPr>
        <w:t>b)</w:t>
      </w:r>
      <w:r w:rsidRPr="006E4623">
        <w:rPr>
          <w:rFonts w:eastAsia="Verdana" w:cs="Verdana"/>
          <w:color w:val="000000"/>
          <w:lang w:val="es-ES"/>
        </w:rPr>
        <w:tab/>
      </w:r>
      <w:r w:rsidR="00274185" w:rsidRPr="006E4623">
        <w:rPr>
          <w:rFonts w:eastAsia="Verdana" w:cs="Verdana"/>
          <w:color w:val="000000"/>
          <w:lang w:val="es-ES"/>
        </w:rPr>
        <w:t>Vigilancia del hielo marino:</w:t>
      </w:r>
    </w:p>
    <w:p w14:paraId="5B438019" w14:textId="59A746C1" w:rsidR="00274185" w:rsidRPr="006E4623" w:rsidRDefault="00274185" w:rsidP="001D5056">
      <w:pPr>
        <w:pStyle w:val="ListParagraph"/>
        <w:numPr>
          <w:ilvl w:val="1"/>
          <w:numId w:val="8"/>
        </w:numPr>
        <w:pBdr>
          <w:top w:val="nil"/>
          <w:left w:val="nil"/>
          <w:bottom w:val="nil"/>
          <w:right w:val="nil"/>
          <w:between w:val="nil"/>
        </w:pBdr>
        <w:spacing w:before="120" w:after="120"/>
        <w:ind w:left="1134" w:right="11" w:hanging="567"/>
        <w:contextualSpacing w:val="0"/>
        <w:jc w:val="left"/>
        <w:rPr>
          <w:rFonts w:eastAsia="Verdana" w:cs="Verdana"/>
          <w:color w:val="000000"/>
          <w:lang w:val="es-ES"/>
        </w:rPr>
      </w:pPr>
      <w:r w:rsidRPr="006E4623">
        <w:rPr>
          <w:rFonts w:eastAsia="Verdana" w:cs="Verdana"/>
          <w:color w:val="000000"/>
          <w:lang w:val="es-ES"/>
        </w:rPr>
        <w:t xml:space="preserve">Variables del hielo marino del WIGOS: consultas en curso para armonizar entre las comunidades operativas y de investigación, para el Ártico y la Antártida, y con la </w:t>
      </w:r>
      <w:hyperlink r:id="rId39" w:history="1">
        <w:r w:rsidRPr="006E4623">
          <w:rPr>
            <w:rStyle w:val="Hyperlink"/>
            <w:rFonts w:eastAsia="Verdana" w:cs="Verdana"/>
            <w:i/>
            <w:lang w:val="es-ES"/>
          </w:rPr>
          <w:t xml:space="preserve"> Nomenclatura de la OMM del hielo marino</w:t>
        </w:r>
      </w:hyperlink>
      <w:r w:rsidRPr="006E4623">
        <w:rPr>
          <w:rFonts w:eastAsia="Verdana" w:cs="Verdana"/>
          <w:color w:val="000000"/>
          <w:lang w:val="es-ES"/>
        </w:rPr>
        <w:t xml:space="preserve">, </w:t>
      </w:r>
      <w:r w:rsidRPr="006E4623">
        <w:rPr>
          <w:rFonts w:eastAsia="Verdana" w:cs="Verdana"/>
          <w:lang w:val="es-ES"/>
        </w:rPr>
        <w:t>OMM-Nº 259</w:t>
      </w:r>
      <w:r w:rsidR="00631292" w:rsidRPr="006E4623">
        <w:rPr>
          <w:rFonts w:eastAsia="Verdana" w:cs="Verdana"/>
          <w:color w:val="000000"/>
          <w:lang w:val="es-ES"/>
        </w:rPr>
        <w:t>;</w:t>
      </w:r>
    </w:p>
    <w:p w14:paraId="47961493" w14:textId="1E126538" w:rsidR="00274185" w:rsidRPr="006E4623" w:rsidRDefault="00274185"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lang w:val="es-ES"/>
        </w:rPr>
      </w:pPr>
      <w:r w:rsidRPr="006E4623">
        <w:rPr>
          <w:rFonts w:eastAsia="Verdana" w:cs="Verdana"/>
          <w:color w:val="000000"/>
          <w:lang w:val="es-ES"/>
        </w:rPr>
        <w:t xml:space="preserve">Mejores prácticas </w:t>
      </w:r>
      <w:r w:rsidR="001D5056" w:rsidRPr="006E4623">
        <w:rPr>
          <w:rFonts w:eastAsia="Verdana" w:cs="Verdana"/>
          <w:lang w:val="es-ES"/>
        </w:rPr>
        <w:t>sobre</w:t>
      </w:r>
      <w:hyperlink r:id="rId40" w:history="1">
        <w:r w:rsidRPr="006E4623">
          <w:rPr>
            <w:rStyle w:val="Hyperlink"/>
            <w:rFonts w:eastAsia="Verdana" w:cs="Verdana"/>
            <w:lang w:val="es-ES"/>
          </w:rPr>
          <w:t xml:space="preserve"> hielos marinos —  observaciones en superficie</w:t>
        </w:r>
      </w:hyperlink>
      <w:r w:rsidR="00FB7E0E" w:rsidRPr="006E4623">
        <w:rPr>
          <w:rFonts w:eastAsia="Verdana" w:cs="Verdana"/>
          <w:color w:val="000000"/>
          <w:lang w:val="es-ES"/>
        </w:rPr>
        <w:t xml:space="preserve"> </w:t>
      </w:r>
      <w:r w:rsidR="00F35153" w:rsidRPr="006E4623">
        <w:rPr>
          <w:rFonts w:eastAsia="Verdana" w:cs="Verdana"/>
          <w:lang w:val="es-ES"/>
        </w:rPr>
        <w:t xml:space="preserve">— </w:t>
      </w:r>
      <w:r w:rsidR="00FB7E0E" w:rsidRPr="006E4623">
        <w:rPr>
          <w:rFonts w:eastAsia="Verdana" w:cs="Verdana"/>
          <w:color w:val="000000"/>
          <w:lang w:val="es-ES"/>
        </w:rPr>
        <w:t>iniciadas en 2021;</w:t>
      </w:r>
    </w:p>
    <w:p w14:paraId="63A02EE8" w14:textId="42980E67" w:rsidR="00FB7E0E" w:rsidRPr="006E4623" w:rsidRDefault="00FB7E0E"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lang w:val="es-ES"/>
        </w:rPr>
      </w:pPr>
      <w:r w:rsidRPr="006E4623">
        <w:rPr>
          <w:rFonts w:eastAsia="Verdana" w:cs="Verdana"/>
          <w:color w:val="000000"/>
          <w:lang w:val="es-ES"/>
        </w:rPr>
        <w:lastRenderedPageBreak/>
        <w:t xml:space="preserve">VCG </w:t>
      </w:r>
      <w:r w:rsidR="00F35153" w:rsidRPr="006E4623">
        <w:rPr>
          <w:rFonts w:eastAsia="Verdana" w:cs="Verdana"/>
          <w:lang w:val="es-ES"/>
        </w:rPr>
        <w:t>—</w:t>
      </w:r>
      <w:r w:rsidRPr="006E4623">
        <w:rPr>
          <w:rFonts w:eastAsia="Verdana" w:cs="Verdana"/>
          <w:color w:val="000000"/>
          <w:lang w:val="es-ES"/>
        </w:rPr>
        <w:t xml:space="preserve"> </w:t>
      </w:r>
      <w:proofErr w:type="spellStart"/>
      <w:proofErr w:type="gramStart"/>
      <w:r w:rsidRPr="006E4623">
        <w:rPr>
          <w:rFonts w:eastAsia="Verdana" w:cs="Verdana"/>
          <w:color w:val="000000"/>
          <w:lang w:val="es-ES"/>
        </w:rPr>
        <w:t>co</w:t>
      </w:r>
      <w:proofErr w:type="spellEnd"/>
      <w:r w:rsidRPr="006E4623">
        <w:rPr>
          <w:rFonts w:eastAsia="Verdana" w:cs="Verdana"/>
          <w:color w:val="000000"/>
          <w:lang w:val="es-ES"/>
        </w:rPr>
        <w:t xml:space="preserve"> custodio</w:t>
      </w:r>
      <w:proofErr w:type="gramEnd"/>
      <w:r w:rsidRPr="006E4623">
        <w:rPr>
          <w:rFonts w:eastAsia="Verdana" w:cs="Verdana"/>
          <w:color w:val="000000"/>
          <w:lang w:val="es-ES"/>
        </w:rPr>
        <w:t xml:space="preserve"> de las variables climáticas esenciales de los hielos marinos del SMOC con el Grupo de Expertos sobre Física y Clima de las Observaciones Oceánicas (OOPC) </w:t>
      </w:r>
      <w:r w:rsidR="00F35153" w:rsidRPr="006E4623">
        <w:rPr>
          <w:rFonts w:eastAsia="Verdana" w:cs="Verdana"/>
          <w:lang w:val="es-ES"/>
        </w:rPr>
        <w:t>—</w:t>
      </w:r>
      <w:r w:rsidRPr="006E4623">
        <w:rPr>
          <w:rFonts w:eastAsia="Verdana" w:cs="Verdana"/>
          <w:color w:val="000000"/>
          <w:lang w:val="es-ES"/>
        </w:rPr>
        <w:t xml:space="preserve"> acuerdo de 2020; </w:t>
      </w:r>
    </w:p>
    <w:p w14:paraId="13345C84" w14:textId="77777777" w:rsidR="00274185" w:rsidRPr="006E4623" w:rsidRDefault="003F2551"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lang w:val="es-ES"/>
        </w:rPr>
      </w:pPr>
      <w:r w:rsidRPr="006E4623">
        <w:rPr>
          <w:rFonts w:eastAsia="Verdana" w:cs="Verdana"/>
          <w:color w:val="000000"/>
          <w:lang w:val="es-ES"/>
        </w:rPr>
        <w:t xml:space="preserve">Publicación </w:t>
      </w:r>
      <w:hyperlink r:id="rId41" w:history="1">
        <w:r w:rsidR="00274185" w:rsidRPr="006E4623">
          <w:rPr>
            <w:rStyle w:val="Hyperlink"/>
            <w:rFonts w:eastAsia="Verdana" w:cs="Verdana"/>
            <w:lang w:val="es-ES"/>
          </w:rPr>
          <w:t>de una nueva estructura para las variables climáticas esenciales del hielo marino del Sistema Mundial de Observación del Clima</w:t>
        </w:r>
      </w:hyperlink>
      <w:r w:rsidR="00274185" w:rsidRPr="006E4623">
        <w:rPr>
          <w:rFonts w:eastAsia="Verdana" w:cs="Verdana"/>
          <w:color w:val="000000"/>
          <w:lang w:val="es-ES"/>
        </w:rPr>
        <w:t xml:space="preserve"> (T. </w:t>
      </w:r>
      <w:proofErr w:type="spellStart"/>
      <w:r w:rsidR="00274185" w:rsidRPr="006E4623">
        <w:rPr>
          <w:rFonts w:eastAsia="Verdana" w:cs="Verdana"/>
          <w:color w:val="000000"/>
          <w:lang w:val="es-ES"/>
        </w:rPr>
        <w:t>Lavergne</w:t>
      </w:r>
      <w:proofErr w:type="spellEnd"/>
      <w:r w:rsidR="00274185" w:rsidRPr="006E4623">
        <w:rPr>
          <w:rFonts w:eastAsia="Verdana" w:cs="Verdana"/>
          <w:color w:val="000000"/>
          <w:lang w:val="es-ES"/>
        </w:rPr>
        <w:t>, S Kern y otros, 2022);</w:t>
      </w:r>
    </w:p>
    <w:p w14:paraId="5ACDEC73" w14:textId="77777777" w:rsidR="00274185" w:rsidRPr="006E4623" w:rsidRDefault="00274185"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lang w:val="es-ES"/>
        </w:rPr>
      </w:pPr>
      <w:r w:rsidRPr="006E4623">
        <w:rPr>
          <w:rFonts w:eastAsia="Verdana" w:cs="Verdana"/>
          <w:color w:val="000000"/>
          <w:lang w:val="es-ES"/>
        </w:rPr>
        <w:t>Colaboración con el Comité Permanente de Meteorología Marina y Oceanografía (SC-MMO) de la Comisión de Servicios (SERCOM), a 2021;</w:t>
      </w:r>
    </w:p>
    <w:p w14:paraId="28F4CFF8" w14:textId="0F6726B1" w:rsidR="00274185" w:rsidRPr="006E4623" w:rsidRDefault="00274185" w:rsidP="000105B6">
      <w:pPr>
        <w:pStyle w:val="ListParagraph"/>
        <w:numPr>
          <w:ilvl w:val="1"/>
          <w:numId w:val="8"/>
        </w:numPr>
        <w:pBdr>
          <w:top w:val="nil"/>
          <w:left w:val="nil"/>
          <w:bottom w:val="nil"/>
          <w:right w:val="nil"/>
          <w:between w:val="nil"/>
        </w:pBdr>
        <w:spacing w:before="120" w:after="120"/>
        <w:ind w:left="1134" w:right="14" w:hanging="567"/>
        <w:contextualSpacing w:val="0"/>
        <w:jc w:val="left"/>
        <w:rPr>
          <w:rFonts w:eastAsia="Verdana" w:cs="Verdana"/>
          <w:color w:val="000000"/>
          <w:lang w:val="es-ES"/>
        </w:rPr>
      </w:pPr>
      <w:r w:rsidRPr="006E4623">
        <w:rPr>
          <w:rFonts w:eastAsia="Verdana" w:cs="Verdana"/>
          <w:color w:val="000000"/>
          <w:lang w:val="es-ES"/>
        </w:rPr>
        <w:t xml:space="preserve">13 a 15 de noviembre de 2019 </w:t>
      </w:r>
      <w:proofErr w:type="gramStart"/>
      <w:r w:rsidRPr="006E4623">
        <w:rPr>
          <w:rFonts w:eastAsia="Verdana" w:cs="Verdana"/>
          <w:color w:val="000000"/>
          <w:lang w:val="es-ES"/>
        </w:rPr>
        <w:t xml:space="preserve">Taller </w:t>
      </w:r>
      <w:r w:rsidR="001C1B59" w:rsidRPr="006E4623">
        <w:rPr>
          <w:rFonts w:eastAsia="Verdana" w:cs="Verdana"/>
          <w:lang w:val="es-ES"/>
        </w:rPr>
        <w:t xml:space="preserve"> de</w:t>
      </w:r>
      <w:proofErr w:type="gramEnd"/>
      <w:r w:rsidR="001C1B59" w:rsidRPr="006E4623">
        <w:rPr>
          <w:rFonts w:eastAsia="Verdana" w:cs="Verdana"/>
          <w:lang w:val="es-ES"/>
        </w:rPr>
        <w:t xml:space="preserve"> la VCG —</w:t>
      </w:r>
      <w:r w:rsidR="00FB7E0E" w:rsidRPr="006E4623">
        <w:rPr>
          <w:rFonts w:eastAsia="Verdana" w:cs="Verdana"/>
          <w:color w:val="000000"/>
          <w:lang w:val="es-ES"/>
        </w:rPr>
        <w:t xml:space="preserve"> para fomentar una </w:t>
      </w:r>
      <w:proofErr w:type="spellStart"/>
      <w:r w:rsidR="00FB7E0E" w:rsidRPr="006E4623">
        <w:rPr>
          <w:rFonts w:eastAsia="Verdana" w:cs="Verdana"/>
          <w:color w:val="000000"/>
          <w:lang w:val="es-ES"/>
        </w:rPr>
        <w:t>intercomparación</w:t>
      </w:r>
      <w:proofErr w:type="spellEnd"/>
      <w:r w:rsidR="00FB7E0E" w:rsidRPr="006E4623">
        <w:rPr>
          <w:rFonts w:eastAsia="Verdana" w:cs="Verdana"/>
          <w:color w:val="000000"/>
          <w:lang w:val="es-ES"/>
        </w:rPr>
        <w:t xml:space="preserve"> para caracterizar los datos y productos disponibles</w:t>
      </w:r>
      <w:r w:rsidR="00436BA1" w:rsidRPr="006E4623">
        <w:rPr>
          <w:rFonts w:eastAsia="Verdana" w:cs="Verdana"/>
          <w:lang w:val="es-ES"/>
        </w:rPr>
        <w:t xml:space="preserve">— </w:t>
      </w:r>
      <w:r w:rsidR="00436BA1" w:rsidRPr="006E4623">
        <w:rPr>
          <w:rFonts w:eastAsia="Verdana" w:cs="Verdana"/>
          <w:color w:val="000000"/>
          <w:lang w:val="es-ES"/>
        </w:rPr>
        <w:t xml:space="preserve">que dio lugar al inicio del ejercicio de </w:t>
      </w:r>
      <w:proofErr w:type="spellStart"/>
      <w:r w:rsidR="00436BA1" w:rsidRPr="006E4623">
        <w:rPr>
          <w:rFonts w:eastAsia="Verdana" w:cs="Verdana"/>
          <w:color w:val="000000"/>
          <w:lang w:val="es-ES"/>
        </w:rPr>
        <w:t>intercomparación</w:t>
      </w:r>
      <w:proofErr w:type="spellEnd"/>
      <w:r w:rsidR="00436BA1" w:rsidRPr="006E4623">
        <w:rPr>
          <w:rFonts w:eastAsia="Verdana" w:cs="Verdana"/>
          <w:color w:val="000000"/>
          <w:lang w:val="es-ES"/>
        </w:rPr>
        <w:t xml:space="preserve"> de espesor del hielo marino de la ESA (SIN'XS), 2022-2024;</w:t>
      </w:r>
    </w:p>
    <w:p w14:paraId="52DB2EEA" w14:textId="3476A31C" w:rsidR="00274185" w:rsidRPr="006E4623" w:rsidRDefault="00274185" w:rsidP="002B303B">
      <w:pPr>
        <w:pBdr>
          <w:top w:val="nil"/>
          <w:left w:val="nil"/>
          <w:bottom w:val="nil"/>
          <w:right w:val="nil"/>
          <w:between w:val="nil"/>
        </w:pBdr>
        <w:tabs>
          <w:tab w:val="clear" w:pos="1134"/>
        </w:tabs>
        <w:spacing w:before="240" w:after="240"/>
        <w:ind w:left="567" w:right="11" w:hanging="567"/>
        <w:jc w:val="left"/>
        <w:rPr>
          <w:rFonts w:eastAsia="Verdana" w:cs="Verdana"/>
          <w:color w:val="000000"/>
          <w:lang w:val="es-ES"/>
        </w:rPr>
      </w:pPr>
      <w:r w:rsidRPr="006E4623">
        <w:rPr>
          <w:rFonts w:eastAsia="Verdana" w:cs="Verdana"/>
          <w:color w:val="000000"/>
          <w:lang w:val="es-ES"/>
        </w:rPr>
        <w:t>c)</w:t>
      </w:r>
      <w:r w:rsidRPr="006E4623">
        <w:rPr>
          <w:rFonts w:eastAsia="Verdana" w:cs="Verdana"/>
          <w:color w:val="000000"/>
          <w:lang w:val="es-ES"/>
        </w:rPr>
        <w:tab/>
      </w:r>
      <w:r w:rsidR="00F4382D" w:rsidRPr="006E4623">
        <w:rPr>
          <w:rFonts w:eastAsia="Verdana" w:cs="Verdana"/>
          <w:color w:val="000000"/>
          <w:lang w:val="es-ES"/>
        </w:rPr>
        <w:t xml:space="preserve">Contribuciones de los expertos al desarrollo de productos criosféricos pertinentes para los Centros Regionales sobre el Clima (CRC) para las regiones polares y montañosas, en particular el Centro Regional sobre el Clima del Tercer Polo </w:t>
      </w:r>
      <w:r w:rsidR="00740D23" w:rsidRPr="006E4623">
        <w:rPr>
          <w:rFonts w:eastAsia="Verdana" w:cs="Verdana"/>
          <w:lang w:val="es-ES"/>
        </w:rPr>
        <w:t>—</w:t>
      </w:r>
      <w:r w:rsidRPr="006E4623">
        <w:rPr>
          <w:rFonts w:eastAsia="Verdana" w:cs="Verdana"/>
          <w:color w:val="000000"/>
          <w:lang w:val="es-ES"/>
        </w:rPr>
        <w:t xml:space="preserve"> Red de Centros Regionales sobre el Clima en el Ártico y red de Centros Regionales sobre el Clima en la Antártida;</w:t>
      </w:r>
    </w:p>
    <w:p w14:paraId="3DA3AE56" w14:textId="465C4ABA" w:rsidR="00274185" w:rsidRPr="006E4623" w:rsidRDefault="00274185" w:rsidP="002B303B">
      <w:pPr>
        <w:pBdr>
          <w:top w:val="nil"/>
          <w:left w:val="nil"/>
          <w:bottom w:val="nil"/>
          <w:right w:val="nil"/>
          <w:between w:val="nil"/>
        </w:pBdr>
        <w:tabs>
          <w:tab w:val="clear" w:pos="1134"/>
        </w:tabs>
        <w:spacing w:before="240" w:after="240"/>
        <w:ind w:left="567" w:right="11" w:hanging="567"/>
        <w:jc w:val="left"/>
        <w:rPr>
          <w:rFonts w:eastAsia="Verdana" w:cs="Verdana"/>
          <w:color w:val="000000"/>
          <w:lang w:val="es-ES"/>
        </w:rPr>
      </w:pPr>
      <w:r w:rsidRPr="006E4623">
        <w:rPr>
          <w:rFonts w:eastAsia="Verdana" w:cs="Verdana"/>
          <w:color w:val="000000"/>
          <w:lang w:val="es-ES"/>
        </w:rPr>
        <w:t>d)</w:t>
      </w:r>
      <w:r w:rsidRPr="006E4623">
        <w:rPr>
          <w:rFonts w:eastAsia="Verdana" w:cs="Verdana"/>
          <w:color w:val="000000"/>
          <w:lang w:val="es-ES"/>
        </w:rPr>
        <w:tab/>
      </w:r>
      <w:r w:rsidR="00F4382D" w:rsidRPr="006E4623">
        <w:rPr>
          <w:rFonts w:eastAsia="Verdana" w:cs="Verdana"/>
          <w:color w:val="000000"/>
          <w:lang w:val="es-ES"/>
        </w:rPr>
        <w:t>Contribuciones a los Boletines de la OMM</w:t>
      </w:r>
    </w:p>
    <w:p w14:paraId="4B63DF3A" w14:textId="77777777" w:rsidR="00274185" w:rsidRPr="006E4623" w:rsidRDefault="00274185" w:rsidP="00740D23">
      <w:pPr>
        <w:pStyle w:val="Heading3"/>
        <w:spacing w:after="240"/>
        <w:rPr>
          <w:b w:val="0"/>
          <w:bCs w:val="0"/>
          <w:i/>
          <w:iCs/>
          <w:lang w:val="es-ES"/>
        </w:rPr>
      </w:pPr>
      <w:bookmarkStart w:id="11" w:name="_Toc65766299"/>
      <w:r w:rsidRPr="006E4623">
        <w:rPr>
          <w:b w:val="0"/>
          <w:i/>
          <w:lang w:val="es-ES"/>
        </w:rPr>
        <w:t>Asociaciones</w:t>
      </w:r>
      <w:bookmarkEnd w:id="11"/>
    </w:p>
    <w:p w14:paraId="51778092" w14:textId="77777777" w:rsidR="00274185" w:rsidRPr="006E4623" w:rsidRDefault="00274185" w:rsidP="00274185">
      <w:pPr>
        <w:spacing w:before="240" w:after="240"/>
        <w:ind w:right="11"/>
        <w:jc w:val="left"/>
        <w:rPr>
          <w:rFonts w:eastAsia="Verdana" w:cs="Verdana"/>
          <w:lang w:val="es-ES"/>
        </w:rPr>
      </w:pPr>
      <w:r w:rsidRPr="006E4623">
        <w:rPr>
          <w:rFonts w:eastAsia="Verdana" w:cs="Verdana"/>
          <w:lang w:val="es-ES"/>
        </w:rPr>
        <w:t>La VCG ha colaborado activamente con:</w:t>
      </w:r>
    </w:p>
    <w:p w14:paraId="708C4C55" w14:textId="51A9D2B3" w:rsidR="00274185" w:rsidRPr="006E4623" w:rsidRDefault="00274185" w:rsidP="005E5176">
      <w:pPr>
        <w:tabs>
          <w:tab w:val="clear" w:pos="1134"/>
        </w:tabs>
        <w:spacing w:before="120" w:after="120"/>
        <w:ind w:left="567" w:right="-170" w:hanging="561"/>
        <w:jc w:val="left"/>
        <w:rPr>
          <w:rFonts w:eastAsia="Verdana" w:cs="Verdana"/>
          <w:lang w:val="es-ES"/>
        </w:rPr>
      </w:pPr>
      <w:r w:rsidRPr="006E4623">
        <w:rPr>
          <w:rFonts w:eastAsia="Verdana" w:cs="Verdana"/>
          <w:color w:val="000000"/>
          <w:lang w:val="es-ES"/>
        </w:rPr>
        <w:t>a)</w:t>
      </w:r>
      <w:r w:rsidRPr="006E4623">
        <w:rPr>
          <w:rFonts w:eastAsia="Verdana" w:cs="Verdana"/>
          <w:color w:val="000000"/>
          <w:lang w:val="es-ES"/>
        </w:rPr>
        <w:tab/>
      </w:r>
      <w:hyperlink r:id="rId42" w:history="1">
        <w:r w:rsidRPr="006E4623">
          <w:rPr>
            <w:rStyle w:val="Hyperlink"/>
            <w:rFonts w:eastAsia="Verdana" w:cs="Verdana"/>
            <w:lang w:val="es-ES"/>
          </w:rPr>
          <w:t>Pasión del Ártico</w:t>
        </w:r>
      </w:hyperlink>
      <w:r w:rsidR="00DD0251" w:rsidRPr="006E4623">
        <w:rPr>
          <w:rFonts w:eastAsia="Verdana" w:cs="Verdana"/>
          <w:lang w:val="es-ES"/>
        </w:rPr>
        <w:t xml:space="preserve"> — Sistema de sistemas de observación </w:t>
      </w:r>
      <w:proofErr w:type="spellStart"/>
      <w:proofErr w:type="gramStart"/>
      <w:r w:rsidR="00DD0251" w:rsidRPr="006E4623">
        <w:rPr>
          <w:rFonts w:eastAsia="Verdana" w:cs="Verdana"/>
          <w:lang w:val="es-ES"/>
        </w:rPr>
        <w:t>panártica</w:t>
      </w:r>
      <w:proofErr w:type="spellEnd"/>
      <w:r w:rsidR="00DD0251" w:rsidRPr="006E4623">
        <w:rPr>
          <w:rFonts w:eastAsia="Verdana" w:cs="Verdana"/>
          <w:lang w:val="es-ES"/>
        </w:rPr>
        <w:t xml:space="preserve"> :</w:t>
      </w:r>
      <w:proofErr w:type="gramEnd"/>
      <w:r w:rsidR="00DD0251" w:rsidRPr="006E4623">
        <w:rPr>
          <w:rFonts w:eastAsia="Verdana" w:cs="Verdana"/>
          <w:lang w:val="es-ES"/>
        </w:rPr>
        <w:t xml:space="preserve"> aplicación de observaciones para necesidades sociales;</w:t>
      </w:r>
    </w:p>
    <w:p w14:paraId="51595D47" w14:textId="77777777" w:rsidR="00274185" w:rsidRPr="006E4623" w:rsidRDefault="00274185" w:rsidP="005E5176">
      <w:pPr>
        <w:tabs>
          <w:tab w:val="clear" w:pos="1134"/>
        </w:tabs>
        <w:spacing w:before="120" w:after="120"/>
        <w:ind w:left="567" w:right="-170" w:hanging="561"/>
        <w:jc w:val="left"/>
        <w:rPr>
          <w:rFonts w:eastAsia="Verdana" w:cs="Verdana"/>
          <w:lang w:val="es-ES"/>
        </w:rPr>
      </w:pPr>
      <w:r w:rsidRPr="006E4623">
        <w:rPr>
          <w:rFonts w:eastAsia="Verdana" w:cs="Verdana"/>
          <w:color w:val="000000"/>
          <w:lang w:val="es-ES"/>
        </w:rPr>
        <w:t>b)</w:t>
      </w:r>
      <w:r w:rsidRPr="006E4623">
        <w:rPr>
          <w:rFonts w:eastAsia="Verdana" w:cs="Verdana"/>
          <w:color w:val="000000"/>
          <w:lang w:val="es-ES"/>
        </w:rPr>
        <w:tab/>
      </w:r>
      <w:r w:rsidRPr="006E4623">
        <w:rPr>
          <w:rFonts w:eastAsia="Verdana" w:cs="Verdana"/>
          <w:lang w:val="es-ES"/>
        </w:rPr>
        <w:t>Memorando de entendimiento entre la OMM y el Programa del Medio Ambiente del Tercer Polo (2019);</w:t>
      </w:r>
    </w:p>
    <w:p w14:paraId="6C5C4522" w14:textId="47A4FA60" w:rsidR="00274185" w:rsidRPr="006E4623" w:rsidRDefault="00274185" w:rsidP="00044123">
      <w:pPr>
        <w:keepNext/>
        <w:keepLines/>
        <w:tabs>
          <w:tab w:val="clear" w:pos="1134"/>
        </w:tabs>
        <w:spacing w:before="120" w:after="120"/>
        <w:ind w:left="567" w:right="-170" w:hanging="561"/>
        <w:jc w:val="left"/>
        <w:rPr>
          <w:rFonts w:eastAsia="Verdana" w:cs="Verdana"/>
          <w:lang w:val="es-ES"/>
        </w:rPr>
      </w:pPr>
      <w:r w:rsidRPr="006E4623">
        <w:rPr>
          <w:rFonts w:eastAsia="Verdana" w:cs="Verdana"/>
          <w:color w:val="000000"/>
          <w:lang w:val="es-ES"/>
        </w:rPr>
        <w:t>c)</w:t>
      </w:r>
      <w:r w:rsidRPr="006E4623">
        <w:rPr>
          <w:rFonts w:eastAsia="Verdana" w:cs="Verdana"/>
          <w:color w:val="000000"/>
          <w:lang w:val="es-ES"/>
        </w:rPr>
        <w:tab/>
      </w:r>
      <w:hyperlink r:id="rId43" w:history="1">
        <w:r w:rsidRPr="006E4623">
          <w:rPr>
            <w:rStyle w:val="Hyperlink"/>
            <w:rFonts w:eastAsia="Verdana" w:cs="Verdana"/>
            <w:lang w:val="es-ES"/>
          </w:rPr>
          <w:t>Iniciativa de Investigación sobre las Montañas</w:t>
        </w:r>
      </w:hyperlink>
      <w:r w:rsidRPr="006E4623">
        <w:rPr>
          <w:rFonts w:eastAsia="Verdana" w:cs="Verdana"/>
          <w:lang w:val="es-ES"/>
        </w:rPr>
        <w:t xml:space="preserve"> (RESONANCIA MAGNÉTICA);</w:t>
      </w:r>
    </w:p>
    <w:p w14:paraId="2AD5091D" w14:textId="3A16EC8F" w:rsidR="00274185" w:rsidRPr="006E4623" w:rsidRDefault="00274185" w:rsidP="00044123">
      <w:pPr>
        <w:keepNext/>
        <w:keepLines/>
        <w:tabs>
          <w:tab w:val="clear" w:pos="1134"/>
        </w:tabs>
        <w:spacing w:before="120" w:after="120"/>
        <w:ind w:left="567" w:right="-170" w:hanging="561"/>
        <w:jc w:val="left"/>
        <w:rPr>
          <w:rFonts w:eastAsia="Verdana" w:cs="Verdana"/>
          <w:lang w:val="es-ES"/>
        </w:rPr>
      </w:pPr>
      <w:r w:rsidRPr="006E4623">
        <w:rPr>
          <w:rFonts w:eastAsia="Verdana" w:cs="Verdana"/>
          <w:color w:val="000000"/>
          <w:lang w:val="es-ES"/>
        </w:rPr>
        <w:t>d)</w:t>
      </w:r>
      <w:r w:rsidRPr="006E4623">
        <w:rPr>
          <w:rFonts w:eastAsia="Verdana" w:cs="Verdana"/>
          <w:color w:val="000000"/>
          <w:lang w:val="es-ES"/>
        </w:rPr>
        <w:tab/>
      </w:r>
      <w:hyperlink r:id="rId44" w:history="1">
        <w:r w:rsidRPr="006E4623">
          <w:rPr>
            <w:rStyle w:val="Hyperlink"/>
            <w:rFonts w:eastAsia="Verdana" w:cs="Verdana"/>
            <w:lang w:val="es-ES"/>
          </w:rPr>
          <w:t>Hoja de ruta de las Redes de Observación del Ártico (SAON) para la estrategia de sistemas de observación y de datos para el Ártico</w:t>
        </w:r>
      </w:hyperlink>
      <w:r w:rsidRPr="006E4623">
        <w:rPr>
          <w:rFonts w:eastAsia="Verdana" w:cs="Verdana"/>
          <w:lang w:val="es-ES"/>
        </w:rPr>
        <w:t>;</w:t>
      </w:r>
    </w:p>
    <w:p w14:paraId="49CB5668" w14:textId="77777777" w:rsidR="00274185" w:rsidRPr="006E4623" w:rsidRDefault="00274185" w:rsidP="005E5176">
      <w:pPr>
        <w:tabs>
          <w:tab w:val="clear" w:pos="1134"/>
        </w:tabs>
        <w:spacing w:before="120" w:after="120"/>
        <w:ind w:left="567" w:right="-170" w:hanging="561"/>
        <w:jc w:val="left"/>
        <w:rPr>
          <w:rFonts w:eastAsia="Verdana" w:cs="Verdana"/>
          <w:lang w:val="es-ES"/>
        </w:rPr>
      </w:pPr>
      <w:r w:rsidRPr="006E4623">
        <w:rPr>
          <w:rFonts w:eastAsia="Verdana" w:cs="Verdana"/>
          <w:color w:val="000000"/>
          <w:lang w:val="es-ES"/>
        </w:rPr>
        <w:t>e)</w:t>
      </w:r>
      <w:r w:rsidRPr="006E4623">
        <w:rPr>
          <w:rFonts w:eastAsia="Verdana" w:cs="Verdana"/>
          <w:color w:val="000000"/>
          <w:lang w:val="es-ES"/>
        </w:rPr>
        <w:tab/>
      </w:r>
      <w:r w:rsidRPr="006E4623">
        <w:rPr>
          <w:rFonts w:eastAsia="Verdana" w:cs="Verdana"/>
          <w:lang w:val="es-ES"/>
        </w:rPr>
        <w:t>Comité de Datos sobre el Ártico (ADC) y sistema de gestión de datos del Comité Científico de Investigaciones Antárticas (SCADM);</w:t>
      </w:r>
    </w:p>
    <w:p w14:paraId="18BEA874" w14:textId="77777777" w:rsidR="006647DD" w:rsidRPr="006E4623" w:rsidRDefault="00274185" w:rsidP="005E5176">
      <w:pPr>
        <w:tabs>
          <w:tab w:val="clear" w:pos="1134"/>
        </w:tabs>
        <w:spacing w:before="120" w:after="120"/>
        <w:ind w:left="567" w:right="-170" w:hanging="561"/>
        <w:jc w:val="left"/>
        <w:rPr>
          <w:rFonts w:eastAsia="Verdana" w:cs="Verdana"/>
          <w:lang w:val="es-ES"/>
        </w:rPr>
      </w:pPr>
      <w:r w:rsidRPr="006E4623">
        <w:rPr>
          <w:rFonts w:eastAsia="Verdana" w:cs="Verdana"/>
          <w:color w:val="000000"/>
          <w:lang w:val="es-ES"/>
        </w:rPr>
        <w:t>f)</w:t>
      </w:r>
      <w:r w:rsidRPr="006E4623">
        <w:rPr>
          <w:rFonts w:eastAsia="Verdana" w:cs="Verdana"/>
          <w:color w:val="000000"/>
          <w:lang w:val="es-ES"/>
        </w:rPr>
        <w:tab/>
      </w:r>
      <w:r w:rsidRPr="006E4623">
        <w:rPr>
          <w:rFonts w:eastAsia="Verdana" w:cs="Verdana"/>
          <w:lang w:val="es-ES"/>
        </w:rPr>
        <w:t xml:space="preserve">Redes de observación existentes en zonas polares y de alta montaña, </w:t>
      </w:r>
      <w:hyperlink r:id="rId45">
        <w:proofErr w:type="spellStart"/>
        <w:r w:rsidRPr="006E4623">
          <w:rPr>
            <w:rFonts w:eastAsia="Verdana" w:cs="Verdana"/>
            <w:color w:val="0000FF"/>
            <w:lang w:val="es-ES"/>
          </w:rPr>
          <w:t>ArcticNet</w:t>
        </w:r>
        <w:proofErr w:type="spellEnd"/>
      </w:hyperlink>
      <w:r w:rsidRPr="006E4623">
        <w:rPr>
          <w:rFonts w:eastAsia="Verdana" w:cs="Verdana"/>
          <w:lang w:val="es-ES"/>
        </w:rPr>
        <w:t>, la Red internacional de investigación y vigilancia terrestres en el Ártico (INTERACT), la Red internacional para la hidrología de cuencas alpinas de investigación (INARCH), etc.</w:t>
      </w:r>
      <w:bookmarkStart w:id="12" w:name="_Toc65766300"/>
    </w:p>
    <w:p w14:paraId="6551275B" w14:textId="77777777" w:rsidR="00274185" w:rsidRPr="006E4623" w:rsidRDefault="00274185" w:rsidP="004C1ADF">
      <w:pPr>
        <w:pStyle w:val="Heading2"/>
        <w:spacing w:before="240" w:after="240"/>
        <w:jc w:val="left"/>
        <w:rPr>
          <w:b w:val="0"/>
          <w:bCs w:val="0"/>
          <w:i/>
          <w:iCs w:val="0"/>
          <w:lang w:val="es-ES"/>
        </w:rPr>
      </w:pPr>
      <w:r w:rsidRPr="006E4623">
        <w:rPr>
          <w:b w:val="0"/>
          <w:i/>
          <w:sz w:val="20"/>
          <w:szCs w:val="20"/>
          <w:lang w:val="es-ES"/>
        </w:rPr>
        <w:t>Gobernanza de la VCG</w:t>
      </w:r>
      <w:bookmarkEnd w:id="12"/>
    </w:p>
    <w:p w14:paraId="755FB741" w14:textId="77777777" w:rsidR="00274185" w:rsidRPr="006E4623" w:rsidRDefault="006E4623" w:rsidP="00274185">
      <w:pPr>
        <w:spacing w:before="240" w:after="240"/>
        <w:ind w:right="11"/>
        <w:jc w:val="left"/>
        <w:rPr>
          <w:rFonts w:eastAsia="Verdana" w:cs="Verdana"/>
          <w:lang w:val="es-ES"/>
        </w:rPr>
      </w:pPr>
      <w:hyperlink r:id="rId46" w:anchor="page=146" w:history="1">
        <w:r w:rsidR="002C2EDD" w:rsidRPr="006E4623">
          <w:rPr>
            <w:rStyle w:val="Hyperlink"/>
            <w:rFonts w:eastAsia="Verdana" w:cs="Verdana"/>
            <w:lang w:val="es-ES"/>
          </w:rPr>
          <w:t>En virtud de la Resolución 7 (INFCOM-1)</w:t>
        </w:r>
      </w:hyperlink>
      <w:r w:rsidR="002C2EDD" w:rsidRPr="006E4623">
        <w:rPr>
          <w:rFonts w:eastAsia="Verdana" w:cs="Verdana"/>
          <w:lang w:val="es-ES"/>
        </w:rPr>
        <w:t xml:space="preserve"> se estableció el Grupo consultivo de la VCG para coordinar las actividades de la VCG como evolución del Grupo de Expertos del Consejo Ejecutivo sobre Investigaciones y Servicios De Alta Montaña.</w:t>
      </w:r>
    </w:p>
    <w:p w14:paraId="740639B6" w14:textId="638ABF69" w:rsidR="00274185" w:rsidRPr="006E4623" w:rsidRDefault="00D3615D" w:rsidP="0089537B">
      <w:pPr>
        <w:spacing w:before="240" w:after="240"/>
        <w:ind w:right="-170"/>
        <w:jc w:val="left"/>
        <w:rPr>
          <w:rFonts w:eastAsia="Verdana" w:cs="Verdana"/>
          <w:lang w:val="es-ES"/>
        </w:rPr>
      </w:pPr>
      <w:r w:rsidRPr="006E4623">
        <w:rPr>
          <w:rFonts w:eastAsia="Verdana" w:cs="Verdana"/>
          <w:lang w:val="es-ES"/>
        </w:rPr>
        <w:t>El Grupo de Estudio sobre las Funciones Transversales de la Criosfera — Vigilancia de la Criosfera Global (SG-</w:t>
      </w:r>
      <w:proofErr w:type="spellStart"/>
      <w:r w:rsidRPr="006E4623">
        <w:rPr>
          <w:rFonts w:eastAsia="Verdana" w:cs="Verdana"/>
          <w:lang w:val="es-ES"/>
        </w:rPr>
        <w:t>Cryo</w:t>
      </w:r>
      <w:proofErr w:type="spellEnd"/>
      <w:r w:rsidRPr="006E4623">
        <w:rPr>
          <w:rFonts w:eastAsia="Verdana" w:cs="Verdana"/>
          <w:lang w:val="es-ES"/>
        </w:rPr>
        <w:t xml:space="preserve">) elaboró recomendaciones sobre el mandato de la VCG como actividad operativa de la OMM, que la INFCOM2 aprobará </w:t>
      </w:r>
      <w:hyperlink r:id="rId47" w:history="1">
        <w:r w:rsidR="00274185" w:rsidRPr="006E4623">
          <w:rPr>
            <w:rStyle w:val="Hyperlink"/>
            <w:rFonts w:eastAsia="Verdana" w:cs="Verdana"/>
            <w:lang w:val="es-ES"/>
          </w:rPr>
          <w:t xml:space="preserve"> en el proyecto de Resolución 6.6/1</w:t>
        </w:r>
      </w:hyperlink>
      <w:r w:rsidR="009B3E19" w:rsidRPr="006E4623">
        <w:rPr>
          <w:rStyle w:val="Hyperlink"/>
          <w:rFonts w:eastAsia="Verdana" w:cs="Verdana"/>
          <w:lang w:val="es-ES"/>
        </w:rPr>
        <w:t xml:space="preserve"> (INFCOM-2),</w:t>
      </w:r>
      <w:r w:rsidR="00351CAA" w:rsidRPr="006E4623">
        <w:rPr>
          <w:rFonts w:eastAsia="Verdana" w:cs="Verdana"/>
          <w:lang w:val="es-ES"/>
        </w:rPr>
        <w:t xml:space="preserve"> junto con el mandato actualizado del  Grupo Consultivo de la VCG, </w:t>
      </w:r>
      <w:hyperlink r:id="rId48" w:history="1">
        <w:r w:rsidR="001938DE" w:rsidRPr="006E4623">
          <w:rPr>
            <w:rStyle w:val="Hyperlink"/>
            <w:rFonts w:eastAsia="Verdana" w:cs="Verdana"/>
            <w:lang w:val="es-ES"/>
          </w:rPr>
          <w:t>proyecto de Resolución 5.2(1) (INFCOM-2).</w:t>
        </w:r>
      </w:hyperlink>
      <w:r w:rsidR="00274185" w:rsidRPr="006E4623">
        <w:rPr>
          <w:rFonts w:eastAsia="Verdana" w:cs="Verdana"/>
          <w:lang w:val="es-ES"/>
        </w:rPr>
        <w:t xml:space="preserve"> </w:t>
      </w:r>
    </w:p>
    <w:p w14:paraId="2DE0FA1F" w14:textId="77777777" w:rsidR="00274185" w:rsidRPr="006E4623" w:rsidRDefault="00351CAA" w:rsidP="00274185">
      <w:pPr>
        <w:tabs>
          <w:tab w:val="clear" w:pos="1134"/>
          <w:tab w:val="left" w:pos="0"/>
        </w:tabs>
        <w:spacing w:before="240" w:after="240"/>
        <w:jc w:val="left"/>
        <w:rPr>
          <w:rFonts w:eastAsia="Verdana" w:cs="Verdana"/>
          <w:lang w:val="es-ES"/>
        </w:rPr>
      </w:pPr>
      <w:r w:rsidRPr="006E4623">
        <w:rPr>
          <w:rFonts w:eastAsia="Verdana" w:cs="Verdana"/>
          <w:lang w:val="es-ES"/>
        </w:rPr>
        <w:t>En la actualidad, la estructura del Grupo Consultivo de la VCG incluye:</w:t>
      </w:r>
    </w:p>
    <w:p w14:paraId="2AE84C9B" w14:textId="77777777" w:rsidR="00274185" w:rsidRPr="006E4623" w:rsidRDefault="00274185" w:rsidP="0089537B">
      <w:pPr>
        <w:pBdr>
          <w:top w:val="nil"/>
          <w:left w:val="nil"/>
          <w:bottom w:val="nil"/>
          <w:right w:val="nil"/>
          <w:between w:val="nil"/>
        </w:pBdr>
        <w:tabs>
          <w:tab w:val="clear" w:pos="1134"/>
          <w:tab w:val="left" w:pos="0"/>
        </w:tabs>
        <w:spacing w:before="120" w:after="120"/>
        <w:ind w:left="567" w:right="-170" w:hanging="567"/>
        <w:jc w:val="left"/>
        <w:rPr>
          <w:color w:val="000000" w:themeColor="text1"/>
          <w:lang w:val="es-ES"/>
        </w:rPr>
      </w:pPr>
      <w:r w:rsidRPr="006E4623">
        <w:rPr>
          <w:color w:val="000000" w:themeColor="text1"/>
          <w:lang w:val="es-ES"/>
        </w:rPr>
        <w:lastRenderedPageBreak/>
        <w:t>a)</w:t>
      </w:r>
      <w:r w:rsidRPr="006E4623">
        <w:rPr>
          <w:color w:val="000000" w:themeColor="text1"/>
          <w:lang w:val="es-ES"/>
        </w:rPr>
        <w:tab/>
      </w:r>
      <w:r w:rsidRPr="006E4623">
        <w:rPr>
          <w:rFonts w:eastAsia="Verdana" w:cs="Verdana"/>
          <w:color w:val="000000" w:themeColor="text1"/>
          <w:lang w:val="es-ES"/>
        </w:rPr>
        <w:t>Observaciones de la criosfera y las observaciones polares y necesidades de observación de la criosfera para trabajar en coordinación con el Comité Permanente de Sistemas de Observación y Redes de Vigilancia de la Tierra (SC-ON);</w:t>
      </w:r>
    </w:p>
    <w:p w14:paraId="2CCFABE1" w14:textId="77777777" w:rsidR="00274185" w:rsidRPr="006E4623" w:rsidRDefault="00274185" w:rsidP="0089537B">
      <w:pPr>
        <w:pBdr>
          <w:top w:val="nil"/>
          <w:left w:val="nil"/>
          <w:bottom w:val="nil"/>
          <w:right w:val="nil"/>
          <w:between w:val="nil"/>
        </w:pBdr>
        <w:tabs>
          <w:tab w:val="clear" w:pos="1134"/>
          <w:tab w:val="left" w:pos="0"/>
        </w:tabs>
        <w:spacing w:before="120" w:after="120"/>
        <w:ind w:left="567" w:right="-170" w:hanging="567"/>
        <w:jc w:val="left"/>
        <w:rPr>
          <w:color w:val="000000" w:themeColor="text1"/>
          <w:lang w:val="es-ES"/>
        </w:rPr>
      </w:pPr>
      <w:r w:rsidRPr="006E4623">
        <w:rPr>
          <w:color w:val="000000" w:themeColor="text1"/>
          <w:lang w:val="es-ES"/>
        </w:rPr>
        <w:t>b)</w:t>
      </w:r>
      <w:r w:rsidRPr="006E4623">
        <w:rPr>
          <w:color w:val="000000" w:themeColor="text1"/>
          <w:lang w:val="es-ES"/>
        </w:rPr>
        <w:tab/>
      </w:r>
      <w:r w:rsidRPr="006E4623">
        <w:rPr>
          <w:rFonts w:eastAsia="Verdana" w:cs="Verdana"/>
          <w:color w:val="000000" w:themeColor="text1"/>
          <w:lang w:val="es-ES"/>
        </w:rPr>
        <w:t>Datos polares y de la criosfera, en coordinación con el Comité Permanente de Gestión y Tecnología de la Información (SC-IMT);</w:t>
      </w:r>
    </w:p>
    <w:p w14:paraId="36019AD9" w14:textId="46F6890D" w:rsidR="00274185" w:rsidRPr="006E4623" w:rsidRDefault="00274185" w:rsidP="002B7A8E">
      <w:pPr>
        <w:pBdr>
          <w:top w:val="nil"/>
          <w:left w:val="nil"/>
          <w:bottom w:val="nil"/>
          <w:right w:val="nil"/>
          <w:between w:val="nil"/>
        </w:pBdr>
        <w:tabs>
          <w:tab w:val="clear" w:pos="1134"/>
          <w:tab w:val="left" w:pos="0"/>
        </w:tabs>
        <w:spacing w:before="120" w:after="120"/>
        <w:ind w:left="567" w:hanging="567"/>
        <w:jc w:val="left"/>
        <w:rPr>
          <w:rFonts w:eastAsia="Verdana" w:cs="Verdana"/>
          <w:color w:val="000000" w:themeColor="text1"/>
          <w:lang w:val="es-ES"/>
        </w:rPr>
      </w:pPr>
      <w:r w:rsidRPr="006E4623">
        <w:rPr>
          <w:color w:val="000000" w:themeColor="text1"/>
          <w:lang w:val="es-ES"/>
        </w:rPr>
        <w:t>c)</w:t>
      </w:r>
      <w:r w:rsidRPr="006E4623">
        <w:rPr>
          <w:color w:val="000000" w:themeColor="text1"/>
          <w:lang w:val="es-ES"/>
        </w:rPr>
        <w:tab/>
      </w:r>
      <w:r w:rsidRPr="006E4623">
        <w:rPr>
          <w:rFonts w:eastAsia="Verdana" w:cs="Verdana"/>
          <w:color w:val="000000" w:themeColor="text1"/>
          <w:lang w:val="es-ES"/>
        </w:rPr>
        <w:t xml:space="preserve">Vigilancia de la nieve, vigilancia del hielo marino </w:t>
      </w:r>
      <w:r w:rsidR="00FE7C37" w:rsidRPr="006E4623">
        <w:rPr>
          <w:rFonts w:eastAsia="Verdana" w:cs="Verdana"/>
          <w:lang w:val="es-ES"/>
        </w:rPr>
        <w:t>—</w:t>
      </w:r>
      <w:r w:rsidRPr="006E4623">
        <w:rPr>
          <w:rFonts w:eastAsia="Verdana" w:cs="Verdana"/>
          <w:color w:val="000000" w:themeColor="text1"/>
          <w:lang w:val="es-ES"/>
        </w:rPr>
        <w:t xml:space="preserve"> prestando especial atención a las observaciones, los datos, la asimilación de datos y la verificación de modelos. Tras la aprobación de las recomendaciones del SG-CRYO, se espera que el Comité Permanente de Proceso de Datos para la Modelización y Predicción Aplicadas del Sistema Tierra (SC-ESMP) sea más estrecho; </w:t>
      </w:r>
    </w:p>
    <w:p w14:paraId="769E54F0" w14:textId="77777777" w:rsidR="00274185" w:rsidRPr="006E4623" w:rsidRDefault="00274185" w:rsidP="002B7A8E">
      <w:pPr>
        <w:pBdr>
          <w:top w:val="nil"/>
          <w:left w:val="nil"/>
          <w:bottom w:val="nil"/>
          <w:right w:val="nil"/>
          <w:between w:val="nil"/>
        </w:pBdr>
        <w:tabs>
          <w:tab w:val="clear" w:pos="1134"/>
          <w:tab w:val="left" w:pos="0"/>
        </w:tabs>
        <w:spacing w:before="120" w:after="120"/>
        <w:ind w:left="567" w:hanging="567"/>
        <w:jc w:val="left"/>
        <w:rPr>
          <w:color w:val="000000" w:themeColor="text1"/>
          <w:lang w:val="es-ES"/>
        </w:rPr>
      </w:pPr>
      <w:r w:rsidRPr="006E4623">
        <w:rPr>
          <w:color w:val="000000" w:themeColor="text1"/>
          <w:lang w:val="es-ES"/>
        </w:rPr>
        <w:t>d)</w:t>
      </w:r>
      <w:r w:rsidRPr="006E4623">
        <w:rPr>
          <w:color w:val="000000" w:themeColor="text1"/>
          <w:lang w:val="es-ES"/>
        </w:rPr>
        <w:tab/>
        <w:t>Equipos especiales sobre glaciares y permafrost con una activa colaboración con</w:t>
      </w:r>
      <w:r w:rsidRPr="006E4623">
        <w:rPr>
          <w:rFonts w:eastAsia="Verdana" w:cs="Verdana"/>
          <w:color w:val="000000" w:themeColor="text1"/>
          <w:lang w:val="es-ES"/>
        </w:rPr>
        <w:t xml:space="preserve"> el </w:t>
      </w:r>
      <w:r w:rsidRPr="006E4623">
        <w:rPr>
          <w:rFonts w:eastAsia="Verdana" w:cs="Verdana"/>
          <w:lang w:val="es-ES"/>
        </w:rPr>
        <w:t>Comité Permanente de Mediciones, Instrumentos y Trazabilidad</w:t>
      </w:r>
      <w:r w:rsidRPr="006E4623">
        <w:rPr>
          <w:rFonts w:eastAsia="Verdana" w:cs="Verdana"/>
          <w:color w:val="000000" w:themeColor="text1"/>
          <w:lang w:val="es-ES"/>
        </w:rPr>
        <w:t xml:space="preserve"> (SC-MINT).</w:t>
      </w:r>
    </w:p>
    <w:p w14:paraId="73B273C3" w14:textId="77777777" w:rsidR="0074706B" w:rsidRPr="006E4623" w:rsidRDefault="0006483B" w:rsidP="004C1ADF">
      <w:pPr>
        <w:pStyle w:val="WMOBodyText"/>
        <w:spacing w:after="240"/>
        <w:rPr>
          <w:i/>
          <w:iCs/>
          <w:lang w:val="es-ES" w:eastAsia="en-US"/>
        </w:rPr>
      </w:pPr>
      <w:bookmarkStart w:id="13" w:name="_17dp8vu" w:colFirst="0" w:colLast="0"/>
      <w:bookmarkStart w:id="14" w:name="3rdcrjn" w:colFirst="0" w:colLast="0"/>
      <w:bookmarkStart w:id="15" w:name="_26in1rg" w:colFirst="0" w:colLast="0"/>
      <w:bookmarkEnd w:id="13"/>
      <w:bookmarkEnd w:id="14"/>
      <w:bookmarkEnd w:id="15"/>
      <w:r w:rsidRPr="006E4623">
        <w:rPr>
          <w:i/>
          <w:lang w:val="es-ES"/>
        </w:rPr>
        <w:t>Comunicación y divulgación</w:t>
      </w:r>
    </w:p>
    <w:p w14:paraId="200FEA64" w14:textId="0A4A9E37" w:rsidR="00DA6974" w:rsidRPr="006E4623" w:rsidRDefault="00DA6974" w:rsidP="0089537B">
      <w:pPr>
        <w:pStyle w:val="WMOBodyText"/>
        <w:ind w:right="-170"/>
        <w:rPr>
          <w:lang w:val="es-ES" w:eastAsia="en-US"/>
        </w:rPr>
      </w:pPr>
      <w:r w:rsidRPr="006E4623">
        <w:rPr>
          <w:lang w:val="es-ES"/>
        </w:rPr>
        <w:t>El sitio web de la VCG (</w:t>
      </w:r>
      <w:hyperlink r:id="rId49" w:history="1">
        <w:r w:rsidRPr="006E4623">
          <w:rPr>
            <w:rStyle w:val="Hyperlink"/>
            <w:lang w:val="es-ES"/>
          </w:rPr>
          <w:t>globalcryospherewatch.org</w:t>
        </w:r>
      </w:hyperlink>
      <w:r w:rsidRPr="006E4623">
        <w:rPr>
          <w:lang w:val="es-ES"/>
        </w:rPr>
        <w:t xml:space="preserve">) y las </w:t>
      </w:r>
      <w:hyperlink r:id="rId50" w:history="1">
        <w:r w:rsidRPr="006E4623">
          <w:rPr>
            <w:rStyle w:val="Hyperlink"/>
            <w:lang w:val="es-ES"/>
          </w:rPr>
          <w:t xml:space="preserve"> páginas web de la OMM sobre la criosfera</w:t>
        </w:r>
      </w:hyperlink>
      <w:r w:rsidRPr="006E4623">
        <w:rPr>
          <w:lang w:val="es-ES"/>
        </w:rPr>
        <w:t xml:space="preserve"> seguirán publicando los enlaces de evaluaciones y noticias pertinentes para la criosfera en </w:t>
      </w:r>
      <w:hyperlink r:id="rId51" w:history="1">
        <w:r w:rsidRPr="006E4623">
          <w:rPr>
            <w:rStyle w:val="Hyperlink"/>
            <w:lang w:val="es-ES"/>
          </w:rPr>
          <w:t>"</w:t>
        </w:r>
        <w:proofErr w:type="spellStart"/>
        <w:r w:rsidRPr="006E4623">
          <w:rPr>
            <w:rStyle w:val="Hyperlink"/>
            <w:lang w:val="es-ES"/>
          </w:rPr>
          <w:t>Cryosphere</w:t>
        </w:r>
        <w:proofErr w:type="spellEnd"/>
        <w:r w:rsidRPr="006E4623">
          <w:rPr>
            <w:rStyle w:val="Hyperlink"/>
            <w:lang w:val="es-ES"/>
          </w:rPr>
          <w:t xml:space="preserve"> </w:t>
        </w:r>
        <w:proofErr w:type="spellStart"/>
        <w:r w:rsidRPr="006E4623">
          <w:rPr>
            <w:rStyle w:val="Hyperlink"/>
            <w:lang w:val="es-ES"/>
          </w:rPr>
          <w:t>Now</w:t>
        </w:r>
        <w:proofErr w:type="spellEnd"/>
      </w:hyperlink>
      <w:r w:rsidRPr="006E4623">
        <w:rPr>
          <w:lang w:val="es-ES"/>
        </w:rPr>
        <w:t>" y "</w:t>
      </w:r>
      <w:proofErr w:type="spellStart"/>
      <w:r w:rsidR="006E4623">
        <w:fldChar w:fldCharType="begin"/>
      </w:r>
      <w:r w:rsidR="006E4623" w:rsidRPr="006E4623">
        <w:rPr>
          <w:lang w:val="es-ES"/>
        </w:rPr>
        <w:instrText xml:space="preserve"> HYPERLINK "https://globalcryospherewatch.org/news/cryo_in_the_news.html" </w:instrText>
      </w:r>
      <w:r w:rsidR="006E4623">
        <w:fldChar w:fldCharType="separate"/>
      </w:r>
      <w:r w:rsidRPr="006E4623">
        <w:rPr>
          <w:rStyle w:val="Hyperlink"/>
          <w:lang w:val="es-ES"/>
        </w:rPr>
        <w:t>Cryosphere</w:t>
      </w:r>
      <w:proofErr w:type="spellEnd"/>
      <w:r w:rsidRPr="006E4623">
        <w:rPr>
          <w:rStyle w:val="Hyperlink"/>
          <w:lang w:val="es-ES"/>
        </w:rPr>
        <w:t xml:space="preserve"> in </w:t>
      </w:r>
      <w:proofErr w:type="spellStart"/>
      <w:r w:rsidRPr="006E4623">
        <w:rPr>
          <w:rStyle w:val="Hyperlink"/>
          <w:lang w:val="es-ES"/>
        </w:rPr>
        <w:t>the</w:t>
      </w:r>
      <w:proofErr w:type="spellEnd"/>
      <w:r w:rsidRPr="006E4623">
        <w:rPr>
          <w:rStyle w:val="Hyperlink"/>
          <w:lang w:val="es-ES"/>
        </w:rPr>
        <w:t xml:space="preserve"> News</w:t>
      </w:r>
      <w:r w:rsidR="006E4623">
        <w:rPr>
          <w:rStyle w:val="Hyperlink"/>
        </w:rPr>
        <w:fldChar w:fldCharType="end"/>
      </w:r>
      <w:r w:rsidRPr="006E4623">
        <w:rPr>
          <w:lang w:val="es-ES"/>
        </w:rPr>
        <w:t>".</w:t>
      </w:r>
    </w:p>
    <w:p w14:paraId="6BA44D57" w14:textId="771F0A2E" w:rsidR="004C1ADF" w:rsidRPr="00FC70B3" w:rsidRDefault="004C1ADF" w:rsidP="004C1ADF">
      <w:pPr>
        <w:pStyle w:val="WMOBodyText"/>
        <w:spacing w:before="360" w:after="240"/>
        <w:jc w:val="center"/>
        <w:rPr>
          <w:lang w:eastAsia="en-US"/>
        </w:rPr>
      </w:pPr>
      <w:r w:rsidRPr="00FC70B3">
        <w:t>_______________</w:t>
      </w:r>
    </w:p>
    <w:sectPr w:rsidR="004C1ADF" w:rsidRPr="00FC70B3" w:rsidSect="0020095E">
      <w:headerReference w:type="even" r:id="rId52"/>
      <w:headerReference w:type="default" r:id="rId53"/>
      <w:headerReference w:type="first" r:id="rId5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D386" w14:textId="77777777" w:rsidR="00E15A40" w:rsidRDefault="00E15A40">
      <w:r>
        <w:separator/>
      </w:r>
    </w:p>
    <w:p w14:paraId="1D609AB1" w14:textId="77777777" w:rsidR="00E15A40" w:rsidRDefault="00E15A40"/>
    <w:p w14:paraId="1E1B3811" w14:textId="77777777" w:rsidR="00E15A40" w:rsidRDefault="00E15A40"/>
  </w:endnote>
  <w:endnote w:type="continuationSeparator" w:id="0">
    <w:p w14:paraId="3A10AD30" w14:textId="77777777" w:rsidR="00E15A40" w:rsidRDefault="00E15A40">
      <w:r>
        <w:continuationSeparator/>
      </w:r>
    </w:p>
    <w:p w14:paraId="2CD0EFBE" w14:textId="77777777" w:rsidR="00E15A40" w:rsidRDefault="00E15A40"/>
    <w:p w14:paraId="668A15AD" w14:textId="77777777" w:rsidR="00E15A40" w:rsidRDefault="00E15A40"/>
  </w:endnote>
  <w:endnote w:type="continuationNotice" w:id="1">
    <w:p w14:paraId="5BBA1802" w14:textId="77777777" w:rsidR="00E15A40" w:rsidRDefault="00E15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E4F63" w14:textId="77777777" w:rsidR="00E15A40" w:rsidRDefault="00E15A40">
      <w:r>
        <w:separator/>
      </w:r>
    </w:p>
  </w:footnote>
  <w:footnote w:type="continuationSeparator" w:id="0">
    <w:p w14:paraId="1EAEE0B3" w14:textId="77777777" w:rsidR="00E15A40" w:rsidRDefault="00E15A40">
      <w:r>
        <w:continuationSeparator/>
      </w:r>
    </w:p>
    <w:p w14:paraId="35EEE66E" w14:textId="77777777" w:rsidR="00E15A40" w:rsidRDefault="00E15A40"/>
    <w:p w14:paraId="290AD4AB" w14:textId="77777777" w:rsidR="00E15A40" w:rsidRDefault="00E15A40"/>
  </w:footnote>
  <w:footnote w:type="continuationNotice" w:id="1">
    <w:p w14:paraId="0CF333EC" w14:textId="77777777" w:rsidR="00E15A40" w:rsidRDefault="00E15A40"/>
  </w:footnote>
  <w:footnote w:id="2">
    <w:p w14:paraId="10862297" w14:textId="0B817BAC" w:rsidR="00274185" w:rsidRPr="006E4623" w:rsidRDefault="00274185" w:rsidP="003F0954">
      <w:pPr>
        <w:pBdr>
          <w:top w:val="nil"/>
          <w:left w:val="nil"/>
          <w:bottom w:val="nil"/>
          <w:right w:val="nil"/>
          <w:between w:val="nil"/>
        </w:pBdr>
        <w:ind w:right="-170"/>
        <w:jc w:val="left"/>
        <w:rPr>
          <w:iCs/>
          <w:color w:val="000000"/>
          <w:sz w:val="18"/>
          <w:szCs w:val="18"/>
          <w:lang w:val="es-ES"/>
        </w:rPr>
      </w:pPr>
      <w:r w:rsidRPr="009F465B">
        <w:rPr>
          <w:sz w:val="18"/>
          <w:szCs w:val="18"/>
          <w:vertAlign w:val="superscript"/>
        </w:rPr>
        <w:footnoteRef/>
      </w:r>
      <w:r w:rsidRPr="006E4623">
        <w:rPr>
          <w:i/>
          <w:color w:val="000000"/>
          <w:lang w:val="es-ES"/>
        </w:rPr>
        <w:t xml:space="preserve"> </w:t>
      </w:r>
      <w:r w:rsidRPr="006E4623">
        <w:rPr>
          <w:iCs/>
          <w:sz w:val="18"/>
          <w:szCs w:val="18"/>
          <w:lang w:val="es-ES"/>
        </w:rPr>
        <w:t>En el contexto del Plan Estratégico de la OMM, la Tierra se considera un sistema integrado de la atmósfera, los océanos, la criosfera, la hidrosfera, la biosfera y la geosfera, que fundamenta las políticas y las decisiones sobre la base de una mejor comprensión de las interacciones físicas, químicas, biológicas y humanas que determinan los estados pasado, presente y futuro de la Tierra.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EC78" w14:textId="77777777" w:rsidR="00A2201C" w:rsidRDefault="006E4623">
    <w:pPr>
      <w:pStyle w:val="Header"/>
    </w:pPr>
    <w:r>
      <w:rPr>
        <w:noProof/>
      </w:rPr>
      <w:pict w14:anchorId="76024A11">
        <v:shapetype id="_x0000_m2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E06CE1">
        <v:shape id="_x0000_s2049" type="#_x0000_m206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6E9A0D" w14:textId="77777777" w:rsidR="003F2EE4" w:rsidRDefault="003F2EE4"/>
  <w:p w14:paraId="4B18B220" w14:textId="77777777" w:rsidR="00A2201C" w:rsidRDefault="006E4623">
    <w:pPr>
      <w:pStyle w:val="Header"/>
    </w:pPr>
    <w:r>
      <w:rPr>
        <w:noProof/>
      </w:rPr>
      <w:pict w14:anchorId="4CBDD392">
        <v:shapetype id="_x0000_m2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6A6E18">
        <v:shape id="_x0000_s2051" type="#_x0000_m206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764175" w14:textId="77777777" w:rsidR="003F2EE4" w:rsidRDefault="003F2EE4"/>
  <w:p w14:paraId="0CB9D217" w14:textId="77777777" w:rsidR="00A2201C" w:rsidRDefault="006E4623">
    <w:pPr>
      <w:pStyle w:val="Header"/>
    </w:pPr>
    <w:r>
      <w:rPr>
        <w:noProof/>
      </w:rPr>
      <w:pict w14:anchorId="730E5154">
        <v:shapetype id="_x0000_m2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752EFB7">
        <v:shape id="_x0000_s2053" type="#_x0000_m206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82B02" w14:textId="5CE9C537" w:rsidR="00A432CD" w:rsidRDefault="00F64D7A" w:rsidP="00B72444">
    <w:pPr>
      <w:pStyle w:val="Header"/>
    </w:pPr>
    <w:r>
      <w:t xml:space="preserve">INFCOM-2/INF. 2(2),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E4623">
      <w:pict w14:anchorId="13C2F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56192;visibility:hidden;mso-position-horizontal-relative:text;mso-position-vertical-relative:text">
          <v:path gradientshapeok="f"/>
          <o:lock v:ext="edit" selection="t"/>
        </v:shape>
      </w:pict>
    </w:r>
    <w:r w:rsidR="006E4623">
      <w:pict w14:anchorId="15C4680F">
        <v:shape id="_x0000_s2064"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0AAC" w14:textId="452B0C24" w:rsidR="00A2201C" w:rsidRDefault="006E4623" w:rsidP="00A142D5">
    <w:pPr>
      <w:pStyle w:val="Header"/>
      <w:spacing w:after="120"/>
      <w:jc w:val="left"/>
    </w:pPr>
    <w:r>
      <w:pict w14:anchorId="5859B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58240;visibility:hidden">
          <v:path gradientshapeok="f"/>
          <o:lock v:ext="edit" selection="t"/>
        </v:shape>
      </w:pict>
    </w:r>
    <w:r>
      <w:pict w14:anchorId="1C8BE909">
        <v:shape id="_x0000_s2062"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6685"/>
    <w:multiLevelType w:val="hybridMultilevel"/>
    <w:tmpl w:val="B86CB9A2"/>
    <w:lvl w:ilvl="0" w:tplc="4DA89BFA">
      <w:start w:val="2"/>
      <w:numFmt w:val="lowerRoman"/>
      <w:lvlText w:val="(%1)"/>
      <w:lvlJc w:val="left"/>
      <w:pPr>
        <w:ind w:left="2362" w:hanging="720"/>
      </w:pPr>
      <w:rPr>
        <w:rFonts w:hint="default"/>
      </w:rPr>
    </w:lvl>
    <w:lvl w:ilvl="1" w:tplc="1E946378">
      <w:start w:val="1"/>
      <w:numFmt w:val="lowerRoman"/>
      <w:lvlText w:val="(%2)"/>
      <w:lvlJc w:val="left"/>
      <w:pPr>
        <w:ind w:left="2722" w:hanging="360"/>
      </w:pPr>
      <w:rPr>
        <w:rFonts w:ascii="Verdana" w:eastAsia="Verdana" w:hAnsi="Verdana" w:cs="Verdana"/>
      </w:rPr>
    </w:lvl>
    <w:lvl w:ilvl="2" w:tplc="2000001B" w:tentative="1">
      <w:start w:val="1"/>
      <w:numFmt w:val="lowerRoman"/>
      <w:lvlText w:val="%3."/>
      <w:lvlJc w:val="right"/>
      <w:pPr>
        <w:ind w:left="3442" w:hanging="180"/>
      </w:pPr>
    </w:lvl>
    <w:lvl w:ilvl="3" w:tplc="2000000F" w:tentative="1">
      <w:start w:val="1"/>
      <w:numFmt w:val="decimal"/>
      <w:lvlText w:val="%4."/>
      <w:lvlJc w:val="left"/>
      <w:pPr>
        <w:ind w:left="4162" w:hanging="360"/>
      </w:pPr>
    </w:lvl>
    <w:lvl w:ilvl="4" w:tplc="20000019" w:tentative="1">
      <w:start w:val="1"/>
      <w:numFmt w:val="lowerLetter"/>
      <w:lvlText w:val="%5."/>
      <w:lvlJc w:val="left"/>
      <w:pPr>
        <w:ind w:left="4882" w:hanging="360"/>
      </w:pPr>
    </w:lvl>
    <w:lvl w:ilvl="5" w:tplc="2000001B" w:tentative="1">
      <w:start w:val="1"/>
      <w:numFmt w:val="lowerRoman"/>
      <w:lvlText w:val="%6."/>
      <w:lvlJc w:val="right"/>
      <w:pPr>
        <w:ind w:left="5602" w:hanging="180"/>
      </w:pPr>
    </w:lvl>
    <w:lvl w:ilvl="6" w:tplc="2000000F" w:tentative="1">
      <w:start w:val="1"/>
      <w:numFmt w:val="decimal"/>
      <w:lvlText w:val="%7."/>
      <w:lvlJc w:val="left"/>
      <w:pPr>
        <w:ind w:left="6322" w:hanging="360"/>
      </w:pPr>
    </w:lvl>
    <w:lvl w:ilvl="7" w:tplc="20000019" w:tentative="1">
      <w:start w:val="1"/>
      <w:numFmt w:val="lowerLetter"/>
      <w:lvlText w:val="%8."/>
      <w:lvlJc w:val="left"/>
      <w:pPr>
        <w:ind w:left="7042" w:hanging="360"/>
      </w:pPr>
    </w:lvl>
    <w:lvl w:ilvl="8" w:tplc="2000001B" w:tentative="1">
      <w:start w:val="1"/>
      <w:numFmt w:val="lowerRoman"/>
      <w:lvlText w:val="%9."/>
      <w:lvlJc w:val="right"/>
      <w:pPr>
        <w:ind w:left="7762" w:hanging="180"/>
      </w:pPr>
    </w:lvl>
  </w:abstractNum>
  <w:abstractNum w:abstractNumId="1" w15:restartNumberingAfterBreak="0">
    <w:nsid w:val="11440FEB"/>
    <w:multiLevelType w:val="hybridMultilevel"/>
    <w:tmpl w:val="9596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719E3"/>
    <w:multiLevelType w:val="hybridMultilevel"/>
    <w:tmpl w:val="0A1AC500"/>
    <w:lvl w:ilvl="0" w:tplc="89C6034E">
      <w:start w:val="9"/>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1A919A7"/>
    <w:multiLevelType w:val="hybridMultilevel"/>
    <w:tmpl w:val="1730CC6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366C0709"/>
    <w:multiLevelType w:val="hybridMultilevel"/>
    <w:tmpl w:val="2F90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10842"/>
    <w:multiLevelType w:val="hybridMultilevel"/>
    <w:tmpl w:val="E370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10FCB"/>
    <w:multiLevelType w:val="hybridMultilevel"/>
    <w:tmpl w:val="14209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2E129D"/>
    <w:multiLevelType w:val="hybridMultilevel"/>
    <w:tmpl w:val="A560BD28"/>
    <w:lvl w:ilvl="0" w:tplc="0F1602D2">
      <w:start w:val="1"/>
      <w:numFmt w:val="lowerLetter"/>
      <w:lvlText w:val="(%1)"/>
      <w:lvlJc w:val="left"/>
      <w:pPr>
        <w:ind w:left="1137" w:hanging="57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6"/>
  </w:num>
  <w:num w:numId="3">
    <w:abstractNumId w:val="3"/>
  </w:num>
  <w:num w:numId="4">
    <w:abstractNumId w:val="7"/>
  </w:num>
  <w:num w:numId="5">
    <w:abstractNumId w:val="5"/>
  </w:num>
  <w:num w:numId="6">
    <w:abstractNumId w:val="4"/>
  </w:num>
  <w:num w:numId="7">
    <w:abstractNumId w:val="2"/>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6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A2"/>
    <w:rsid w:val="000028A4"/>
    <w:rsid w:val="00005301"/>
    <w:rsid w:val="000105B6"/>
    <w:rsid w:val="000119A6"/>
    <w:rsid w:val="000133EE"/>
    <w:rsid w:val="00014899"/>
    <w:rsid w:val="0001660D"/>
    <w:rsid w:val="000206A8"/>
    <w:rsid w:val="00027205"/>
    <w:rsid w:val="0003137A"/>
    <w:rsid w:val="00041171"/>
    <w:rsid w:val="00041727"/>
    <w:rsid w:val="0004226F"/>
    <w:rsid w:val="00044123"/>
    <w:rsid w:val="00050F8E"/>
    <w:rsid w:val="000518BB"/>
    <w:rsid w:val="00056FD4"/>
    <w:rsid w:val="000573AD"/>
    <w:rsid w:val="000603B1"/>
    <w:rsid w:val="0006123B"/>
    <w:rsid w:val="0006483B"/>
    <w:rsid w:val="00064F6B"/>
    <w:rsid w:val="000675F7"/>
    <w:rsid w:val="00072F17"/>
    <w:rsid w:val="000731AA"/>
    <w:rsid w:val="000806D8"/>
    <w:rsid w:val="00082C80"/>
    <w:rsid w:val="00083847"/>
    <w:rsid w:val="00083C36"/>
    <w:rsid w:val="00084A1F"/>
    <w:rsid w:val="00084D58"/>
    <w:rsid w:val="0009137B"/>
    <w:rsid w:val="00092CAE"/>
    <w:rsid w:val="00095E48"/>
    <w:rsid w:val="000A19EF"/>
    <w:rsid w:val="000A2F6E"/>
    <w:rsid w:val="000A4F1C"/>
    <w:rsid w:val="000A5863"/>
    <w:rsid w:val="000A69BF"/>
    <w:rsid w:val="000B29F1"/>
    <w:rsid w:val="000C225A"/>
    <w:rsid w:val="000C6781"/>
    <w:rsid w:val="000D0753"/>
    <w:rsid w:val="000F08F2"/>
    <w:rsid w:val="000F5E49"/>
    <w:rsid w:val="000F7A87"/>
    <w:rsid w:val="00102EAE"/>
    <w:rsid w:val="001047DC"/>
    <w:rsid w:val="00105D2E"/>
    <w:rsid w:val="00111BFD"/>
    <w:rsid w:val="0011498B"/>
    <w:rsid w:val="00120147"/>
    <w:rsid w:val="00123140"/>
    <w:rsid w:val="00123D94"/>
    <w:rsid w:val="00130BBC"/>
    <w:rsid w:val="00133D13"/>
    <w:rsid w:val="00145FF9"/>
    <w:rsid w:val="00150DBD"/>
    <w:rsid w:val="001568A8"/>
    <w:rsid w:val="00156F9B"/>
    <w:rsid w:val="00162E05"/>
    <w:rsid w:val="00163BA3"/>
    <w:rsid w:val="00166B31"/>
    <w:rsid w:val="00167D54"/>
    <w:rsid w:val="00176AB5"/>
    <w:rsid w:val="00177F05"/>
    <w:rsid w:val="00180771"/>
    <w:rsid w:val="00190854"/>
    <w:rsid w:val="001930A3"/>
    <w:rsid w:val="00193876"/>
    <w:rsid w:val="001938DE"/>
    <w:rsid w:val="00196EB8"/>
    <w:rsid w:val="001A25F0"/>
    <w:rsid w:val="001A341E"/>
    <w:rsid w:val="001B0ADE"/>
    <w:rsid w:val="001B0EA6"/>
    <w:rsid w:val="001B1CDF"/>
    <w:rsid w:val="001B2EC4"/>
    <w:rsid w:val="001B56F4"/>
    <w:rsid w:val="001C1B59"/>
    <w:rsid w:val="001C1FB2"/>
    <w:rsid w:val="001C5462"/>
    <w:rsid w:val="001C6863"/>
    <w:rsid w:val="001D0D3B"/>
    <w:rsid w:val="001D265C"/>
    <w:rsid w:val="001D3062"/>
    <w:rsid w:val="001D3CFB"/>
    <w:rsid w:val="001D5056"/>
    <w:rsid w:val="001D559B"/>
    <w:rsid w:val="001D6302"/>
    <w:rsid w:val="001E269E"/>
    <w:rsid w:val="001E2C22"/>
    <w:rsid w:val="001E740C"/>
    <w:rsid w:val="001E7DD0"/>
    <w:rsid w:val="001F1109"/>
    <w:rsid w:val="001F1BDA"/>
    <w:rsid w:val="0020095E"/>
    <w:rsid w:val="002051F9"/>
    <w:rsid w:val="00210BFE"/>
    <w:rsid w:val="00210D30"/>
    <w:rsid w:val="00214A8E"/>
    <w:rsid w:val="002204FD"/>
    <w:rsid w:val="00221020"/>
    <w:rsid w:val="00227029"/>
    <w:rsid w:val="002308B5"/>
    <w:rsid w:val="00233C0B"/>
    <w:rsid w:val="00234A34"/>
    <w:rsid w:val="0025255D"/>
    <w:rsid w:val="00255EE3"/>
    <w:rsid w:val="00256B3D"/>
    <w:rsid w:val="0026743C"/>
    <w:rsid w:val="00270480"/>
    <w:rsid w:val="00271A9A"/>
    <w:rsid w:val="00273A6F"/>
    <w:rsid w:val="00274185"/>
    <w:rsid w:val="002779AF"/>
    <w:rsid w:val="00281DE3"/>
    <w:rsid w:val="002823D8"/>
    <w:rsid w:val="00283C83"/>
    <w:rsid w:val="0028531A"/>
    <w:rsid w:val="00285446"/>
    <w:rsid w:val="00290082"/>
    <w:rsid w:val="002901E0"/>
    <w:rsid w:val="00295593"/>
    <w:rsid w:val="002A354F"/>
    <w:rsid w:val="002A386C"/>
    <w:rsid w:val="002B09DF"/>
    <w:rsid w:val="002B0E19"/>
    <w:rsid w:val="002B303B"/>
    <w:rsid w:val="002B540D"/>
    <w:rsid w:val="002B7A7E"/>
    <w:rsid w:val="002B7A8E"/>
    <w:rsid w:val="002C2B6D"/>
    <w:rsid w:val="002C2EDD"/>
    <w:rsid w:val="002C30BC"/>
    <w:rsid w:val="002C5965"/>
    <w:rsid w:val="002C5E15"/>
    <w:rsid w:val="002C7A88"/>
    <w:rsid w:val="002C7AB9"/>
    <w:rsid w:val="002D232B"/>
    <w:rsid w:val="002D2759"/>
    <w:rsid w:val="002D5E00"/>
    <w:rsid w:val="002D6DAC"/>
    <w:rsid w:val="002E261D"/>
    <w:rsid w:val="002E3FAD"/>
    <w:rsid w:val="002E4E16"/>
    <w:rsid w:val="002F2685"/>
    <w:rsid w:val="002F6DAC"/>
    <w:rsid w:val="00301E8C"/>
    <w:rsid w:val="00307122"/>
    <w:rsid w:val="00307DDD"/>
    <w:rsid w:val="00311016"/>
    <w:rsid w:val="00313D16"/>
    <w:rsid w:val="003143C9"/>
    <w:rsid w:val="003146E9"/>
    <w:rsid w:val="00314D5D"/>
    <w:rsid w:val="00320009"/>
    <w:rsid w:val="0032424A"/>
    <w:rsid w:val="003245D3"/>
    <w:rsid w:val="00330AA3"/>
    <w:rsid w:val="00331584"/>
    <w:rsid w:val="00331964"/>
    <w:rsid w:val="00334987"/>
    <w:rsid w:val="00340C69"/>
    <w:rsid w:val="00342E34"/>
    <w:rsid w:val="00351CAA"/>
    <w:rsid w:val="0035414A"/>
    <w:rsid w:val="00371CF1"/>
    <w:rsid w:val="0037222D"/>
    <w:rsid w:val="00373128"/>
    <w:rsid w:val="003750C1"/>
    <w:rsid w:val="00376938"/>
    <w:rsid w:val="0038051E"/>
    <w:rsid w:val="00380A2F"/>
    <w:rsid w:val="00380AF7"/>
    <w:rsid w:val="00394A05"/>
    <w:rsid w:val="00397770"/>
    <w:rsid w:val="00397880"/>
    <w:rsid w:val="003A7016"/>
    <w:rsid w:val="003B0C08"/>
    <w:rsid w:val="003C17A5"/>
    <w:rsid w:val="003C1843"/>
    <w:rsid w:val="003D1552"/>
    <w:rsid w:val="003D5065"/>
    <w:rsid w:val="003E381F"/>
    <w:rsid w:val="003E4046"/>
    <w:rsid w:val="003F003A"/>
    <w:rsid w:val="003F0954"/>
    <w:rsid w:val="003F125B"/>
    <w:rsid w:val="003F2551"/>
    <w:rsid w:val="003F2EE4"/>
    <w:rsid w:val="003F4AC4"/>
    <w:rsid w:val="003F6EEC"/>
    <w:rsid w:val="003F7B3F"/>
    <w:rsid w:val="004058AD"/>
    <w:rsid w:val="0041078D"/>
    <w:rsid w:val="00416F97"/>
    <w:rsid w:val="00425173"/>
    <w:rsid w:val="0043039B"/>
    <w:rsid w:val="00436197"/>
    <w:rsid w:val="00436BA1"/>
    <w:rsid w:val="004423FE"/>
    <w:rsid w:val="00445C35"/>
    <w:rsid w:val="00445C58"/>
    <w:rsid w:val="004519AE"/>
    <w:rsid w:val="00454B41"/>
    <w:rsid w:val="0045663A"/>
    <w:rsid w:val="0046344E"/>
    <w:rsid w:val="004667E7"/>
    <w:rsid w:val="004672CF"/>
    <w:rsid w:val="00470DEF"/>
    <w:rsid w:val="00475797"/>
    <w:rsid w:val="00476D0A"/>
    <w:rsid w:val="00491024"/>
    <w:rsid w:val="0049253B"/>
    <w:rsid w:val="00495E2F"/>
    <w:rsid w:val="004A140B"/>
    <w:rsid w:val="004A4B47"/>
    <w:rsid w:val="004B0EC9"/>
    <w:rsid w:val="004B7216"/>
    <w:rsid w:val="004B7BAA"/>
    <w:rsid w:val="004C1ADF"/>
    <w:rsid w:val="004C2DF7"/>
    <w:rsid w:val="004C4E0B"/>
    <w:rsid w:val="004D497E"/>
    <w:rsid w:val="004E0466"/>
    <w:rsid w:val="004E4809"/>
    <w:rsid w:val="004E4CC3"/>
    <w:rsid w:val="004E5985"/>
    <w:rsid w:val="004E6352"/>
    <w:rsid w:val="004E6460"/>
    <w:rsid w:val="004F6B46"/>
    <w:rsid w:val="0050425E"/>
    <w:rsid w:val="00511999"/>
    <w:rsid w:val="005145D6"/>
    <w:rsid w:val="00515FF2"/>
    <w:rsid w:val="00520519"/>
    <w:rsid w:val="005207D3"/>
    <w:rsid w:val="00521EA5"/>
    <w:rsid w:val="00525B80"/>
    <w:rsid w:val="00526D2D"/>
    <w:rsid w:val="005272DF"/>
    <w:rsid w:val="0053098F"/>
    <w:rsid w:val="00536B2E"/>
    <w:rsid w:val="00546D8E"/>
    <w:rsid w:val="00553738"/>
    <w:rsid w:val="00553F7E"/>
    <w:rsid w:val="00555F46"/>
    <w:rsid w:val="005625D2"/>
    <w:rsid w:val="0056646F"/>
    <w:rsid w:val="00571AE1"/>
    <w:rsid w:val="00576EB2"/>
    <w:rsid w:val="00581B28"/>
    <w:rsid w:val="005859C2"/>
    <w:rsid w:val="0059057C"/>
    <w:rsid w:val="00592267"/>
    <w:rsid w:val="005937D0"/>
    <w:rsid w:val="0059421F"/>
    <w:rsid w:val="005956D9"/>
    <w:rsid w:val="005A136D"/>
    <w:rsid w:val="005A7857"/>
    <w:rsid w:val="005B0AE2"/>
    <w:rsid w:val="005B1427"/>
    <w:rsid w:val="005B1F2C"/>
    <w:rsid w:val="005B3745"/>
    <w:rsid w:val="005B5F3C"/>
    <w:rsid w:val="005C0977"/>
    <w:rsid w:val="005C3165"/>
    <w:rsid w:val="005C41F2"/>
    <w:rsid w:val="005D03D9"/>
    <w:rsid w:val="005D1EE8"/>
    <w:rsid w:val="005D56AE"/>
    <w:rsid w:val="005D666D"/>
    <w:rsid w:val="005E3A59"/>
    <w:rsid w:val="005E5176"/>
    <w:rsid w:val="005E7B46"/>
    <w:rsid w:val="005F61BA"/>
    <w:rsid w:val="005F6FC2"/>
    <w:rsid w:val="00604802"/>
    <w:rsid w:val="0061310A"/>
    <w:rsid w:val="00615AB0"/>
    <w:rsid w:val="00616247"/>
    <w:rsid w:val="0061778C"/>
    <w:rsid w:val="0062661B"/>
    <w:rsid w:val="00627FDC"/>
    <w:rsid w:val="00631292"/>
    <w:rsid w:val="00636B90"/>
    <w:rsid w:val="00637215"/>
    <w:rsid w:val="0064738B"/>
    <w:rsid w:val="006508EA"/>
    <w:rsid w:val="00650B18"/>
    <w:rsid w:val="00651CC3"/>
    <w:rsid w:val="006647DD"/>
    <w:rsid w:val="00664B25"/>
    <w:rsid w:val="00667E86"/>
    <w:rsid w:val="00672931"/>
    <w:rsid w:val="0068392D"/>
    <w:rsid w:val="00697B84"/>
    <w:rsid w:val="00697DB5"/>
    <w:rsid w:val="006A1B33"/>
    <w:rsid w:val="006A42CA"/>
    <w:rsid w:val="006A438B"/>
    <w:rsid w:val="006A490E"/>
    <w:rsid w:val="006A492A"/>
    <w:rsid w:val="006B3921"/>
    <w:rsid w:val="006B48BA"/>
    <w:rsid w:val="006B5C72"/>
    <w:rsid w:val="006B7C5A"/>
    <w:rsid w:val="006C289D"/>
    <w:rsid w:val="006D0310"/>
    <w:rsid w:val="006D064D"/>
    <w:rsid w:val="006D2009"/>
    <w:rsid w:val="006D23DA"/>
    <w:rsid w:val="006D5576"/>
    <w:rsid w:val="006E4623"/>
    <w:rsid w:val="006E766D"/>
    <w:rsid w:val="006F48E5"/>
    <w:rsid w:val="006F4B29"/>
    <w:rsid w:val="006F6CE9"/>
    <w:rsid w:val="00700A23"/>
    <w:rsid w:val="00704027"/>
    <w:rsid w:val="0070517C"/>
    <w:rsid w:val="00705BC3"/>
    <w:rsid w:val="00705C9F"/>
    <w:rsid w:val="00710C33"/>
    <w:rsid w:val="00710FB2"/>
    <w:rsid w:val="00716951"/>
    <w:rsid w:val="00720F6B"/>
    <w:rsid w:val="00722587"/>
    <w:rsid w:val="00722594"/>
    <w:rsid w:val="00722E6F"/>
    <w:rsid w:val="007234E0"/>
    <w:rsid w:val="00730ADA"/>
    <w:rsid w:val="00732C37"/>
    <w:rsid w:val="00735D9E"/>
    <w:rsid w:val="00740D23"/>
    <w:rsid w:val="00742AC1"/>
    <w:rsid w:val="00745A09"/>
    <w:rsid w:val="0074706B"/>
    <w:rsid w:val="00751EAF"/>
    <w:rsid w:val="00754CF7"/>
    <w:rsid w:val="00757B0D"/>
    <w:rsid w:val="00761320"/>
    <w:rsid w:val="007651B1"/>
    <w:rsid w:val="00767CE1"/>
    <w:rsid w:val="00771A68"/>
    <w:rsid w:val="007744D2"/>
    <w:rsid w:val="00777578"/>
    <w:rsid w:val="00786136"/>
    <w:rsid w:val="00793B87"/>
    <w:rsid w:val="007966B6"/>
    <w:rsid w:val="007B05CF"/>
    <w:rsid w:val="007B573F"/>
    <w:rsid w:val="007C1F10"/>
    <w:rsid w:val="007C212A"/>
    <w:rsid w:val="007C3E3D"/>
    <w:rsid w:val="007C6941"/>
    <w:rsid w:val="007C6B0C"/>
    <w:rsid w:val="007D5B3C"/>
    <w:rsid w:val="007E7D21"/>
    <w:rsid w:val="007E7DBD"/>
    <w:rsid w:val="007F482F"/>
    <w:rsid w:val="007F7C94"/>
    <w:rsid w:val="0080398D"/>
    <w:rsid w:val="00804D94"/>
    <w:rsid w:val="00805174"/>
    <w:rsid w:val="00806385"/>
    <w:rsid w:val="00807CC5"/>
    <w:rsid w:val="00807ED7"/>
    <w:rsid w:val="0081005D"/>
    <w:rsid w:val="00810863"/>
    <w:rsid w:val="00814C66"/>
    <w:rsid w:val="00814CC6"/>
    <w:rsid w:val="00820B0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19BD"/>
    <w:rsid w:val="0088163A"/>
    <w:rsid w:val="00893376"/>
    <w:rsid w:val="0089537B"/>
    <w:rsid w:val="0089601F"/>
    <w:rsid w:val="008970B8"/>
    <w:rsid w:val="008A7313"/>
    <w:rsid w:val="008A7D91"/>
    <w:rsid w:val="008B0130"/>
    <w:rsid w:val="008B7FC7"/>
    <w:rsid w:val="008C27E4"/>
    <w:rsid w:val="008C4337"/>
    <w:rsid w:val="008C4F06"/>
    <w:rsid w:val="008D0C90"/>
    <w:rsid w:val="008D203D"/>
    <w:rsid w:val="008D2EAB"/>
    <w:rsid w:val="008E1E4A"/>
    <w:rsid w:val="008E5A12"/>
    <w:rsid w:val="008F0615"/>
    <w:rsid w:val="008F103E"/>
    <w:rsid w:val="008F1FDB"/>
    <w:rsid w:val="008F36FB"/>
    <w:rsid w:val="00902EA9"/>
    <w:rsid w:val="0090427F"/>
    <w:rsid w:val="009150FD"/>
    <w:rsid w:val="009152EF"/>
    <w:rsid w:val="00920506"/>
    <w:rsid w:val="00922174"/>
    <w:rsid w:val="0092434D"/>
    <w:rsid w:val="00931DEB"/>
    <w:rsid w:val="00933957"/>
    <w:rsid w:val="009356FA"/>
    <w:rsid w:val="0094603B"/>
    <w:rsid w:val="009504A1"/>
    <w:rsid w:val="00950605"/>
    <w:rsid w:val="00952233"/>
    <w:rsid w:val="00954D66"/>
    <w:rsid w:val="0096395A"/>
    <w:rsid w:val="00963F8F"/>
    <w:rsid w:val="00965132"/>
    <w:rsid w:val="00973A21"/>
    <w:rsid w:val="00973C62"/>
    <w:rsid w:val="00974AB6"/>
    <w:rsid w:val="00975D76"/>
    <w:rsid w:val="00982E51"/>
    <w:rsid w:val="009874B9"/>
    <w:rsid w:val="00993581"/>
    <w:rsid w:val="009A288C"/>
    <w:rsid w:val="009A64C1"/>
    <w:rsid w:val="009B3E19"/>
    <w:rsid w:val="009B6697"/>
    <w:rsid w:val="009B74F2"/>
    <w:rsid w:val="009C2B43"/>
    <w:rsid w:val="009C2EA4"/>
    <w:rsid w:val="009C4C04"/>
    <w:rsid w:val="009D5213"/>
    <w:rsid w:val="009E1C95"/>
    <w:rsid w:val="009E6CB8"/>
    <w:rsid w:val="009F196A"/>
    <w:rsid w:val="009F1E9F"/>
    <w:rsid w:val="009F3954"/>
    <w:rsid w:val="009F4938"/>
    <w:rsid w:val="009F669B"/>
    <w:rsid w:val="009F7566"/>
    <w:rsid w:val="009F7F18"/>
    <w:rsid w:val="00A02A72"/>
    <w:rsid w:val="00A02E06"/>
    <w:rsid w:val="00A06BFE"/>
    <w:rsid w:val="00A07CF3"/>
    <w:rsid w:val="00A10F5D"/>
    <w:rsid w:val="00A1199A"/>
    <w:rsid w:val="00A1243C"/>
    <w:rsid w:val="00A135AE"/>
    <w:rsid w:val="00A142D2"/>
    <w:rsid w:val="00A142D5"/>
    <w:rsid w:val="00A14AF1"/>
    <w:rsid w:val="00A16891"/>
    <w:rsid w:val="00A2201C"/>
    <w:rsid w:val="00A22C47"/>
    <w:rsid w:val="00A268CE"/>
    <w:rsid w:val="00A30245"/>
    <w:rsid w:val="00A332E8"/>
    <w:rsid w:val="00A35AF5"/>
    <w:rsid w:val="00A35DDF"/>
    <w:rsid w:val="00A36CBA"/>
    <w:rsid w:val="00A432CD"/>
    <w:rsid w:val="00A45741"/>
    <w:rsid w:val="00A47EF6"/>
    <w:rsid w:val="00A50291"/>
    <w:rsid w:val="00A530E4"/>
    <w:rsid w:val="00A549FF"/>
    <w:rsid w:val="00A604CD"/>
    <w:rsid w:val="00A60FE6"/>
    <w:rsid w:val="00A614EB"/>
    <w:rsid w:val="00A622F5"/>
    <w:rsid w:val="00A630C9"/>
    <w:rsid w:val="00A641C6"/>
    <w:rsid w:val="00A650A2"/>
    <w:rsid w:val="00A654BE"/>
    <w:rsid w:val="00A656BD"/>
    <w:rsid w:val="00A66DD6"/>
    <w:rsid w:val="00A75018"/>
    <w:rsid w:val="00A771FD"/>
    <w:rsid w:val="00A80767"/>
    <w:rsid w:val="00A81C90"/>
    <w:rsid w:val="00A85210"/>
    <w:rsid w:val="00A874EF"/>
    <w:rsid w:val="00A94A8E"/>
    <w:rsid w:val="00A95415"/>
    <w:rsid w:val="00AA3C89"/>
    <w:rsid w:val="00AB32BD"/>
    <w:rsid w:val="00AB4723"/>
    <w:rsid w:val="00AB4BCD"/>
    <w:rsid w:val="00AB6466"/>
    <w:rsid w:val="00AC00F2"/>
    <w:rsid w:val="00AC4CDB"/>
    <w:rsid w:val="00AC6027"/>
    <w:rsid w:val="00AC70FE"/>
    <w:rsid w:val="00AD3AA3"/>
    <w:rsid w:val="00AD4358"/>
    <w:rsid w:val="00AF61E1"/>
    <w:rsid w:val="00AF638A"/>
    <w:rsid w:val="00B00141"/>
    <w:rsid w:val="00B009AA"/>
    <w:rsid w:val="00B00ECE"/>
    <w:rsid w:val="00B030C8"/>
    <w:rsid w:val="00B039C0"/>
    <w:rsid w:val="00B03A09"/>
    <w:rsid w:val="00B056E7"/>
    <w:rsid w:val="00B05B71"/>
    <w:rsid w:val="00B06901"/>
    <w:rsid w:val="00B06E2F"/>
    <w:rsid w:val="00B10035"/>
    <w:rsid w:val="00B15C76"/>
    <w:rsid w:val="00B165E6"/>
    <w:rsid w:val="00B235DB"/>
    <w:rsid w:val="00B424D9"/>
    <w:rsid w:val="00B447C0"/>
    <w:rsid w:val="00B52510"/>
    <w:rsid w:val="00B53E53"/>
    <w:rsid w:val="00B548A2"/>
    <w:rsid w:val="00B557B4"/>
    <w:rsid w:val="00B56934"/>
    <w:rsid w:val="00B62F03"/>
    <w:rsid w:val="00B72444"/>
    <w:rsid w:val="00B73BBB"/>
    <w:rsid w:val="00B813E2"/>
    <w:rsid w:val="00B860E1"/>
    <w:rsid w:val="00B91B66"/>
    <w:rsid w:val="00B93B62"/>
    <w:rsid w:val="00B953D1"/>
    <w:rsid w:val="00B96D93"/>
    <w:rsid w:val="00BA30D0"/>
    <w:rsid w:val="00BA7ED6"/>
    <w:rsid w:val="00BB0D32"/>
    <w:rsid w:val="00BC1180"/>
    <w:rsid w:val="00BC76B5"/>
    <w:rsid w:val="00BD1581"/>
    <w:rsid w:val="00BD5420"/>
    <w:rsid w:val="00BE739E"/>
    <w:rsid w:val="00BF5191"/>
    <w:rsid w:val="00C04BD2"/>
    <w:rsid w:val="00C060C7"/>
    <w:rsid w:val="00C13EEC"/>
    <w:rsid w:val="00C14689"/>
    <w:rsid w:val="00C14BB1"/>
    <w:rsid w:val="00C156A4"/>
    <w:rsid w:val="00C20FAA"/>
    <w:rsid w:val="00C23509"/>
    <w:rsid w:val="00C2459D"/>
    <w:rsid w:val="00C2755A"/>
    <w:rsid w:val="00C316F1"/>
    <w:rsid w:val="00C35029"/>
    <w:rsid w:val="00C365D7"/>
    <w:rsid w:val="00C41A5C"/>
    <w:rsid w:val="00C42C95"/>
    <w:rsid w:val="00C4470F"/>
    <w:rsid w:val="00C50727"/>
    <w:rsid w:val="00C55E5B"/>
    <w:rsid w:val="00C62739"/>
    <w:rsid w:val="00C63933"/>
    <w:rsid w:val="00C641B0"/>
    <w:rsid w:val="00C720A4"/>
    <w:rsid w:val="00C74F59"/>
    <w:rsid w:val="00C7611C"/>
    <w:rsid w:val="00C76705"/>
    <w:rsid w:val="00C94097"/>
    <w:rsid w:val="00C97246"/>
    <w:rsid w:val="00CA4269"/>
    <w:rsid w:val="00CA48CA"/>
    <w:rsid w:val="00CA5CAF"/>
    <w:rsid w:val="00CA7330"/>
    <w:rsid w:val="00CB15E9"/>
    <w:rsid w:val="00CB1C84"/>
    <w:rsid w:val="00CB5363"/>
    <w:rsid w:val="00CB5BCF"/>
    <w:rsid w:val="00CB64F0"/>
    <w:rsid w:val="00CB6C19"/>
    <w:rsid w:val="00CC2909"/>
    <w:rsid w:val="00CD0549"/>
    <w:rsid w:val="00CD4545"/>
    <w:rsid w:val="00CE08A9"/>
    <w:rsid w:val="00CE6B3C"/>
    <w:rsid w:val="00CF42A4"/>
    <w:rsid w:val="00CF44D9"/>
    <w:rsid w:val="00CF4A18"/>
    <w:rsid w:val="00CF70DC"/>
    <w:rsid w:val="00CF7740"/>
    <w:rsid w:val="00D0110B"/>
    <w:rsid w:val="00D05E6F"/>
    <w:rsid w:val="00D16644"/>
    <w:rsid w:val="00D20296"/>
    <w:rsid w:val="00D20D9A"/>
    <w:rsid w:val="00D215E0"/>
    <w:rsid w:val="00D2231A"/>
    <w:rsid w:val="00D276BD"/>
    <w:rsid w:val="00D27929"/>
    <w:rsid w:val="00D32CC0"/>
    <w:rsid w:val="00D32E47"/>
    <w:rsid w:val="00D33442"/>
    <w:rsid w:val="00D3615D"/>
    <w:rsid w:val="00D419C6"/>
    <w:rsid w:val="00D43C57"/>
    <w:rsid w:val="00D43D16"/>
    <w:rsid w:val="00D44BAD"/>
    <w:rsid w:val="00D45B55"/>
    <w:rsid w:val="00D4785A"/>
    <w:rsid w:val="00D5094B"/>
    <w:rsid w:val="00D51774"/>
    <w:rsid w:val="00D52E43"/>
    <w:rsid w:val="00D56A39"/>
    <w:rsid w:val="00D63265"/>
    <w:rsid w:val="00D662B6"/>
    <w:rsid w:val="00D664D7"/>
    <w:rsid w:val="00D67E1E"/>
    <w:rsid w:val="00D701E8"/>
    <w:rsid w:val="00D7097B"/>
    <w:rsid w:val="00D716D6"/>
    <w:rsid w:val="00D7197D"/>
    <w:rsid w:val="00D72BC4"/>
    <w:rsid w:val="00D74BFE"/>
    <w:rsid w:val="00D815FC"/>
    <w:rsid w:val="00D8517B"/>
    <w:rsid w:val="00D902EE"/>
    <w:rsid w:val="00D91DFA"/>
    <w:rsid w:val="00D9701D"/>
    <w:rsid w:val="00DA159A"/>
    <w:rsid w:val="00DA517E"/>
    <w:rsid w:val="00DA5573"/>
    <w:rsid w:val="00DA6974"/>
    <w:rsid w:val="00DA7473"/>
    <w:rsid w:val="00DB1AB2"/>
    <w:rsid w:val="00DC0E9B"/>
    <w:rsid w:val="00DC17C2"/>
    <w:rsid w:val="00DC2EE0"/>
    <w:rsid w:val="00DC415F"/>
    <w:rsid w:val="00DC4FDF"/>
    <w:rsid w:val="00DC62E1"/>
    <w:rsid w:val="00DC66F0"/>
    <w:rsid w:val="00DD0251"/>
    <w:rsid w:val="00DD3105"/>
    <w:rsid w:val="00DD3A65"/>
    <w:rsid w:val="00DD62C6"/>
    <w:rsid w:val="00DE2641"/>
    <w:rsid w:val="00DE3B92"/>
    <w:rsid w:val="00DE48B4"/>
    <w:rsid w:val="00DE5ACA"/>
    <w:rsid w:val="00DE7137"/>
    <w:rsid w:val="00DF18E4"/>
    <w:rsid w:val="00DF37A2"/>
    <w:rsid w:val="00DF50D6"/>
    <w:rsid w:val="00DF544D"/>
    <w:rsid w:val="00E00498"/>
    <w:rsid w:val="00E05A82"/>
    <w:rsid w:val="00E0768B"/>
    <w:rsid w:val="00E14023"/>
    <w:rsid w:val="00E1464C"/>
    <w:rsid w:val="00E14ADB"/>
    <w:rsid w:val="00E15A40"/>
    <w:rsid w:val="00E17D53"/>
    <w:rsid w:val="00E22F78"/>
    <w:rsid w:val="00E2425D"/>
    <w:rsid w:val="00E24F87"/>
    <w:rsid w:val="00E2617A"/>
    <w:rsid w:val="00E273FB"/>
    <w:rsid w:val="00E31CD4"/>
    <w:rsid w:val="00E40CAE"/>
    <w:rsid w:val="00E538E6"/>
    <w:rsid w:val="00E56696"/>
    <w:rsid w:val="00E630CF"/>
    <w:rsid w:val="00E74332"/>
    <w:rsid w:val="00E768A9"/>
    <w:rsid w:val="00E802A2"/>
    <w:rsid w:val="00E8410F"/>
    <w:rsid w:val="00E85C0B"/>
    <w:rsid w:val="00EA3227"/>
    <w:rsid w:val="00EA7089"/>
    <w:rsid w:val="00EB13D7"/>
    <w:rsid w:val="00EB1E83"/>
    <w:rsid w:val="00ED22CB"/>
    <w:rsid w:val="00ED4BB1"/>
    <w:rsid w:val="00ED55E4"/>
    <w:rsid w:val="00ED67AF"/>
    <w:rsid w:val="00EE11F0"/>
    <w:rsid w:val="00EE128C"/>
    <w:rsid w:val="00EE4C48"/>
    <w:rsid w:val="00EE5D2E"/>
    <w:rsid w:val="00EE7E6F"/>
    <w:rsid w:val="00EF0B96"/>
    <w:rsid w:val="00EF1D53"/>
    <w:rsid w:val="00EF66D9"/>
    <w:rsid w:val="00EF68E3"/>
    <w:rsid w:val="00EF6BA5"/>
    <w:rsid w:val="00EF780D"/>
    <w:rsid w:val="00EF7A98"/>
    <w:rsid w:val="00F0267E"/>
    <w:rsid w:val="00F036F2"/>
    <w:rsid w:val="00F071B2"/>
    <w:rsid w:val="00F11B47"/>
    <w:rsid w:val="00F2412D"/>
    <w:rsid w:val="00F25D8D"/>
    <w:rsid w:val="00F26ECC"/>
    <w:rsid w:val="00F3069C"/>
    <w:rsid w:val="00F34485"/>
    <w:rsid w:val="00F35153"/>
    <w:rsid w:val="00F351B7"/>
    <w:rsid w:val="00F3603E"/>
    <w:rsid w:val="00F41807"/>
    <w:rsid w:val="00F4382D"/>
    <w:rsid w:val="00F44CCB"/>
    <w:rsid w:val="00F474C9"/>
    <w:rsid w:val="00F5126B"/>
    <w:rsid w:val="00F53DF1"/>
    <w:rsid w:val="00F54EA3"/>
    <w:rsid w:val="00F61675"/>
    <w:rsid w:val="00F64D7A"/>
    <w:rsid w:val="00F6686B"/>
    <w:rsid w:val="00F67F74"/>
    <w:rsid w:val="00F712B3"/>
    <w:rsid w:val="00F71E9F"/>
    <w:rsid w:val="00F72192"/>
    <w:rsid w:val="00F73DE3"/>
    <w:rsid w:val="00F744BF"/>
    <w:rsid w:val="00F7632C"/>
    <w:rsid w:val="00F77219"/>
    <w:rsid w:val="00F84DD2"/>
    <w:rsid w:val="00F91BCB"/>
    <w:rsid w:val="00F95439"/>
    <w:rsid w:val="00FB0872"/>
    <w:rsid w:val="00FB2014"/>
    <w:rsid w:val="00FB54CC"/>
    <w:rsid w:val="00FB7E0E"/>
    <w:rsid w:val="00FC0546"/>
    <w:rsid w:val="00FC6151"/>
    <w:rsid w:val="00FC70B3"/>
    <w:rsid w:val="00FD1A37"/>
    <w:rsid w:val="00FD4E5B"/>
    <w:rsid w:val="00FE188A"/>
    <w:rsid w:val="00FE4EE0"/>
    <w:rsid w:val="00FE7C37"/>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5FF2D2B7"/>
  <w15:docId w15:val="{522B6560-877C-4B29-8674-1EB6FE82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274185"/>
    <w:pPr>
      <w:ind w:left="720"/>
      <w:contextualSpacing/>
    </w:pPr>
  </w:style>
  <w:style w:type="character" w:customStyle="1" w:styleId="FooterChar">
    <w:name w:val="Footer Char"/>
    <w:basedOn w:val="DefaultParagraphFont"/>
    <w:link w:val="Footer"/>
    <w:uiPriority w:val="99"/>
    <w:rsid w:val="00CF4A1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wmo.int/en/our-mandate/water" TargetMode="External"/><Relationship Id="rId18" Type="http://schemas.openxmlformats.org/officeDocument/2006/relationships/hyperlink" Target="https://gcw.met.no/node/6" TargetMode="External"/><Relationship Id="rId26" Type="http://schemas.openxmlformats.org/officeDocument/2006/relationships/hyperlink" Target="https://library.wmo.int/index.php?lvl=notice_display&amp;id=12407" TargetMode="External"/><Relationship Id="rId39" Type="http://schemas.openxmlformats.org/officeDocument/2006/relationships/hyperlink" Target="https://library.wmo.int/doc_num.php?explnum_id=4651" TargetMode="External"/><Relationship Id="rId21" Type="http://schemas.openxmlformats.org/officeDocument/2006/relationships/hyperlink" Target="https://globalcryospherewatch.org/satellites/trackers.html" TargetMode="External"/><Relationship Id="rId34" Type="http://schemas.openxmlformats.org/officeDocument/2006/relationships/hyperlink" Target="https://library.wmo.int/index.php?lvl=notice_display&amp;id=19925" TargetMode="External"/><Relationship Id="rId42" Type="http://schemas.openxmlformats.org/officeDocument/2006/relationships/hyperlink" Target="https://arcticpassion.eu/" TargetMode="External"/><Relationship Id="rId47" Type="http://schemas.openxmlformats.org/officeDocument/2006/relationships/hyperlink" Target="https://meetings.wmo.int/INFCOM-2/English/1.%20DRAFTS%20FOR%20DISCUSSION/INFCOM-2-d06-6-RECOMMENDATION-SG-CRYO-INTEGRATION-CRYOSPHERE-EARTH-SYSTEM-draft1_en.docx?Web=1" TargetMode="External"/><Relationship Id="rId50" Type="http://schemas.openxmlformats.org/officeDocument/2006/relationships/hyperlink" Target="https://public.wmo.int/en/our-mandate/focus-areas/cryospher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12407" TargetMode="External"/><Relationship Id="rId29" Type="http://schemas.openxmlformats.org/officeDocument/2006/relationships/hyperlink" Target="https://gcw.met.no/node/6" TargetMode="External"/><Relationship Id="rId11" Type="http://schemas.openxmlformats.org/officeDocument/2006/relationships/image" Target="media/image1.jpeg"/><Relationship Id="rId24" Type="http://schemas.openxmlformats.org/officeDocument/2006/relationships/hyperlink" Target="https://library.wmo.int/doc_num.php?explnum_id=11137" TargetMode="External"/><Relationship Id="rId32" Type="http://schemas.openxmlformats.org/officeDocument/2006/relationships/hyperlink" Target="https://library.wmo.int/doc_num.php?explnum_id=11113/" TargetMode="External"/><Relationship Id="rId37" Type="http://schemas.openxmlformats.org/officeDocument/2006/relationships/hyperlink" Target="https://meetings.wmo.int/INFCOM-2/_layouts/15/WopiFrame.aspx?sourcedoc=/INFCOM-2/English/1.%20DRAFTS%20FOR%20DISCUSSION/INFCOM-2-d06-2(7)-MEASUREMENT-LEAD-CENTRE-ON-SNOW-MONITORING-draft1_en.docx&amp;action=default" TargetMode="External"/><Relationship Id="rId40" Type="http://schemas.openxmlformats.org/officeDocument/2006/relationships/hyperlink" Target="https://public.wmo.int/en/resources/bulletin/global-cryosphere-watch-%E2%80%93-sea-ice-information-science-and-operations" TargetMode="External"/><Relationship Id="rId45" Type="http://schemas.openxmlformats.org/officeDocument/2006/relationships/hyperlink" Target="https://arcticnet.ulaval.ca/" TargetMode="External"/><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index.php?lvl=notice_display&amp;id=10684" TargetMode="External"/><Relationship Id="rId31" Type="http://schemas.openxmlformats.org/officeDocument/2006/relationships/hyperlink" Target="https://meteoio.slf.ch/" TargetMode="External"/><Relationship Id="rId44" Type="http://schemas.openxmlformats.org/officeDocument/2006/relationships/hyperlink" Target="https://arcticobserving.org/"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openxmlformats.org/officeDocument/2006/relationships/hyperlink" Target="https://globalcryospherewatch.org/projects/snowreporting.html" TargetMode="External"/><Relationship Id="rId27" Type="http://schemas.openxmlformats.org/officeDocument/2006/relationships/hyperlink" Target="https://meetings.wmo.int/INFCOM-2/English/1.%20DRAFTS%20FOR%20DISCUSSION/INFCOM-2-d06-2(2)-UPDATE-GUIDE-WMO-NO-8-draft1_en.docx?Web=1" TargetMode="External"/><Relationship Id="rId30" Type="http://schemas.openxmlformats.org/officeDocument/2006/relationships/hyperlink" Target="https://meetings.wmo.int/INFCOM-2/_layouts/15/WopiFrame.aspx?sourcedoc=/INFCOM-2/English/1.%20DRAFTS%20FOR%20DISCUSSION/INFCOM-2-d06-3(1)-IMPLEMENTATION-WIS-2-0-draft1_en.docx&amp;action=default" TargetMode="External"/><Relationship Id="rId35" Type="http://schemas.openxmlformats.org/officeDocument/2006/relationships/hyperlink" Target="https://library.wmo.int/index.php?lvl=notice_display&amp;id=10684" TargetMode="External"/><Relationship Id="rId43" Type="http://schemas.openxmlformats.org/officeDocument/2006/relationships/hyperlink" Target="https://mountainresearchinitiative.org/" TargetMode="External"/><Relationship Id="rId48" Type="http://schemas.openxmlformats.org/officeDocument/2006/relationships/hyperlink" Target="https://meetings.wmo.int/INFCOM-2/English/1.%20DRAFTS%20FOR%20DISCUSSION/INFCOM-2-d05-2-SUBSIDIARY-BODIES-draft1_en.docx?Web=1"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globalcryospherewatch.org/state_of_cryo/" TargetMode="External"/><Relationship Id="rId3" Type="http://schemas.openxmlformats.org/officeDocument/2006/relationships/customXml" Target="../customXml/item3.xml"/><Relationship Id="rId12" Type="http://schemas.openxmlformats.org/officeDocument/2006/relationships/hyperlink" Target="https://library.wmo.int/doc_num.php?explnum_id=9939" TargetMode="External"/><Relationship Id="rId17" Type="http://schemas.openxmlformats.org/officeDocument/2006/relationships/hyperlink" Target="https://library.wmo.int/index.php?lvl=notice_display&amp;id=19925" TargetMode="External"/><Relationship Id="rId25" Type="http://schemas.openxmlformats.org/officeDocument/2006/relationships/hyperlink" Target="https://library.wmo.int/doc_num.php?explnum_id=11137" TargetMode="External"/><Relationship Id="rId33" Type="http://schemas.openxmlformats.org/officeDocument/2006/relationships/hyperlink" Target="https://library.wmo.int/index.php?lvl=notice_display&amp;id=19925" TargetMode="External"/><Relationship Id="rId38" Type="http://schemas.openxmlformats.org/officeDocument/2006/relationships/hyperlink" Target="https://cryosphericsciences.org/activities/jb-status-mountain-snow-cover/" TargetMode="External"/><Relationship Id="rId46" Type="http://schemas.openxmlformats.org/officeDocument/2006/relationships/hyperlink" Target="https://library.wmo.int/doc_num.php?explnum_id=11197/" TargetMode="External"/><Relationship Id="rId20" Type="http://schemas.openxmlformats.org/officeDocument/2006/relationships/hyperlink" Target="https://globalcryospherewatch.org/assessments/" TargetMode="External"/><Relationship Id="rId41" Type="http://schemas.openxmlformats.org/officeDocument/2006/relationships/hyperlink" Target="https://journals.ametsoc.org/view/journals/bams/103/6/BAMS-D-21-0227.1.xml"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9223" TargetMode="External"/><Relationship Id="rId23" Type="http://schemas.openxmlformats.org/officeDocument/2006/relationships/hyperlink" Target="https://globalcryospherewatch.org/reference/snow_inventory.php" TargetMode="External"/><Relationship Id="rId28" Type="http://schemas.openxmlformats.org/officeDocument/2006/relationships/hyperlink" Target="https://stratus.ssec.wisc.edu/igos/docs/cryos_theme_report.pdf" TargetMode="External"/><Relationship Id="rId36" Type="http://schemas.openxmlformats.org/officeDocument/2006/relationships/hyperlink" Target="https://globalcryospherewatch.org/assessments/snow/" TargetMode="External"/><Relationship Id="rId49" Type="http://schemas.openxmlformats.org/officeDocument/2006/relationships/hyperlink" Target="http://globalcryospherewat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EC7EE55E-3261-4761-9BBE-41EDEB41C0AE}"/>
</file>

<file path=customXml/itemProps3.xml><?xml version="1.0" encoding="utf-8"?>
<ds:datastoreItem xmlns:ds="http://schemas.openxmlformats.org/officeDocument/2006/customXml" ds:itemID="{4CE4C997-AFE9-4FD5-8B67-4DD00902483D}">
  <ds:schemaRefs>
    <ds:schemaRef ds:uri="http://www.w3.org/XML/1998/namespace"/>
    <ds:schemaRef ds:uri="http://schemas.microsoft.com/office/infopath/2007/PartnerControls"/>
    <ds:schemaRef ds:uri="3679bf0f-1d7e-438f-afa5-6ebf1e20f9b8"/>
    <ds:schemaRef ds:uri="http://schemas.openxmlformats.org/package/2006/metadata/core-properties"/>
    <ds:schemaRef ds:uri="http://purl.org/dc/dcmitype/"/>
    <ds:schemaRef ds:uri="http://purl.org/dc/elements/1.1/"/>
    <ds:schemaRef ds:uri="http://schemas.microsoft.com/office/2006/documentManagement/types"/>
    <ds:schemaRef ds:uri="ce21bc6c-711a-4065-a01c-a8f0e29e3ad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98E480D-F7B7-4BD2-8E6F-8C1B7AFDD93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2825</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18891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documento de la OMM</dc:title>
  <dc:creator>Rodica Nitu</dc:creator>
  <cp:lastModifiedBy>Elena Vicente</cp:lastModifiedBy>
  <cp:revision>3</cp:revision>
  <cp:lastPrinted>2013-03-12T09:27:00Z</cp:lastPrinted>
  <dcterms:created xsi:type="dcterms:W3CDTF">2022-10-12T10:25:00Z</dcterms:created>
  <dcterms:modified xsi:type="dcterms:W3CDTF">2022-10-20T19:21:00Z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